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69376K106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16,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0"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96" w:lineRule="exact"/>
        <w:rPr>
          <w:sz w:val="24"/>
          <w:szCs w:val="24"/>
          <w:color w:val="auto"/>
        </w:rPr>
      </w:pPr>
    </w:p>
    <w:p>
      <w:pPr>
        <w:ind w:left="440" w:hanging="440"/>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ind w:left="644" w:hanging="397"/>
        <w:spacing w:after="0"/>
        <w:tabs>
          <w:tab w:leader="none" w:pos="64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54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54625"/>
                    </a:xfrm>
                    <a:prstGeom prst="rect">
                      <a:avLst/>
                    </a:prstGeom>
                    <a:noFill/>
                  </pic:spPr>
                </pic:pic>
              </a:graphicData>
            </a:graphic>
          </wp:anchor>
        </w:drawing>
      </w:r>
    </w:p>
    <w:p>
      <w:pPr>
        <w:spacing w:after="0" w:line="228"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Jeff Patrick Gehl</w:t>
      </w:r>
    </w:p>
    <w:p>
      <w:pPr>
        <w:spacing w:after="0" w:line="40" w:lineRule="exact"/>
        <w:rPr>
          <w:sz w:val="20"/>
          <w:szCs w:val="20"/>
          <w:color w:val="auto"/>
        </w:rPr>
      </w:pPr>
    </w:p>
    <w:p>
      <w:pPr>
        <w:ind w:left="644" w:hanging="397"/>
        <w:spacing w:after="0"/>
        <w:tabs>
          <w:tab w:leader="none" w:pos="64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44"/>
        <w:spacing w:after="0" w:line="207" w:lineRule="exact"/>
        <w:tabs>
          <w:tab w:leader="none" w:pos="14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44" w:hanging="397"/>
        <w:spacing w:after="0"/>
        <w:tabs>
          <w:tab w:leader="none" w:pos="64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4" w:hanging="397"/>
        <w:spacing w:after="0"/>
        <w:tabs>
          <w:tab w:leader="none" w:pos="64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w:t>
      </w:r>
    </w:p>
    <w:p>
      <w:pPr>
        <w:spacing w:after="0" w:line="36" w:lineRule="exact"/>
        <w:rPr>
          <w:rFonts w:ascii="Arial" w:cs="Arial" w:eastAsia="Arial" w:hAnsi="Arial"/>
          <w:sz w:val="18"/>
          <w:szCs w:val="18"/>
          <w:b w:val="1"/>
          <w:bCs w:val="1"/>
          <w:color w:val="auto"/>
        </w:rPr>
      </w:pPr>
    </w:p>
    <w:p>
      <w:pPr>
        <w:ind w:left="16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 xml:space="preserve">3,090,177 </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0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 xml:space="preserve">3,090,177 </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44" w:hanging="397"/>
        <w:spacing w:after="0"/>
        <w:tabs>
          <w:tab w:leader="none" w:pos="64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 xml:space="preserve">3,090,177 </w:t>
      </w:r>
      <w:r>
        <w:rPr>
          <w:rFonts w:ascii="Arial" w:cs="Arial" w:eastAsia="Arial" w:hAnsi="Arial"/>
          <w:sz w:val="18"/>
          <w:szCs w:val="18"/>
          <w:color w:val="auto"/>
        </w:rPr>
        <w:t>(1)</w:t>
      </w:r>
    </w:p>
    <w:p>
      <w:pPr>
        <w:spacing w:after="0" w:line="40" w:lineRule="exact"/>
        <w:rPr>
          <w:sz w:val="20"/>
          <w:szCs w:val="20"/>
          <w:color w:val="auto"/>
        </w:rPr>
      </w:pPr>
    </w:p>
    <w:p>
      <w:pPr>
        <w:ind w:left="644" w:hanging="487"/>
        <w:spacing w:after="0"/>
        <w:tabs>
          <w:tab w:leader="none" w:pos="64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07" w:lineRule="exact"/>
        <w:rPr>
          <w:rFonts w:ascii="Arial" w:cs="Arial" w:eastAsia="Arial" w:hAnsi="Arial"/>
          <w:sz w:val="18"/>
          <w:szCs w:val="18"/>
          <w:b w:val="1"/>
          <w:bCs w:val="1"/>
          <w:color w:val="auto"/>
        </w:rPr>
      </w:pPr>
    </w:p>
    <w:p>
      <w:pPr>
        <w:ind w:left="644"/>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b w:val="1"/>
          <w:bCs w:val="1"/>
          <w:color w:val="auto"/>
        </w:rPr>
      </w:pPr>
    </w:p>
    <w:p>
      <w:pPr>
        <w:ind w:left="644" w:hanging="487"/>
        <w:spacing w:after="0"/>
        <w:tabs>
          <w:tab w:leader="none" w:pos="64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2"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6.7%</w:t>
      </w:r>
    </w:p>
    <w:p>
      <w:pPr>
        <w:spacing w:after="0" w:line="53" w:lineRule="exact"/>
        <w:rPr>
          <w:rFonts w:ascii="Arial" w:cs="Arial" w:eastAsia="Arial" w:hAnsi="Arial"/>
          <w:sz w:val="18"/>
          <w:szCs w:val="18"/>
          <w:b w:val="1"/>
          <w:bCs w:val="1"/>
          <w:color w:val="auto"/>
        </w:rPr>
      </w:pPr>
    </w:p>
    <w:p>
      <w:pPr>
        <w:ind w:left="644" w:hanging="487"/>
        <w:spacing w:after="0"/>
        <w:tabs>
          <w:tab w:leader="none" w:pos="64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83" w:lineRule="exact"/>
        <w:rPr>
          <w:rFonts w:ascii="Arial" w:cs="Arial" w:eastAsia="Arial" w:hAnsi="Arial"/>
          <w:sz w:val="18"/>
          <w:szCs w:val="18"/>
          <w:b w:val="1"/>
          <w:bCs w:val="1"/>
          <w:color w:val="auto"/>
        </w:rPr>
      </w:pPr>
    </w:p>
    <w:p>
      <w:pPr>
        <w:ind w:left="444" w:right="80" w:hanging="444"/>
        <w:spacing w:after="0" w:line="311" w:lineRule="auto"/>
        <w:tabs>
          <w:tab w:leader="none" w:pos="4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16,476 shares of Class A common stock held directly by the reporting person; (ii) 161,762 options to purchase shares of Class A common stock held directly by the reporting person; and (iii) 2,911,939 shares of Class B common stock held directly by the Jeff P. Gehl Living Trust, of which the reporting person is trustee. The Jeff P. Gehl Living Trust is also a separate reporting person on this Schedule 13G.</w:t>
      </w:r>
    </w:p>
    <w:p>
      <w:pPr>
        <w:sectPr>
          <w:pgSz w:w="11900" w:h="16838" w:orient="portrait"/>
          <w:cols w:equalWidth="0" w:num="1">
            <w:col w:w="10904"/>
          </w:cols>
          <w:pgMar w:left="436" w:top="503" w:right="559" w:bottom="1440" w:gutter="0" w:footer="0" w:header="0"/>
        </w:sectPr>
      </w:pPr>
    </w:p>
    <w:bookmarkStart w:id="2" w:name="page3"/>
    <w:bookmarkEnd w:id="2"/>
    <w:p>
      <w:pPr>
        <w:ind w:left="487" w:hanging="397"/>
        <w:spacing w:after="0"/>
        <w:tabs>
          <w:tab w:leader="none" w:pos="487"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54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54625"/>
                    </a:xfrm>
                    <a:prstGeom prst="rect">
                      <a:avLst/>
                    </a:prstGeom>
                    <a:noFill/>
                  </pic:spPr>
                </pic:pic>
              </a:graphicData>
            </a:graphic>
          </wp:anchor>
        </w:drawing>
      </w:r>
    </w:p>
    <w:p>
      <w:pPr>
        <w:spacing w:after="0" w:line="228" w:lineRule="exact"/>
        <w:rPr>
          <w:sz w:val="20"/>
          <w:szCs w:val="20"/>
          <w:color w:val="auto"/>
        </w:rPr>
      </w:pPr>
    </w:p>
    <w:p>
      <w:pPr>
        <w:ind w:left="487"/>
        <w:spacing w:after="0"/>
        <w:rPr>
          <w:sz w:val="20"/>
          <w:szCs w:val="20"/>
          <w:color w:val="auto"/>
        </w:rPr>
      </w:pPr>
      <w:r>
        <w:rPr>
          <w:rFonts w:ascii="Arial" w:cs="Arial" w:eastAsia="Arial" w:hAnsi="Arial"/>
          <w:sz w:val="18"/>
          <w:szCs w:val="18"/>
          <w:b w:val="1"/>
          <w:bCs w:val="1"/>
          <w:color w:val="auto"/>
        </w:rPr>
        <w:t>Jeff P. Gehl Living Trust</w:t>
      </w:r>
    </w:p>
    <w:p>
      <w:pPr>
        <w:spacing w:after="0" w:line="40" w:lineRule="exact"/>
        <w:rPr>
          <w:sz w:val="20"/>
          <w:szCs w:val="20"/>
          <w:color w:val="auto"/>
        </w:rPr>
      </w:pPr>
    </w:p>
    <w:p>
      <w:pPr>
        <w:ind w:left="487" w:hanging="397"/>
        <w:spacing w:after="0"/>
        <w:tabs>
          <w:tab w:leader="none" w:pos="487"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87"/>
        <w:spacing w:after="0" w:line="207" w:lineRule="exact"/>
        <w:tabs>
          <w:tab w:leader="none" w:pos="126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487" w:hanging="397"/>
        <w:spacing w:after="0"/>
        <w:tabs>
          <w:tab w:leader="none" w:pos="487"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87" w:hanging="397"/>
        <w:spacing w:after="0"/>
        <w:tabs>
          <w:tab w:leader="none" w:pos="48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b w:val="1"/>
          <w:bCs w:val="1"/>
          <w:color w:val="auto"/>
        </w:rPr>
      </w:pPr>
    </w:p>
    <w:p>
      <w:pPr>
        <w:ind w:left="48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w:t>
      </w:r>
    </w:p>
    <w:p>
      <w:pPr>
        <w:spacing w:after="0" w:line="36" w:lineRule="exact"/>
        <w:rPr>
          <w:rFonts w:ascii="Arial" w:cs="Arial" w:eastAsia="Arial" w:hAnsi="Arial"/>
          <w:sz w:val="18"/>
          <w:szCs w:val="18"/>
          <w:b w:val="1"/>
          <w:bCs w:val="1"/>
          <w:color w:val="auto"/>
        </w:rPr>
      </w:pPr>
    </w:p>
    <w:p>
      <w:pPr>
        <w:ind w:left="14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3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2,911,939</w:t>
            </w: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0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0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2,911,939</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87"/>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487" w:hanging="397"/>
        <w:spacing w:after="0"/>
        <w:tabs>
          <w:tab w:leader="none" w:pos="487"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487"/>
        <w:spacing w:after="0"/>
        <w:rPr>
          <w:sz w:val="20"/>
          <w:szCs w:val="20"/>
          <w:color w:val="auto"/>
        </w:rPr>
      </w:pPr>
      <w:r>
        <w:rPr>
          <w:rFonts w:ascii="Arial" w:cs="Arial" w:eastAsia="Arial" w:hAnsi="Arial"/>
          <w:sz w:val="18"/>
          <w:szCs w:val="18"/>
          <w:b w:val="1"/>
          <w:bCs w:val="1"/>
          <w:color w:val="auto"/>
        </w:rPr>
        <w:t>2,911,939</w:t>
      </w:r>
    </w:p>
    <w:p>
      <w:pPr>
        <w:spacing w:after="0" w:line="40" w:lineRule="exact"/>
        <w:rPr>
          <w:sz w:val="20"/>
          <w:szCs w:val="20"/>
          <w:color w:val="auto"/>
        </w:rPr>
      </w:pPr>
    </w:p>
    <w:p>
      <w:pPr>
        <w:ind w:left="487" w:hanging="487"/>
        <w:spacing w:after="0"/>
        <w:tabs>
          <w:tab w:leader="none" w:pos="48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07" w:lineRule="exact"/>
        <w:rPr>
          <w:rFonts w:ascii="Arial" w:cs="Arial" w:eastAsia="Arial" w:hAnsi="Arial"/>
          <w:sz w:val="18"/>
          <w:szCs w:val="18"/>
          <w:b w:val="1"/>
          <w:bCs w:val="1"/>
          <w:color w:val="auto"/>
        </w:rPr>
      </w:pPr>
    </w:p>
    <w:p>
      <w:pPr>
        <w:ind w:left="487"/>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b w:val="1"/>
          <w:bCs w:val="1"/>
          <w:color w:val="auto"/>
        </w:rPr>
      </w:pPr>
    </w:p>
    <w:p>
      <w:pPr>
        <w:ind w:left="487" w:hanging="487"/>
        <w:spacing w:after="0"/>
        <w:tabs>
          <w:tab w:leader="none" w:pos="48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2" w:lineRule="exact"/>
        <w:rPr>
          <w:rFonts w:ascii="Arial" w:cs="Arial" w:eastAsia="Arial" w:hAnsi="Arial"/>
          <w:sz w:val="18"/>
          <w:szCs w:val="18"/>
          <w:b w:val="1"/>
          <w:bCs w:val="1"/>
          <w:color w:val="auto"/>
        </w:rPr>
      </w:pPr>
    </w:p>
    <w:p>
      <w:pPr>
        <w:ind w:left="48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6.3%</w:t>
      </w:r>
    </w:p>
    <w:p>
      <w:pPr>
        <w:spacing w:after="0" w:line="53" w:lineRule="exact"/>
        <w:rPr>
          <w:rFonts w:ascii="Arial" w:cs="Arial" w:eastAsia="Arial" w:hAnsi="Arial"/>
          <w:sz w:val="18"/>
          <w:szCs w:val="18"/>
          <w:b w:val="1"/>
          <w:bCs w:val="1"/>
          <w:color w:val="auto"/>
        </w:rPr>
      </w:pPr>
    </w:p>
    <w:p>
      <w:pPr>
        <w:ind w:left="487" w:hanging="487"/>
        <w:spacing w:after="0"/>
        <w:tabs>
          <w:tab w:leader="none" w:pos="48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b w:val="1"/>
          <w:bCs w:val="1"/>
          <w:color w:val="auto"/>
        </w:rPr>
      </w:pPr>
    </w:p>
    <w:p>
      <w:pPr>
        <w:ind w:left="48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ectPr>
          <w:pgSz w:w="11900" w:h="16838" w:orient="portrait"/>
          <w:cols w:equalWidth="0" w:num="1">
            <w:col w:w="10747"/>
          </w:cols>
          <w:pgMar w:left="593" w:top="503"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1.</w:t>
      </w:r>
    </w:p>
    <w:p>
      <w:pPr>
        <w:spacing w:after="0" w:line="131" w:lineRule="exact"/>
        <w:rPr>
          <w:sz w:val="20"/>
          <w:szCs w:val="20"/>
          <w:color w:val="auto"/>
        </w:rPr>
      </w:pPr>
    </w:p>
    <w:p>
      <w:pPr>
        <w:ind w:left="444" w:hanging="444"/>
        <w:spacing w:after="0"/>
        <w:tabs>
          <w:tab w:leader="none" w:pos="44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Name of issuer:</w:t>
      </w:r>
    </w:p>
    <w:p>
      <w:pPr>
        <w:spacing w:after="0" w:line="117" w:lineRule="exact"/>
        <w:rPr>
          <w:rFonts w:ascii="Arial" w:cs="Arial" w:eastAsia="Arial" w:hAnsi="Arial"/>
          <w:sz w:val="18"/>
          <w:szCs w:val="18"/>
          <w:b w:val="1"/>
          <w:bCs w:val="1"/>
          <w:i w:val="1"/>
          <w:iCs w:val="1"/>
          <w:color w:val="auto"/>
        </w:rPr>
      </w:pPr>
    </w:p>
    <w:p>
      <w:pPr>
        <w:ind w:left="444"/>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P10, Inc. (the “Issuer”).</w:t>
      </w:r>
    </w:p>
    <w:p>
      <w:pPr>
        <w:spacing w:after="0" w:line="373" w:lineRule="exact"/>
        <w:rPr>
          <w:rFonts w:ascii="Arial" w:cs="Arial" w:eastAsia="Arial" w:hAnsi="Arial"/>
          <w:sz w:val="18"/>
          <w:szCs w:val="18"/>
          <w:b w:val="1"/>
          <w:bCs w:val="1"/>
          <w:i w:val="1"/>
          <w:iCs w:val="1"/>
          <w:color w:val="auto"/>
        </w:rPr>
      </w:pPr>
    </w:p>
    <w:p>
      <w:pPr>
        <w:ind w:left="444" w:right="5879" w:hanging="444"/>
        <w:spacing w:after="0" w:line="483" w:lineRule="auto"/>
        <w:tabs>
          <w:tab w:leader="none" w:pos="444"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Address of issuer’s principal executive offices: </w:t>
      </w:r>
      <w:r>
        <w:rPr>
          <w:rFonts w:ascii="Arial" w:cs="Arial" w:eastAsia="Arial" w:hAnsi="Arial"/>
          <w:sz w:val="16"/>
          <w:szCs w:val="16"/>
          <w:color w:val="auto"/>
        </w:rPr>
        <w:t>4514 Cole Avenue, Suite 1600 Dallas, Texas 75205</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2.</w:t>
      </w:r>
    </w:p>
    <w:p>
      <w:pPr>
        <w:spacing w:after="0" w:line="131" w:lineRule="exact"/>
        <w:rPr>
          <w:sz w:val="20"/>
          <w:szCs w:val="20"/>
          <w:color w:val="auto"/>
        </w:rPr>
      </w:pPr>
    </w:p>
    <w:p>
      <w:pPr>
        <w:ind w:left="444" w:hanging="444"/>
        <w:spacing w:after="0"/>
        <w:tabs>
          <w:tab w:leader="none" w:pos="44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Name of person filing:</w:t>
      </w:r>
    </w:p>
    <w:p>
      <w:pPr>
        <w:spacing w:after="0" w:line="117" w:lineRule="exact"/>
        <w:rPr>
          <w:rFonts w:ascii="Arial" w:cs="Arial" w:eastAsia="Arial" w:hAnsi="Arial"/>
          <w:sz w:val="18"/>
          <w:szCs w:val="18"/>
          <w:b w:val="1"/>
          <w:bCs w:val="1"/>
          <w:i w:val="1"/>
          <w:iCs w:val="1"/>
          <w:color w:val="auto"/>
        </w:rPr>
      </w:pPr>
    </w:p>
    <w:p>
      <w:pPr>
        <w:ind w:left="444"/>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Each of the following is referred to herein as a “reporting person” and collectively as the “reporting persons”:</w:t>
      </w:r>
    </w:p>
    <w:p>
      <w:pPr>
        <w:spacing w:after="0" w:line="128" w:lineRule="exact"/>
        <w:rPr>
          <w:rFonts w:ascii="Arial" w:cs="Arial" w:eastAsia="Arial" w:hAnsi="Arial"/>
          <w:sz w:val="18"/>
          <w:szCs w:val="18"/>
          <w:b w:val="1"/>
          <w:bCs w:val="1"/>
          <w:i w:val="1"/>
          <w:iCs w:val="1"/>
          <w:color w:val="auto"/>
        </w:rPr>
      </w:pPr>
    </w:p>
    <w:p>
      <w:pPr>
        <w:ind w:left="624" w:hanging="184"/>
        <w:spacing w:after="0"/>
        <w:tabs>
          <w:tab w:leader="none" w:pos="6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Jeff Patrick Gehl</w:t>
      </w:r>
    </w:p>
    <w:p>
      <w:pPr>
        <w:spacing w:after="0" w:line="117" w:lineRule="exact"/>
        <w:rPr>
          <w:rFonts w:ascii="Arial" w:cs="Arial" w:eastAsia="Arial" w:hAnsi="Arial"/>
          <w:sz w:val="18"/>
          <w:szCs w:val="18"/>
          <w:color w:val="auto"/>
        </w:rPr>
      </w:pPr>
    </w:p>
    <w:p>
      <w:pPr>
        <w:ind w:left="624" w:hanging="184"/>
        <w:spacing w:after="0"/>
        <w:tabs>
          <w:tab w:leader="none" w:pos="6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Jeff P. Gehl Living Trust dated January 25, 2011 (the “Trust”)</w:t>
      </w:r>
    </w:p>
    <w:p>
      <w:pPr>
        <w:spacing w:after="0" w:line="252" w:lineRule="exact"/>
        <w:rPr>
          <w:rFonts w:ascii="Arial" w:cs="Arial" w:eastAsia="Arial" w:hAnsi="Arial"/>
          <w:sz w:val="18"/>
          <w:szCs w:val="18"/>
          <w:color w:val="auto"/>
        </w:rPr>
      </w:pPr>
    </w:p>
    <w:p>
      <w:pPr>
        <w:ind w:left="444" w:right="5279" w:hanging="444"/>
        <w:spacing w:after="0" w:line="375" w:lineRule="auto"/>
        <w:tabs>
          <w:tab w:leader="none" w:pos="44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Address or principal business office or, if none, residence: </w:t>
      </w:r>
      <w:r>
        <w:rPr>
          <w:rFonts w:ascii="Arial" w:cs="Arial" w:eastAsia="Arial" w:hAnsi="Arial"/>
          <w:sz w:val="18"/>
          <w:szCs w:val="18"/>
          <w:color w:val="auto"/>
        </w:rPr>
        <w:t>PO Box 11196</w:t>
      </w:r>
    </w:p>
    <w:p>
      <w:pPr>
        <w:spacing w:after="0" w:line="1" w:lineRule="exact"/>
        <w:rPr>
          <w:rFonts w:ascii="Arial" w:cs="Arial" w:eastAsia="Arial" w:hAnsi="Arial"/>
          <w:sz w:val="18"/>
          <w:szCs w:val="18"/>
          <w:b w:val="1"/>
          <w:bCs w:val="1"/>
          <w:i w:val="1"/>
          <w:iCs w:val="1"/>
          <w:color w:val="auto"/>
        </w:rPr>
      </w:pPr>
    </w:p>
    <w:p>
      <w:pPr>
        <w:ind w:left="444"/>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Newport Beach, CA 92658</w:t>
      </w:r>
    </w:p>
    <w:p>
      <w:pPr>
        <w:spacing w:after="0" w:line="252" w:lineRule="exact"/>
        <w:rPr>
          <w:rFonts w:ascii="Arial" w:cs="Arial" w:eastAsia="Arial" w:hAnsi="Arial"/>
          <w:sz w:val="18"/>
          <w:szCs w:val="18"/>
          <w:b w:val="1"/>
          <w:bCs w:val="1"/>
          <w:i w:val="1"/>
          <w:iCs w:val="1"/>
          <w:color w:val="auto"/>
        </w:rPr>
      </w:pPr>
    </w:p>
    <w:p>
      <w:pPr>
        <w:ind w:left="444" w:hanging="444"/>
        <w:spacing w:after="0"/>
        <w:tabs>
          <w:tab w:leader="none" w:pos="44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Citizenship:</w:t>
      </w:r>
    </w:p>
    <w:p>
      <w:pPr>
        <w:spacing w:after="0" w:line="130"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Jeff Patrick Gehl is a citizen of the United States.</w:t>
      </w:r>
    </w:p>
    <w:p>
      <w:pPr>
        <w:spacing w:after="0" w:line="23" w:lineRule="exact"/>
        <w:rPr>
          <w:rFonts w:ascii="Arial" w:cs="Arial" w:eastAsia="Arial" w:hAnsi="Arial"/>
          <w:sz w:val="18"/>
          <w:szCs w:val="18"/>
          <w:color w:val="auto"/>
        </w:rPr>
      </w:pPr>
    </w:p>
    <w:p>
      <w:pPr>
        <w:ind w:left="984" w:hanging="544"/>
        <w:spacing w:after="0"/>
        <w:tabs>
          <w:tab w:leader="none" w:pos="9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Trust is a trust created under the laws of California.</w:t>
      </w:r>
    </w:p>
    <w:p>
      <w:pPr>
        <w:spacing w:after="0" w:line="237" w:lineRule="exact"/>
        <w:rPr>
          <w:rFonts w:ascii="Arial" w:cs="Arial" w:eastAsia="Arial" w:hAnsi="Arial"/>
          <w:sz w:val="18"/>
          <w:szCs w:val="18"/>
          <w:color w:val="auto"/>
        </w:rPr>
      </w:pPr>
    </w:p>
    <w:p>
      <w:pPr>
        <w:ind w:left="444" w:hanging="444"/>
        <w:spacing w:after="0"/>
        <w:tabs>
          <w:tab w:leader="none" w:pos="44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Title of class of securities:</w:t>
      </w:r>
    </w:p>
    <w:p>
      <w:pPr>
        <w:spacing w:after="0" w:line="117" w:lineRule="exact"/>
        <w:rPr>
          <w:rFonts w:ascii="Arial" w:cs="Arial" w:eastAsia="Arial" w:hAnsi="Arial"/>
          <w:sz w:val="18"/>
          <w:szCs w:val="18"/>
          <w:b w:val="1"/>
          <w:bCs w:val="1"/>
          <w:i w:val="1"/>
          <w:iCs w:val="1"/>
          <w:color w:val="auto"/>
        </w:rPr>
      </w:pPr>
    </w:p>
    <w:p>
      <w:pPr>
        <w:ind w:left="444"/>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Class A Common Stock, $0.001 par value per share</w:t>
      </w:r>
    </w:p>
    <w:p>
      <w:pPr>
        <w:spacing w:after="0" w:line="373" w:lineRule="exact"/>
        <w:rPr>
          <w:rFonts w:ascii="Arial" w:cs="Arial" w:eastAsia="Arial" w:hAnsi="Arial"/>
          <w:sz w:val="18"/>
          <w:szCs w:val="18"/>
          <w:b w:val="1"/>
          <w:bCs w:val="1"/>
          <w:i w:val="1"/>
          <w:iCs w:val="1"/>
          <w:color w:val="auto"/>
        </w:rPr>
      </w:pPr>
    </w:p>
    <w:p>
      <w:pPr>
        <w:jc w:val="both"/>
        <w:ind w:left="444" w:right="8699" w:hanging="444"/>
        <w:spacing w:after="0" w:line="483" w:lineRule="auto"/>
        <w:tabs>
          <w:tab w:leader="none" w:pos="444"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CUSIP No.: </w:t>
      </w:r>
      <w:r>
        <w:rPr>
          <w:rFonts w:ascii="Arial" w:cs="Arial" w:eastAsia="Arial" w:hAnsi="Arial"/>
          <w:sz w:val="16"/>
          <w:szCs w:val="16"/>
          <w:color w:val="auto"/>
        </w:rPr>
        <w:t>69376K106</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5"/>
          <w:szCs w:val="15"/>
          <w:b w:val="1"/>
          <w:bCs w:val="1"/>
          <w:i w:val="1"/>
          <w:iCs w:val="1"/>
          <w:color w:val="auto"/>
        </w:rPr>
        <w:t>Item 3. If this statement is filed pursuant to §§240.13d–1(b) or 240.13d–2(b) or (c), indicate the type of person filing.</w:t>
      </w:r>
    </w:p>
    <w:p>
      <w:pPr>
        <w:spacing w:after="0" w:line="15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4. Ownership</w:t>
      </w:r>
    </w:p>
    <w:p>
      <w:pPr>
        <w:spacing w:after="0" w:line="131" w:lineRule="exact"/>
        <w:rPr>
          <w:sz w:val="20"/>
          <w:szCs w:val="20"/>
          <w:color w:val="auto"/>
        </w:rPr>
      </w:pPr>
    </w:p>
    <w:p>
      <w:pPr>
        <w:ind w:left="444" w:hanging="444"/>
        <w:spacing w:after="0"/>
        <w:tabs>
          <w:tab w:leader="none" w:pos="444"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Amount beneficially owned: </w:t>
      </w:r>
      <w:r>
        <w:rPr>
          <w:rFonts w:ascii="Arial" w:cs="Arial" w:eastAsia="Arial" w:hAnsi="Arial"/>
          <w:sz w:val="18"/>
          <w:szCs w:val="18"/>
          <w:color w:val="auto"/>
        </w:rPr>
        <w:t>See row 9 of the cover pages.</w:t>
      </w:r>
    </w:p>
    <w:p>
      <w:pPr>
        <w:spacing w:after="0" w:line="130" w:lineRule="exact"/>
        <w:rPr>
          <w:rFonts w:ascii="Arial" w:cs="Arial" w:eastAsia="Arial" w:hAnsi="Arial"/>
          <w:sz w:val="18"/>
          <w:szCs w:val="18"/>
          <w:b w:val="1"/>
          <w:bCs w:val="1"/>
          <w:i w:val="1"/>
          <w:iCs w:val="1"/>
          <w:color w:val="auto"/>
        </w:rPr>
      </w:pPr>
    </w:p>
    <w:p>
      <w:pPr>
        <w:ind w:left="444" w:hanging="444"/>
        <w:spacing w:after="0"/>
        <w:tabs>
          <w:tab w:leader="none" w:pos="444"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Percent of class: </w:t>
      </w:r>
      <w:r>
        <w:rPr>
          <w:rFonts w:ascii="Arial" w:cs="Arial" w:eastAsia="Arial" w:hAnsi="Arial"/>
          <w:sz w:val="18"/>
          <w:szCs w:val="18"/>
          <w:color w:val="auto"/>
        </w:rPr>
        <w:t>See row 11 of the cover pages.</w:t>
      </w:r>
    </w:p>
    <w:p>
      <w:pPr>
        <w:sectPr>
          <w:pgSz w:w="11900" w:h="16838" w:orient="portrait"/>
          <w:cols w:equalWidth="0" w:num="1">
            <w:col w:w="10023"/>
          </w:cols>
          <w:pgMar w:left="436" w:top="490" w:right="1440" w:bottom="1440" w:gutter="0" w:footer="0" w:header="0"/>
        </w:sectPr>
      </w:pPr>
    </w:p>
    <w:bookmarkStart w:id="4" w:name="page5"/>
    <w:bookmarkEnd w:id="4"/>
    <w:p>
      <w:pPr>
        <w:ind w:left="444" w:hanging="444"/>
        <w:spacing w:after="0"/>
        <w:tabs>
          <w:tab w:leader="none" w:pos="444"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Sole power to vote or to direct the vote: </w:t>
      </w:r>
      <w:r>
        <w:rPr>
          <w:rFonts w:ascii="Arial" w:cs="Arial" w:eastAsia="Arial" w:hAnsi="Arial"/>
          <w:sz w:val="18"/>
          <w:szCs w:val="18"/>
          <w:color w:val="auto"/>
        </w:rPr>
        <w:t>See row 5 of the cover pages.</w:t>
      </w:r>
    </w:p>
    <w:p>
      <w:pPr>
        <w:spacing w:after="0" w:line="130"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Shared power to vote or to direct the vote: </w:t>
      </w:r>
      <w:r>
        <w:rPr>
          <w:rFonts w:ascii="Arial" w:cs="Arial" w:eastAsia="Arial" w:hAnsi="Arial"/>
          <w:sz w:val="18"/>
          <w:szCs w:val="18"/>
          <w:color w:val="auto"/>
        </w:rPr>
        <w:t>See row 6 of the cover pages.</w:t>
      </w:r>
    </w:p>
    <w:p>
      <w:pPr>
        <w:spacing w:after="0" w:line="130"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Sole power to dispose or to direct the disposition of: </w:t>
      </w:r>
      <w:r>
        <w:rPr>
          <w:rFonts w:ascii="Arial" w:cs="Arial" w:eastAsia="Arial" w:hAnsi="Arial"/>
          <w:sz w:val="18"/>
          <w:szCs w:val="18"/>
          <w:color w:val="auto"/>
        </w:rPr>
        <w:t>See row 7 of the cover pages.</w:t>
      </w:r>
    </w:p>
    <w:p>
      <w:pPr>
        <w:spacing w:after="0" w:line="130"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Shared power to dispose or to direct the disposition of: </w:t>
      </w:r>
      <w:r>
        <w:rPr>
          <w:rFonts w:ascii="Arial" w:cs="Arial" w:eastAsia="Arial" w:hAnsi="Arial"/>
          <w:sz w:val="18"/>
          <w:szCs w:val="18"/>
          <w:color w:val="auto"/>
        </w:rPr>
        <w:t>See row 8 of the cover pages.</w:t>
      </w:r>
    </w:p>
    <w:p>
      <w:pPr>
        <w:spacing w:after="0" w:line="117"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The aggregate number of shares of Class A common stock that may be deemed to be beneficially owned by Mr. Gehl is 3,090,177 shares, which includes: (i) 16,476 shares of Class A common stock held directly by Mr. Gehl; (ii) 161,762 vested options to purchase shares of Class A common stock held, which options are held directly by Mr. Gehl; and (iii) 2,911,939 shares of Class B common stock (which may be converted into shares of Class A common stock on a one-to-one basis) held directly by the Trust, of which Mr. Gehl is trustee. The Trust is also a separate reporting person on this Schedule 13G.</w:t>
      </w:r>
    </w:p>
    <w:p>
      <w:pPr>
        <w:spacing w:after="0" w:line="80" w:lineRule="exact"/>
        <w:rPr>
          <w:sz w:val="20"/>
          <w:szCs w:val="20"/>
          <w:color w:val="auto"/>
        </w:rPr>
      </w:pPr>
    </w:p>
    <w:p>
      <w:pPr>
        <w:ind w:left="444" w:right="120"/>
        <w:spacing w:after="0" w:line="291" w:lineRule="auto"/>
        <w:rPr>
          <w:sz w:val="20"/>
          <w:szCs w:val="20"/>
          <w:color w:val="auto"/>
        </w:rPr>
      </w:pPr>
      <w:r>
        <w:rPr>
          <w:rFonts w:ascii="Arial" w:cs="Arial" w:eastAsia="Arial" w:hAnsi="Arial"/>
          <w:sz w:val="16"/>
          <w:szCs w:val="16"/>
          <w:color w:val="auto"/>
        </w:rPr>
        <w:t>The percent of class reported on row 11 of the cover pages is based on: (i) the number of shares that may be deemed to be beneficially owned by the applicable reporting person as of the filing date of this Schedule 13G; and (ii) a number of shares of Class A common stock that is equal to:</w:t>
      </w:r>
    </w:p>
    <w:p>
      <w:pPr>
        <w:ind w:left="444" w:right="140" w:hanging="4"/>
        <w:spacing w:after="0" w:line="253" w:lineRule="auto"/>
        <w:tabs>
          <w:tab w:leader="none" w:pos="6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number of shares of Class A common stock reported as outstanding by the Issuer in its Quarterly Report on Form 10-Q for the quarterly period ended March 31, 2023, as filed with the Securities and Exchange Commission on May 15, 2023 (43,270,689 shares),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number of shares of Class A common stock that would be acquired upon the exercise of the options held by Mr. Gehl (161,762 shares),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number of shares of Class A common stock that would be acquired upon the conversion of all the shares of Class B common stock beneficially owned directly or indirectly by such reporting person (2,911,939 shares).</w:t>
      </w:r>
    </w:p>
    <w:p>
      <w:pPr>
        <w:spacing w:after="0" w:line="83" w:lineRule="exact"/>
        <w:rPr>
          <w:sz w:val="20"/>
          <w:szCs w:val="20"/>
          <w:color w:val="auto"/>
        </w:rPr>
      </w:pPr>
    </w:p>
    <w:p>
      <w:pPr>
        <w:ind w:left="444" w:right="140"/>
        <w:spacing w:after="0" w:line="254" w:lineRule="auto"/>
        <w:rPr>
          <w:sz w:val="20"/>
          <w:szCs w:val="20"/>
          <w:color w:val="auto"/>
        </w:rPr>
      </w:pPr>
      <w:r>
        <w:rPr>
          <w:rFonts w:ascii="Arial" w:cs="Arial" w:eastAsia="Arial" w:hAnsi="Arial"/>
          <w:sz w:val="18"/>
          <w:szCs w:val="18"/>
          <w:color w:val="auto"/>
        </w:rPr>
        <w:t>The Trust was previously party to that certain Controlled Company Agreement, dated as of October 9, 2021 (the “Controlled Company Agreement”), with the Issuer and certain other affiliates of RCP Advisors 2, LLC (“RCP 2”), RCP Advisors 3, LLC (together with RCP 2, the “RCP Group”), and certain affiliates of 210 Capital, LLC and TrueBridge Capital Partners LLC. The Trust and the other members of the RCP Group filed a Schedule 13G as a group on February 14, 2023. On May 16, 2023, the parties to the Controlled Company Agreement entered into that certain Amendment No. 1 (the “Amendment”) to remove the Trust as a party to the Controlled Company Agreement effective as of May 15, 2023. As a result of the Amendment, the Trust is no longer considered to be a part of a Section 13(d) group with the other members of the RCP Group. However, Mr. Gehl and the Trust may each still be deemed to beneficially own more than 5% of the outstanding shares of Class A common stock.</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5. Ownership of 5 Percent or Less of a Class.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6. Ownership of More than 5 Percent on Behalf of Another Person.</w:t>
      </w:r>
    </w:p>
    <w:p>
      <w:pPr>
        <w:spacing w:after="0" w:line="117"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As trustee of the Trust, Mr. Gehl may also be deemed to beneficially own the 2,911,939 shares of Class B common stock held directly the Trust, which may be converted to shares of Class A common stock on a one-to-one basis.</w:t>
      </w:r>
    </w:p>
    <w:p>
      <w:pPr>
        <w:sectPr>
          <w:pgSz w:w="11900" w:h="16838" w:orient="portrait"/>
          <w:cols w:equalWidth="0" w:num="1">
            <w:col w:w="10964"/>
          </w:cols>
          <w:pgMar w:left="436" w:top="490" w:right="499" w:bottom="1440" w:gutter="0" w:footer="0" w:header="0"/>
        </w:sectPr>
      </w:pPr>
    </w:p>
    <w:bookmarkStart w:id="5" w:name="page6"/>
    <w:bookmarkEnd w:id="5"/>
    <w:p>
      <w:pPr>
        <w:ind w:right="3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7. Identification and Classification of the Subsidiary Which Acquired the Security Being Reported on by the Parent Holding Company or Control Person.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 Identification and Classification of Members of the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 Notice of Dissolution of Group.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Certifications</w:t>
      </w:r>
    </w:p>
    <w:p>
      <w:pPr>
        <w:spacing w:after="0" w:line="11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00"/>
          </w:cols>
          <w:pgMar w:left="440" w:top="490"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25, 2023</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Jeff Patrick Gehl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Jeff Patrick Gehl</w:t>
      </w:r>
    </w:p>
    <w:p>
      <w:pPr>
        <w:spacing w:after="0" w:line="22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Jeff P. Gehl Living Trust dated January 25, 2011</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 Patrick Gehl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Jeff Patrick Gehl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Trustee</w:t>
            </w:r>
          </w:p>
        </w:tc>
      </w:tr>
    </w:tbl>
    <w:p>
      <w:pPr>
        <w:spacing w:after="0" w:line="1" w:lineRule="exact"/>
        <w:rPr>
          <w:sz w:val="20"/>
          <w:szCs w:val="20"/>
          <w:color w:val="auto"/>
        </w:rPr>
      </w:pP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
    </w:lvl>
    <w:lvl w:ilvl="1">
      <w:lvlJc w:val="left"/>
      <w:lvlText w:val="%2"/>
      <w:numFmt w:val="decimal"/>
      <w:start w:val="10"/>
    </w:lvl>
  </w:abstractNum>
  <w:abstractNum w:abstractNumId="9">
    <w:nsid w:val="41A7C4C9"/>
    <w:multiLevelType w:val="hybridMultilevel"/>
    <w:lvl w:ilvl="0">
      <w:lvlJc w:val="left"/>
      <w:lvlText w:val="(%1)"/>
      <w:numFmt w:val="decimal"/>
      <w:start w:val="1"/>
    </w:lvl>
    <w:lvl w:ilvl="1">
      <w:lvlJc w:val="left"/>
      <w:lvlText w:val="%2"/>
      <w:numFmt w:val="decimal"/>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4"/>
      <w:numFmt w:val="bullet"/>
      <w:start w:val="1"/>
    </w:lvl>
  </w:abstractNum>
  <w:abstractNum w:abstractNumId="14">
    <w:nsid w:val="431BD7B7"/>
    <w:multiLevelType w:val="hybridMultilevel"/>
    <w:lvl w:ilvl="0">
      <w:lvlJc w:val="left"/>
      <w:lvlText w:val="9"/>
      <w:numFmt w:val="bullet"/>
      <w:start w:val="1"/>
    </w:lvl>
  </w:abstractNum>
  <w:abstractNum w:abstractNumId="15">
    <w:nsid w:val="3F2DBA31"/>
    <w:multiLevelType w:val="hybridMultilevel"/>
    <w:lvl w:ilvl="0">
      <w:lvlJc w:val="left"/>
      <w:lvlText w:val="%1"/>
      <w:numFmt w:val="decimal"/>
      <w:start w:val="10"/>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lvl w:ilvl="1">
      <w:lvlJc w:val="left"/>
      <w:lvlText w:val="%2."/>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3"/>
    </w:lvl>
    <w:lvl w:ilvl="1">
      <w:lvlJc w:val="left"/>
      <w:lvlText w:val="(%2)"/>
      <w:numFmt w:val="lowerRoman"/>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2023-05-30T15:35:31Z</dcterms:created>
  <dcterms:modified xsi:type="dcterms:W3CDTF">2023-05-30T15:35:31Z</dcterms:modified>
</cp:coreProperties>
</file>