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Milner J Douglas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20"/>
        <w:spacing w:after="0" w:line="366" w:lineRule="auto"/>
        <w:rPr>
          <w:sz w:val="20"/>
          <w:szCs w:val="20"/>
          <w:color w:val="auto"/>
        </w:rPr>
      </w:pPr>
      <w:r>
        <w:rPr>
          <w:rFonts w:ascii="Arial" w:cs="Arial" w:eastAsia="Arial" w:hAnsi="Arial"/>
          <w:sz w:val="16"/>
          <w:szCs w:val="16"/>
          <w:color w:val="0000FF"/>
        </w:rPr>
        <w:t>C/O ACTIVE POWER INC. 2128 W. BRAKER LN., BK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President and Chief Executive</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6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08/09/2012</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60,000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60" w:type="dxa"/>
            <w:vAlign w:val="bottom"/>
            <w:gridSpan w:val="3"/>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0.8006</w:t>
            </w:r>
            <w:r>
              <w:rPr>
                <w:rFonts w:ascii="Arial" w:cs="Arial" w:eastAsia="Arial" w:hAnsi="Arial"/>
                <w:sz w:val="22"/>
                <w:szCs w:val="22"/>
                <w:color w:val="008000"/>
                <w:w w:val="91"/>
                <w:vertAlign w:val="superscript"/>
              </w:rPr>
              <w:t>(1)</w:t>
            </w:r>
          </w:p>
        </w:tc>
        <w:tc>
          <w:tcPr>
            <w:tcW w:w="1240" w:type="dxa"/>
            <w:vAlign w:val="bottom"/>
            <w:gridSpan w:val="2"/>
            <w:vMerge w:val="restart"/>
          </w:tcPr>
          <w:p>
            <w:pPr>
              <w:ind w:left="340"/>
              <w:spacing w:after="0"/>
              <w:rPr>
                <w:sz w:val="20"/>
                <w:szCs w:val="20"/>
                <w:color w:val="auto"/>
              </w:rPr>
            </w:pPr>
            <w:r>
              <w:rPr>
                <w:rFonts w:ascii="Arial" w:cs="Arial" w:eastAsia="Arial" w:hAnsi="Arial"/>
                <w:sz w:val="18"/>
                <w:szCs w:val="18"/>
                <w:color w:val="0000FF"/>
              </w:rPr>
              <w:t>60,000</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$ 0.7919 to $ 0.81, inclusive. The reporting person undertakes to provide to Active Power, Inc., any security holder of Active Power, Inc., or the staff of the Securities and Exchange Commission, upon request, full information regarding the number of shares sold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Donna S. Milner Trust, Donna and John Milner Jr, trustees.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6"/>
              </w:rPr>
              <w:t>/s/ John K. Penver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08/13/2012</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5253"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2019-12-17T05:11:34Z</dcterms:created>
  <dcterms:modified xsi:type="dcterms:W3CDTF">2019-12-17T05:11:34Z</dcterms:modified>
</cp:coreProperties>
</file>