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487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487410"/>
                    </a:xfrm>
                    <a:prstGeom prst="rect">
                      <a:avLst/>
                    </a:prstGeom>
                    <a:noFill/>
                  </pic:spPr>
                </pic:pic>
              </a:graphicData>
            </a:graphic>
          </wp:anchor>
        </w:drawing>
      </w:r>
    </w:p>
    <w:p>
      <w:pPr>
        <w:sectPr>
          <w:pgSz w:w="11900" w:h="16961"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Souder William F.</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40" w:type="dxa"/>
            <w:vAlign w:val="bottom"/>
            <w:tcBorders>
              <w:top w:val="single" w:sz="8" w:color="0000EE"/>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961"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4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440" w:type="dxa"/>
            <w:vAlign w:val="bottom"/>
          </w:tcPr>
          <w:p>
            <w:pPr>
              <w:ind w:left="200"/>
              <w:spacing w:after="0" w:line="227" w:lineRule="exact"/>
              <w:rPr>
                <w:sz w:val="20"/>
                <w:szCs w:val="20"/>
                <w:color w:val="auto"/>
              </w:rPr>
            </w:pPr>
            <w:r>
              <w:rPr>
                <w:rFonts w:ascii="Arial" w:cs="Arial" w:eastAsia="Arial" w:hAnsi="Arial"/>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w w:val="98"/>
              </w:rPr>
              <w:t>Other (specify</w:t>
            </w:r>
          </w:p>
        </w:tc>
      </w:tr>
      <w:tr>
        <w:trPr>
          <w:trHeight w:val="180"/>
        </w:trPr>
        <w:tc>
          <w:tcPr>
            <w:tcW w:w="24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44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below)</w:t>
            </w:r>
          </w:p>
        </w:tc>
      </w:tr>
    </w:tbl>
    <w:p>
      <w:pPr>
        <w:spacing w:after="0" w:line="22" w:lineRule="exact"/>
        <w:rPr>
          <w:sz w:val="24"/>
          <w:szCs w:val="24"/>
          <w:color w:val="auto"/>
        </w:rPr>
      </w:pPr>
    </w:p>
    <w:p>
      <w:pPr>
        <w:jc w:val="center"/>
        <w:ind w:left="-122"/>
        <w:spacing w:after="0"/>
        <w:rPr>
          <w:sz w:val="20"/>
          <w:szCs w:val="20"/>
          <w:color w:val="auto"/>
        </w:rPr>
      </w:pPr>
      <w:r>
        <w:rPr>
          <w:rFonts w:ascii="Arial" w:cs="Arial" w:eastAsia="Arial" w:hAnsi="Arial"/>
          <w:sz w:val="20"/>
          <w:szCs w:val="20"/>
          <w:color w:val="0000FF"/>
        </w:rPr>
        <w:t xml:space="preserve">Chief Operating Officer </w:t>
      </w:r>
      <w:r>
        <w:rPr>
          <w:rFonts w:ascii="Arial" w:cs="Arial" w:eastAsia="Arial" w:hAnsi="Arial"/>
          <w:sz w:val="24"/>
          <w:szCs w:val="24"/>
          <w:color w:val="000000"/>
        </w:rPr>
        <w:t>/</w:t>
      </w:r>
      <w:r>
        <w:rPr>
          <w:rFonts w:ascii="Arial" w:cs="Arial" w:eastAsia="Arial" w:hAnsi="Arial"/>
          <w:sz w:val="20"/>
          <w:szCs w:val="20"/>
          <w:color w:val="0000FF"/>
        </w:rPr>
        <w:t xml:space="preserve"> See</w:t>
      </w:r>
    </w:p>
    <w:p>
      <w:pPr>
        <w:spacing w:after="0" w:line="24" w:lineRule="exact"/>
        <w:rPr>
          <w:sz w:val="24"/>
          <w:szCs w:val="24"/>
          <w:color w:val="auto"/>
        </w:rPr>
      </w:pPr>
    </w:p>
    <w:p>
      <w:pPr>
        <w:jc w:val="center"/>
        <w:ind w:left="-122"/>
        <w:spacing w:after="0"/>
        <w:rPr>
          <w:sz w:val="20"/>
          <w:szCs w:val="20"/>
          <w:color w:val="auto"/>
        </w:rPr>
      </w:pPr>
      <w:r>
        <w:rPr>
          <w:rFonts w:ascii="Arial" w:cs="Arial" w:eastAsia="Arial" w:hAnsi="Arial"/>
          <w:sz w:val="20"/>
          <w:szCs w:val="20"/>
          <w:color w:val="0000FF"/>
        </w:rPr>
        <w:t>Footnote 1</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961" w:orient="portrait"/>
          <w:cols w:equalWidth="0" w:num="3">
            <w:col w:w="4277" w:space="720"/>
            <w:col w:w="3003" w:space="269"/>
            <w:col w:w="2671"/>
          </w:cols>
          <w:pgMar w:left="480" w:top="236" w:right="479" w:bottom="0" w:gutter="0" w:footer="0" w:header="0"/>
          <w:type w:val="continuous"/>
        </w:sectPr>
      </w:pPr>
    </w:p>
    <w:p>
      <w:pPr>
        <w:spacing w:after="0" w:line="13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 4)</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6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0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86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080" w:type="dxa"/>
            <w:vAlign w:val="bottom"/>
            <w:vMerge w:val="continue"/>
          </w:tcPr>
          <w:p>
            <w:pPr>
              <w:spacing w:after="0"/>
              <w:rPr>
                <w:sz w:val="17"/>
                <w:szCs w:val="17"/>
                <w:color w:val="auto"/>
              </w:rPr>
            </w:pPr>
          </w:p>
        </w:tc>
        <w:tc>
          <w:tcPr>
            <w:tcW w:w="186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480" w:type="dxa"/>
            <w:vAlign w:val="bottom"/>
            <w:gridSpan w:val="6"/>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1260" w:type="dxa"/>
            <w:vAlign w:val="bottom"/>
            <w:vMerge w:val="restart"/>
          </w:tcPr>
          <w:p>
            <w:pPr>
              <w:ind w:left="620"/>
              <w:spacing w:after="0"/>
              <w:rPr>
                <w:sz w:val="20"/>
                <w:szCs w:val="20"/>
                <w:color w:val="auto"/>
              </w:rPr>
            </w:pPr>
            <w:r>
              <w:rPr>
                <w:rFonts w:ascii="Arial" w:cs="Arial" w:eastAsia="Arial" w:hAnsi="Arial"/>
                <w:sz w:val="13"/>
                <w:szCs w:val="13"/>
                <w:color w:val="008000"/>
              </w:rPr>
              <w:t>(2)(3)</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008000"/>
              </w:rPr>
              <w:t>(2)(3)</w:t>
            </w:r>
          </w:p>
        </w:tc>
        <w:tc>
          <w:tcPr>
            <w:tcW w:w="1980" w:type="dxa"/>
            <w:vAlign w:val="bottom"/>
          </w:tcPr>
          <w:p>
            <w:pPr>
              <w:jc w:val="center"/>
              <w:ind w:left="222"/>
              <w:spacing w:after="0"/>
              <w:rPr>
                <w:sz w:val="20"/>
                <w:szCs w:val="20"/>
                <w:color w:val="auto"/>
              </w:rPr>
            </w:pPr>
            <w:r>
              <w:rPr>
                <w:rFonts w:ascii="Arial" w:cs="Arial" w:eastAsia="Arial" w:hAnsi="Arial"/>
                <w:sz w:val="20"/>
                <w:szCs w:val="20"/>
                <w:color w:val="0000FF"/>
                <w:w w:val="88"/>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4,905,274</w:t>
            </w:r>
            <w:r>
              <w:rPr>
                <w:rFonts w:ascii="Arial" w:cs="Arial" w:eastAsia="Arial" w:hAnsi="Arial"/>
                <w:sz w:val="25"/>
                <w:szCs w:val="25"/>
                <w:color w:val="008000"/>
                <w:w w:val="89"/>
                <w:vertAlign w:val="superscript"/>
              </w:rPr>
              <w:t>(2)(3)</w:t>
            </w:r>
          </w:p>
        </w:tc>
        <w:tc>
          <w:tcPr>
            <w:tcW w:w="860" w:type="dxa"/>
            <w:vAlign w:val="bottom"/>
            <w:vMerge w:val="restart"/>
          </w:tcPr>
          <w:p>
            <w:pPr>
              <w:jc w:val="right"/>
              <w:ind w:right="297"/>
              <w:spacing w:after="0"/>
              <w:rPr>
                <w:sz w:val="20"/>
                <w:szCs w:val="20"/>
                <w:color w:val="auto"/>
              </w:rPr>
            </w:pPr>
            <w:r>
              <w:rPr>
                <w:rFonts w:ascii="Arial" w:cs="Arial" w:eastAsia="Arial" w:hAnsi="Arial"/>
                <w:sz w:val="13"/>
                <w:szCs w:val="13"/>
                <w:color w:val="008000"/>
              </w:rPr>
              <w:t>(2)(3)</w:t>
            </w:r>
          </w:p>
        </w:tc>
        <w:tc>
          <w:tcPr>
            <w:tcW w:w="780" w:type="dxa"/>
            <w:vAlign w:val="bottom"/>
            <w:vMerge w:val="restart"/>
          </w:tcPr>
          <w:p>
            <w:pPr>
              <w:ind w:left="36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(4)</w:t>
            </w:r>
          </w:p>
        </w:tc>
        <w:tc>
          <w:tcPr>
            <w:tcW w:w="1560" w:type="dxa"/>
            <w:vAlign w:val="bottom"/>
          </w:tcPr>
          <w:p>
            <w:pPr>
              <w:ind w:left="220"/>
              <w:spacing w:after="0"/>
              <w:rPr>
                <w:sz w:val="20"/>
                <w:szCs w:val="20"/>
                <w:color w:val="auto"/>
              </w:rPr>
            </w:pPr>
            <w:r>
              <w:rPr>
                <w:rFonts w:ascii="Arial" w:cs="Arial" w:eastAsia="Arial" w:hAnsi="Arial"/>
                <w:sz w:val="20"/>
                <w:szCs w:val="20"/>
                <w:color w:val="0000FF"/>
              </w:rPr>
              <w:t>By Souder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980" w:type="dxa"/>
            <w:vAlign w:val="bottom"/>
            <w:vMerge w:val="restart"/>
          </w:tcPr>
          <w:p>
            <w:pPr>
              <w:jc w:val="center"/>
              <w:ind w:left="24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560" w:type="dxa"/>
            <w:vAlign w:val="bottom"/>
            <w:vMerge w:val="restart"/>
          </w:tcPr>
          <w:p>
            <w:pPr>
              <w:ind w:left="220"/>
              <w:spacing w:after="0"/>
              <w:rPr>
                <w:sz w:val="20"/>
                <w:szCs w:val="20"/>
                <w:color w:val="auto"/>
              </w:rPr>
            </w:pPr>
            <w:r>
              <w:rPr>
                <w:rFonts w:ascii="Arial" w:cs="Arial" w:eastAsia="Arial" w:hAnsi="Arial"/>
                <w:sz w:val="20"/>
                <w:szCs w:val="20"/>
                <w:color w:val="0000FF"/>
              </w:rPr>
              <w:t>Family LLC</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74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Souder William F.</w:t>
              </w:r>
            </w:hyperlink>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260" w:type="dxa"/>
            <w:vAlign w:val="bottom"/>
          </w:tcPr>
          <w:p>
            <w:pPr>
              <w:ind w:left="400"/>
              <w:spacing w:after="0"/>
              <w:rPr>
                <w:sz w:val="20"/>
                <w:szCs w:val="20"/>
                <w:color w:val="auto"/>
              </w:rPr>
            </w:pPr>
            <w:r>
              <w:rPr>
                <w:rFonts w:ascii="Arial" w:cs="Arial" w:eastAsia="Arial" w:hAnsi="Arial"/>
                <w:sz w:val="15"/>
                <w:szCs w:val="15"/>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w w:val="96"/>
              </w:rPr>
              <w:t>C/O P10, INC.</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Arial" w:cs="Arial" w:eastAsia="Arial" w:hAnsi="Arial"/>
                <w:sz w:val="20"/>
                <w:szCs w:val="20"/>
                <w:color w:val="0000FF"/>
              </w:rPr>
              <w:t>4514 COLE AVENUE, SUITE 1600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DALLAS</w:t>
            </w:r>
          </w:p>
        </w:tc>
        <w:tc>
          <w:tcPr>
            <w:tcW w:w="1100" w:type="dxa"/>
            <w:vAlign w:val="bottom"/>
            <w:gridSpan w:val="3"/>
          </w:tcPr>
          <w:p>
            <w:pPr>
              <w:ind w:left="120"/>
              <w:spacing w:after="0"/>
              <w:rPr>
                <w:sz w:val="20"/>
                <w:szCs w:val="20"/>
                <w:color w:val="auto"/>
              </w:rPr>
            </w:pPr>
            <w:r>
              <w:rPr>
                <w:rFonts w:ascii="Arial" w:cs="Arial" w:eastAsia="Arial" w:hAnsi="Arial"/>
                <w:sz w:val="20"/>
                <w:szCs w:val="20"/>
                <w:color w:val="0000FF"/>
              </w:rPr>
              <w:t>TX</w:t>
            </w:r>
          </w:p>
        </w:tc>
        <w:tc>
          <w:tcPr>
            <w:tcW w:w="1260" w:type="dxa"/>
            <w:vAlign w:val="bottom"/>
          </w:tcPr>
          <w:p>
            <w:pPr>
              <w:ind w:left="400"/>
              <w:spacing w:after="0"/>
              <w:rPr>
                <w:sz w:val="20"/>
                <w:szCs w:val="20"/>
                <w:color w:val="auto"/>
              </w:rPr>
            </w:pPr>
            <w:r>
              <w:rPr>
                <w:rFonts w:ascii="Arial" w:cs="Arial" w:eastAsia="Arial" w:hAnsi="Arial"/>
                <w:sz w:val="20"/>
                <w:szCs w:val="20"/>
                <w:color w:val="0000FF"/>
              </w:rPr>
              <w:t>75205</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260" w:type="dxa"/>
            <w:vAlign w:val="bottom"/>
          </w:tcPr>
          <w:p>
            <w:pPr>
              <w:ind w:left="400"/>
              <w:spacing w:after="0"/>
              <w:rPr>
                <w:sz w:val="20"/>
                <w:szCs w:val="20"/>
                <w:color w:val="auto"/>
              </w:rPr>
            </w:pPr>
            <w:r>
              <w:rPr>
                <w:rFonts w:ascii="Arial" w:cs="Arial" w:eastAsia="Arial" w:hAnsi="Arial"/>
                <w:sz w:val="15"/>
                <w:szCs w:val="15"/>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7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Souder Family LLC</w:t>
              </w:r>
            </w:hyperlink>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260" w:type="dxa"/>
            <w:vAlign w:val="bottom"/>
          </w:tcPr>
          <w:p>
            <w:pPr>
              <w:ind w:left="400"/>
              <w:spacing w:after="0"/>
              <w:rPr>
                <w:sz w:val="20"/>
                <w:szCs w:val="20"/>
                <w:color w:val="auto"/>
              </w:rPr>
            </w:pPr>
            <w:r>
              <w:rPr>
                <w:rFonts w:ascii="Arial" w:cs="Arial" w:eastAsia="Arial" w:hAnsi="Arial"/>
                <w:sz w:val="15"/>
                <w:szCs w:val="15"/>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w w:val="96"/>
              </w:rPr>
              <w:t>C/O P10, INC.</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Arial" w:cs="Arial" w:eastAsia="Arial" w:hAnsi="Arial"/>
                <w:sz w:val="20"/>
                <w:szCs w:val="20"/>
                <w:color w:val="0000FF"/>
              </w:rPr>
              <w:t>4514 COLE AVENUE, SUITE 1600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DALLAS</w:t>
            </w:r>
          </w:p>
        </w:tc>
        <w:tc>
          <w:tcPr>
            <w:tcW w:w="1100" w:type="dxa"/>
            <w:vAlign w:val="bottom"/>
            <w:gridSpan w:val="3"/>
          </w:tcPr>
          <w:p>
            <w:pPr>
              <w:ind w:left="120"/>
              <w:spacing w:after="0"/>
              <w:rPr>
                <w:sz w:val="20"/>
                <w:szCs w:val="20"/>
                <w:color w:val="auto"/>
              </w:rPr>
            </w:pPr>
            <w:r>
              <w:rPr>
                <w:rFonts w:ascii="Arial" w:cs="Arial" w:eastAsia="Arial" w:hAnsi="Arial"/>
                <w:sz w:val="20"/>
                <w:szCs w:val="20"/>
                <w:color w:val="0000FF"/>
              </w:rPr>
              <w:t>TX</w:t>
            </w:r>
          </w:p>
        </w:tc>
        <w:tc>
          <w:tcPr>
            <w:tcW w:w="1260" w:type="dxa"/>
            <w:vAlign w:val="bottom"/>
          </w:tcPr>
          <w:p>
            <w:pPr>
              <w:ind w:left="400"/>
              <w:spacing w:after="0"/>
              <w:rPr>
                <w:sz w:val="20"/>
                <w:szCs w:val="20"/>
                <w:color w:val="auto"/>
              </w:rPr>
            </w:pPr>
            <w:r>
              <w:rPr>
                <w:rFonts w:ascii="Arial" w:cs="Arial" w:eastAsia="Arial" w:hAnsi="Arial"/>
                <w:sz w:val="20"/>
                <w:szCs w:val="20"/>
                <w:color w:val="0000FF"/>
              </w:rPr>
              <w:t>75205</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260" w:type="dxa"/>
            <w:vAlign w:val="bottom"/>
          </w:tcPr>
          <w:p>
            <w:pPr>
              <w:ind w:left="400"/>
              <w:spacing w:after="0"/>
              <w:rPr>
                <w:sz w:val="20"/>
                <w:szCs w:val="20"/>
                <w:color w:val="auto"/>
              </w:rPr>
            </w:pPr>
            <w:r>
              <w:rPr>
                <w:rFonts w:ascii="Arial" w:cs="Arial" w:eastAsia="Arial" w:hAnsi="Arial"/>
                <w:sz w:val="15"/>
                <w:szCs w:val="15"/>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40" w:firstLine="5"/>
        <w:spacing w:after="0" w:line="329"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Form 3 is being filed by Souder Family LLC ("Souder LLC") and Mr. Souder (collectively, the "Reporting Persons"). The Reporting Persons are members of a Section 13(d) group that collectively beneficially owns more than 10% of the Issuer's outstanding Common Stock. The securities reported herein do not include any securities held by any group</w:t>
      </w:r>
    </w:p>
    <w:p>
      <w:pPr>
        <w:sectPr>
          <w:pgSz w:w="11900" w:h="16961" w:orient="portrait"/>
          <w:cols w:equalWidth="0" w:num="1">
            <w:col w:w="10940"/>
          </w:cols>
          <w:pgMar w:left="480" w:top="236" w:right="479" w:bottom="0" w:gutter="0" w:footer="0" w:header="0"/>
          <w:type w:val="continuous"/>
        </w:sectPr>
      </w:pPr>
    </w:p>
    <w:bookmarkStart w:id="1" w:name="page2"/>
    <w:bookmarkEnd w:id="1"/>
    <w:p>
      <w:pPr>
        <w:jc w:val="both"/>
        <w:ind w:right="20"/>
        <w:spacing w:after="0" w:line="241" w:lineRule="auto"/>
        <w:rPr>
          <w:sz w:val="20"/>
          <w:szCs w:val="20"/>
          <w:color w:val="auto"/>
        </w:rPr>
      </w:pPr>
      <w:r>
        <w:rPr>
          <w:rFonts w:ascii="Arial" w:cs="Arial" w:eastAsia="Arial" w:hAnsi="Arial"/>
          <w:sz w:val="15"/>
          <w:szCs w:val="15"/>
          <w:color w:val="008000"/>
        </w:rPr>
        <w:t>member other than the Reporting Persons, as such securities are being reported in separate Form 3 filings. The Reporting Persons disclaim beneficial ownership of the securities of the Issuer reported herein, except to the extent of his or its pecuniary interest therein, and the filing of this Form 3 shall not be construed as an admission that the Reporting Persons are the beneficial owners of the securities of the Issuer reported herein.</w:t>
      </w:r>
    </w:p>
    <w:p>
      <w:pPr>
        <w:spacing w:after="0" w:line="36" w:lineRule="exact"/>
        <w:rPr>
          <w:sz w:val="20"/>
          <w:szCs w:val="20"/>
          <w:color w:val="auto"/>
        </w:rPr>
      </w:pPr>
    </w:p>
    <w:p>
      <w:pPr>
        <w:ind w:right="8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Holders of Class B Common Stock may elect to convert such shares on a one-for-one basis into Class A Common Stock at any time. Upon any transfer, Class B Common Stock converts automatically on a one-for-one basis into shares of Class A Common Stock, except in the case of transfers to certain permitted transferees. After a Sunset (as defined below) becomes effective, each share of Class B Common Stock will automatically convert into Class A Common Stock.</w:t>
      </w:r>
    </w:p>
    <w:p>
      <w:pPr>
        <w:spacing w:after="0" w:line="35" w:lineRule="exact"/>
        <w:rPr>
          <w:rFonts w:ascii="Arial" w:cs="Arial" w:eastAsia="Arial" w:hAnsi="Arial"/>
          <w:sz w:val="15"/>
          <w:szCs w:val="15"/>
          <w:color w:val="008000"/>
        </w:rPr>
      </w:pPr>
    </w:p>
    <w:p>
      <w:pPr>
        <w:ind w:right="40" w:firstLine="5"/>
        <w:spacing w:after="0" w:line="236"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37" w:lineRule="exact"/>
        <w:rPr>
          <w:rFonts w:ascii="Arial" w:cs="Arial" w:eastAsia="Arial" w:hAnsi="Arial"/>
          <w:sz w:val="15"/>
          <w:szCs w:val="15"/>
          <w:color w:val="008000"/>
        </w:rPr>
      </w:pPr>
    </w:p>
    <w:p>
      <w:pPr>
        <w:ind w:right="34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Souder LLC. As the managing member of Souder LLC, Mr. Souder may be deemed to beneficially own the shares of Class B Common Stock owned directly by Souder LLC.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Arial" w:cs="Arial" w:eastAsia="Arial" w:hAnsi="Arial"/>
                <w:sz w:val="20"/>
                <w:szCs w:val="20"/>
                <w:color w:val="0000FF"/>
              </w:rPr>
              <w:t>/s/William F. Souder,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9"/>
              </w:rPr>
              <w:t>individually and as</w:t>
            </w:r>
          </w:p>
        </w:tc>
        <w:tc>
          <w:tcPr>
            <w:tcW w:w="160" w:type="dxa"/>
            <w:vAlign w:val="bottom"/>
            <w:tcBorders>
              <w:top w:val="single" w:sz="8" w:color="auto"/>
            </w:tcBorders>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Arial" w:cs="Arial" w:eastAsia="Arial" w:hAnsi="Arial"/>
                <w:sz w:val="20"/>
                <w:szCs w:val="20"/>
                <w:color w:val="0000FF"/>
              </w:rPr>
              <w:t>managing member of</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6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w w:val="95"/>
              </w:rPr>
              <w:t>Souder Family LLC</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Know all by these presents, that, for good and valuable consideration, the sufficiency and receipt of which are hereby acknowledged, each of the undersigned hereby constitutes and appoints each of Robert Alpert, C. Clark Webb and Amanda Coussens, and any of their substitutes, signing singly, each undersigned’s true and lawful attorney-in-fact to:</w:t>
      </w:r>
    </w:p>
    <w:p>
      <w:pPr>
        <w:spacing w:after="0" w:line="202" w:lineRule="exact"/>
        <w:rPr>
          <w:sz w:val="20"/>
          <w:szCs w:val="20"/>
          <w:color w:val="auto"/>
        </w:rPr>
      </w:pPr>
    </w:p>
    <w:p>
      <w:pPr>
        <w:jc w:val="both"/>
        <w:ind w:left="720" w:firstLine="721"/>
        <w:spacing w:after="0" w:line="259" w:lineRule="auto"/>
        <w:tabs>
          <w:tab w:leader="none" w:pos="211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execute for and on behalf of each undersigned (in accordance with Section 16(a) of the Securities Exchange Act of 1934, as amended, and the rules thereunder (the “Exchange Act”)), in such undersigned’s capacity, any and all Forms 3, 4 and/or 5, and any amendments thereto, that are necessary or advisable for such undersigned to file under Section 16(a) (collectively, “Documents”);</w:t>
      </w:r>
    </w:p>
    <w:p>
      <w:pPr>
        <w:spacing w:after="0" w:line="207" w:lineRule="exact"/>
        <w:rPr>
          <w:rFonts w:ascii="Arial" w:cs="Arial" w:eastAsia="Arial" w:hAnsi="Arial"/>
          <w:sz w:val="20"/>
          <w:szCs w:val="20"/>
          <w:color w:val="auto"/>
        </w:rPr>
      </w:pPr>
    </w:p>
    <w:p>
      <w:pPr>
        <w:jc w:val="both"/>
        <w:ind w:left="720" w:firstLine="721"/>
        <w:spacing w:after="0" w:line="264" w:lineRule="auto"/>
        <w:tabs>
          <w:tab w:leader="none" w:pos="2101" w:val="left"/>
        </w:tabs>
        <w:numPr>
          <w:ilvl w:val="0"/>
          <w:numId w:val="7"/>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such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left="720" w:firstLine="721"/>
        <w:spacing w:after="0" w:line="257" w:lineRule="auto"/>
        <w:tabs>
          <w:tab w:leader="none" w:pos="2103" w:val="left"/>
        </w:tabs>
        <w:numPr>
          <w:ilvl w:val="0"/>
          <w:numId w:val="7"/>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such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1441"/>
        <w:spacing w:after="0" w:line="268"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Each of the undersigned acknowledges that each attorney-in-fact, in serving in such capacity at the request of such undersigned, is not assuming, nor is such attorney-in-fact’s substitute or substitutes or P10, Inc., a Delaware corporation (the “Company”) assuming, any of such undersigned’s responsibilities to comply with the Exchange Act. Each of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201"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such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undersigned has caused this Power of Attorney to be executed as of this 20th day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October, 2021.</w:t>
      </w:r>
    </w:p>
    <w:p>
      <w:pPr>
        <w:spacing w:after="0" w:line="23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William Souder</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WILLIAM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SOUDER FAMILY LLC</w:t>
      </w:r>
    </w:p>
    <w:p>
      <w:pPr>
        <w:spacing w:after="0" w:line="254" w:lineRule="exact"/>
        <w:rPr>
          <w:sz w:val="20"/>
          <w:szCs w:val="20"/>
          <w:color w:val="auto"/>
        </w:rPr>
      </w:pPr>
    </w:p>
    <w:p>
      <w:pPr>
        <w:ind w:left="5700"/>
        <w:spacing w:after="0"/>
        <w:tabs>
          <w:tab w:leader="none" w:pos="6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WILLIAM SOUDER</w:t>
      </w:r>
    </w:p>
    <w:p>
      <w:pPr>
        <w:spacing w:after="0" w:line="26" w:lineRule="exact"/>
        <w:rPr>
          <w:sz w:val="20"/>
          <w:szCs w:val="20"/>
          <w:color w:val="auto"/>
        </w:rPr>
      </w:pPr>
    </w:p>
    <w:tbl>
      <w:tblPr>
        <w:tblLayout w:type="fixed"/>
        <w:tblInd w:w="6340" w:type="dxa"/>
        <w:tblCellMar>
          <w:top w:w="0" w:type="dxa"/>
          <w:left w:w="0" w:type="dxa"/>
          <w:bottom w:w="0" w:type="dxa"/>
          <w:right w:w="0" w:type="dxa"/>
        </w:tblCellMar>
      </w:tblPr>
      <w:tr>
        <w:trPr>
          <w:trHeight w:val="219"/>
        </w:trPr>
        <w:tc>
          <w:tcPr>
            <w:tcW w:w="780" w:type="dxa"/>
            <w:vAlign w:val="bottom"/>
            <w:tcBorders>
              <w:top w:val="single" w:sz="8" w:color="auto"/>
            </w:tcBorders>
          </w:tcPr>
          <w:p>
            <w:pPr>
              <w:ind w:left="20"/>
              <w:spacing w:after="0" w:line="219" w:lineRule="exact"/>
              <w:rPr>
                <w:sz w:val="20"/>
                <w:szCs w:val="20"/>
                <w:color w:val="auto"/>
              </w:rPr>
            </w:pPr>
            <w:r>
              <w:rPr>
                <w:rFonts w:ascii="Arial" w:cs="Arial" w:eastAsia="Arial" w:hAnsi="Arial"/>
                <w:sz w:val="20"/>
                <w:szCs w:val="20"/>
                <w:color w:val="auto"/>
              </w:rPr>
              <w:t>Name:</w:t>
            </w:r>
          </w:p>
        </w:tc>
        <w:tc>
          <w:tcPr>
            <w:tcW w:w="3720" w:type="dxa"/>
            <w:vAlign w:val="bottom"/>
            <w:tcBorders>
              <w:top w:val="single" w:sz="8" w:color="auto"/>
            </w:tcBorders>
          </w:tcPr>
          <w:p>
            <w:pPr>
              <w:ind w:left="220"/>
              <w:spacing w:after="0" w:line="219" w:lineRule="exact"/>
              <w:rPr>
                <w:sz w:val="20"/>
                <w:szCs w:val="20"/>
                <w:color w:val="auto"/>
              </w:rPr>
            </w:pPr>
            <w:r>
              <w:rPr>
                <w:rFonts w:ascii="Arial" w:cs="Arial" w:eastAsia="Arial" w:hAnsi="Arial"/>
                <w:sz w:val="20"/>
                <w:szCs w:val="20"/>
                <w:color w:val="auto"/>
              </w:rPr>
              <w:t>WILLIAM SOUDER</w:t>
            </w:r>
          </w:p>
        </w:tc>
      </w:tr>
      <w:tr>
        <w:trPr>
          <w:trHeight w:val="256"/>
        </w:trPr>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3720" w:type="dxa"/>
            <w:vAlign w:val="bottom"/>
          </w:tcPr>
          <w:p>
            <w:pPr>
              <w:ind w:left="220"/>
              <w:spacing w:after="0"/>
              <w:rPr>
                <w:sz w:val="20"/>
                <w:szCs w:val="20"/>
                <w:color w:val="auto"/>
              </w:rPr>
            </w:pPr>
            <w:r>
              <w:rPr>
                <w:rFonts w:ascii="Arial" w:cs="Arial" w:eastAsia="Arial" w:hAnsi="Arial"/>
                <w:sz w:val="20"/>
                <w:szCs w:val="20"/>
                <w:color w:val="auto"/>
              </w:rPr>
              <w:t>Managing Member</w:t>
            </w:r>
          </w:p>
        </w:tc>
      </w:tr>
    </w:tbl>
    <w:p>
      <w:pPr>
        <w:spacing w:after="0" w:line="1" w:lineRule="exact"/>
        <w:rPr>
          <w:sz w:val="20"/>
          <w:szCs w:val="20"/>
          <w:color w:val="auto"/>
        </w:rPr>
      </w:pPr>
    </w:p>
    <w:sectPr>
      <w:pgSz w:w="11900" w:h="16838" w:orient="portrait"/>
      <w:cols w:equalWidth="0" w:num="1">
        <w:col w:w="10940"/>
      </w:cols>
      <w:pgMar w:left="480" w:top="6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0" Type="http://schemas.openxmlformats.org/officeDocument/2006/relationships/hyperlink" Target="http://www.sec.gov/cgi-bin/browse-edgar?action=getcompany&amp;CIK=0001888590" TargetMode="External"/><Relationship Id="rId11" Type="http://schemas.openxmlformats.org/officeDocument/2006/relationships/hyperlink" Target="http://www.sec.gov/cgi-bin/browse-edgar?action=getcompany&amp;CIK=0001841968" TargetMode="External"/><Relationship Id="rId12"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2021-10-20T20:24:35Z</dcterms:created>
  <dcterms:modified xsi:type="dcterms:W3CDTF">2021-10-20T20:24:35Z</dcterms:modified>
</cp:coreProperties>
</file>