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694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94880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color w:val="0000FF"/>
        </w:rPr>
        <w:t>See remarks</w:t>
      </w:r>
    </w:p>
    <w:p>
      <w:pPr>
        <w:spacing w:after="0" w:line="408"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75205</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05"/>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2"/>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12/09/2025</w:t>
            </w:r>
          </w:p>
        </w:tc>
        <w:tc>
          <w:tcPr>
            <w:tcW w:w="106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6"/>
                <w:szCs w:val="16"/>
                <w:color w:val="0000FF"/>
              </w:rPr>
              <w:t>116,024</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right"/>
              <w:ind w:right="125"/>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116,024</w:t>
            </w:r>
          </w:p>
        </w:tc>
        <w:tc>
          <w:tcPr>
            <w:tcW w:w="940" w:type="dxa"/>
            <w:vAlign w:val="bottom"/>
            <w:vMerge w:val="restart"/>
          </w:tcPr>
          <w:p>
            <w:pPr>
              <w:ind w:left="400"/>
              <w:spacing w:after="0" w:line="365" w:lineRule="exact"/>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0"/>
                <w:szCs w:val="10"/>
                <w:color w:val="008000"/>
              </w:rPr>
              <w:t>(3)</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164"/>
        </w:trPr>
        <w:tc>
          <w:tcPr>
            <w:tcW w:w="24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Ascent</w:t>
            </w:r>
          </w:p>
        </w:tc>
        <w:tc>
          <w:tcPr>
            <w:tcW w:w="0" w:type="dxa"/>
            <w:vAlign w:val="bottom"/>
          </w:tcPr>
          <w:p>
            <w:pPr>
              <w:spacing w:after="0"/>
              <w:rPr>
                <w:sz w:val="1"/>
                <w:szCs w:val="1"/>
                <w:color w:val="auto"/>
              </w:rPr>
            </w:pPr>
          </w:p>
        </w:tc>
      </w:tr>
      <w:tr>
        <w:trPr>
          <w:trHeight w:val="50"/>
        </w:trPr>
        <w:tc>
          <w:tcPr>
            <w:tcW w:w="24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6"/>
          <w:szCs w:val="16"/>
          <w:color w:val="0000FF"/>
        </w:rPr>
        <w:t>LLC</w:t>
      </w:r>
    </w:p>
    <w:p>
      <w:pPr>
        <w:spacing w:after="0" w:line="13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By</w:t>
      </w:r>
    </w:p>
    <w:p>
      <w:pPr>
        <w:spacing w:after="0" w:line="30"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TrueBridge</w:t>
      </w:r>
    </w:p>
    <w:p>
      <w:pPr>
        <w:ind w:left="80"/>
        <w:spacing w:after="0"/>
        <w:tabs>
          <w:tab w:leader="none" w:pos="8240" w:val="left"/>
          <w:tab w:leader="none" w:pos="9500" w:val="left"/>
          <w:tab w:leader="none" w:pos="10120" w:val="left"/>
        </w:tabs>
        <w:rPr>
          <w:sz w:val="20"/>
          <w:szCs w:val="20"/>
          <w:color w:val="auto"/>
        </w:rPr>
      </w:pPr>
      <w:r>
        <w:rPr>
          <w:rFonts w:ascii="Times New Roman" w:cs="Times New Roman" w:eastAsia="Times New Roman" w:hAnsi="Times New Roman"/>
          <w:sz w:val="16"/>
          <w:szCs w:val="16"/>
          <w:color w:val="0000FF"/>
        </w:rPr>
        <w:t>Class A Common Stock</w:t>
      </w:r>
      <w:r>
        <w:rPr>
          <w:sz w:val="20"/>
          <w:szCs w:val="20"/>
          <w:color w:val="auto"/>
        </w:rPr>
        <w:tab/>
      </w:r>
      <w:r>
        <w:rPr>
          <w:rFonts w:ascii="Times New Roman" w:cs="Times New Roman" w:eastAsia="Times New Roman" w:hAnsi="Times New Roman"/>
          <w:sz w:val="16"/>
          <w:szCs w:val="16"/>
          <w:color w:val="0000FF"/>
        </w:rPr>
        <w:t>2,398,531</w:t>
      </w:r>
      <w:r>
        <w:rPr>
          <w:sz w:val="20"/>
          <w:szCs w:val="20"/>
          <w:color w:val="auto"/>
        </w:rPr>
        <w:tab/>
      </w:r>
      <w:r>
        <w:rPr>
          <w:rFonts w:ascii="Times New Roman" w:cs="Times New Roman" w:eastAsia="Times New Roman" w:hAnsi="Times New Roman"/>
          <w:sz w:val="16"/>
          <w:szCs w:val="16"/>
          <w:color w:val="0000FF"/>
        </w:rPr>
        <w:t>I</w:t>
      </w:r>
      <w:r>
        <w:rPr>
          <w:rFonts w:ascii="Times New Roman" w:cs="Times New Roman" w:eastAsia="Times New Roman" w:hAnsi="Times New Roman"/>
          <w:sz w:val="20"/>
          <w:szCs w:val="20"/>
          <w:color w:val="008000"/>
          <w:vertAlign w:val="superscript"/>
        </w:rPr>
        <w:t>(4)</w:t>
      </w:r>
      <w:r>
        <w:rPr>
          <w:sz w:val="20"/>
          <w:szCs w:val="20"/>
          <w:color w:val="auto"/>
        </w:rPr>
        <w:tab/>
      </w:r>
      <w:r>
        <w:rPr>
          <w:rFonts w:ascii="Times New Roman" w:cs="Times New Roman" w:eastAsia="Times New Roman" w:hAnsi="Times New Roman"/>
          <w:sz w:val="16"/>
          <w:szCs w:val="16"/>
          <w:color w:val="0000FF"/>
        </w:rPr>
        <w:t>Colonial</w:t>
      </w:r>
    </w:p>
    <w:p>
      <w:pPr>
        <w:spacing w:after="0" w:line="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Fund, u/a</w:t>
      </w:r>
    </w:p>
    <w:p>
      <w:pPr>
        <w:spacing w:after="0" w:line="12"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11/15/2015</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384"/>
        </w:trPr>
        <w:tc>
          <w:tcPr>
            <w:tcW w:w="4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4200" w:type="dxa"/>
            <w:vAlign w:val="bottom"/>
            <w:tcBorders>
              <w:bottom w:val="single" w:sz="8" w:color="2C2C2C"/>
            </w:tcBorders>
          </w:tcPr>
          <w:p>
            <w:pPr>
              <w:jc w:val="right"/>
              <w:ind w:right="298"/>
              <w:spacing w:after="0"/>
              <w:rPr>
                <w:sz w:val="20"/>
                <w:szCs w:val="20"/>
                <w:color w:val="auto"/>
              </w:rPr>
            </w:pPr>
            <w:r>
              <w:rPr>
                <w:rFonts w:ascii="Times New Roman" w:cs="Times New Roman" w:eastAsia="Times New Roman" w:hAnsi="Times New Roman"/>
                <w:sz w:val="16"/>
                <w:szCs w:val="16"/>
                <w:color w:val="0000FF"/>
              </w:rPr>
              <w:t>60,502</w:t>
            </w:r>
          </w:p>
        </w:tc>
        <w:tc>
          <w:tcPr>
            <w:tcW w:w="760" w:type="dxa"/>
            <w:vAlign w:val="bottom"/>
            <w:tcBorders>
              <w:bottom w:val="single" w:sz="8" w:color="2C2C2C"/>
            </w:tcBorders>
          </w:tcPr>
          <w:p>
            <w:pPr>
              <w:jc w:val="center"/>
              <w:ind w:left="68"/>
              <w:spacing w:after="0"/>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(5)</w:t>
            </w:r>
          </w:p>
        </w:tc>
        <w:tc>
          <w:tcPr>
            <w:tcW w:w="10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By Edwin</w:t>
            </w:r>
          </w:p>
        </w:tc>
        <w:tc>
          <w:tcPr>
            <w:tcW w:w="0" w:type="dxa"/>
            <w:vAlign w:val="bottom"/>
          </w:tcPr>
          <w:p>
            <w:pPr>
              <w:spacing w:after="0"/>
              <w:rPr>
                <w:sz w:val="1"/>
                <w:szCs w:val="1"/>
                <w:color w:val="auto"/>
              </w:rPr>
            </w:pPr>
          </w:p>
        </w:tc>
      </w:tr>
      <w:tr>
        <w:trPr>
          <w:trHeight w:val="202"/>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4200" w:type="dxa"/>
            <w:vAlign w:val="bottom"/>
            <w:vMerge w:val="restart"/>
          </w:tcPr>
          <w:p>
            <w:pPr>
              <w:jc w:val="right"/>
              <w:ind w:right="238"/>
              <w:spacing w:after="0"/>
              <w:rPr>
                <w:sz w:val="20"/>
                <w:szCs w:val="20"/>
                <w:color w:val="auto"/>
              </w:rPr>
            </w:pPr>
            <w:r>
              <w:rPr>
                <w:rFonts w:ascii="Times New Roman" w:cs="Times New Roman" w:eastAsia="Times New Roman" w:hAnsi="Times New Roman"/>
                <w:sz w:val="16"/>
                <w:szCs w:val="16"/>
                <w:color w:val="0000FF"/>
              </w:rPr>
              <w:t>521,664</w:t>
            </w:r>
          </w:p>
        </w:tc>
        <w:tc>
          <w:tcPr>
            <w:tcW w:w="760" w:type="dxa"/>
            <w:vAlign w:val="bottom"/>
            <w:vMerge w:val="restart"/>
          </w:tcPr>
          <w:p>
            <w:pPr>
              <w:jc w:val="center"/>
              <w:ind w:left="48"/>
              <w:spacing w:after="0" w:line="365" w:lineRule="exact"/>
              <w:rPr>
                <w:sz w:val="20"/>
                <w:szCs w:val="20"/>
                <w:color w:val="auto"/>
              </w:rPr>
            </w:pPr>
            <w:r>
              <w:rPr>
                <w:rFonts w:ascii="Times New Roman" w:cs="Times New Roman" w:eastAsia="Times New Roman" w:hAnsi="Times New Roman"/>
                <w:sz w:val="32"/>
                <w:szCs w:val="32"/>
                <w:color w:val="0000FF"/>
                <w:w w:val="95"/>
                <w:vertAlign w:val="subscript"/>
              </w:rPr>
              <w:t>I</w:t>
            </w:r>
            <w:r>
              <w:rPr>
                <w:rFonts w:ascii="Times New Roman" w:cs="Times New Roman" w:eastAsia="Times New Roman" w:hAnsi="Times New Roman"/>
                <w:sz w:val="10"/>
                <w:szCs w:val="10"/>
                <w:color w:val="008000"/>
                <w:w w:val="95"/>
              </w:rPr>
              <w:t>(6)</w:t>
            </w: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 Poston</w:t>
            </w:r>
          </w:p>
        </w:tc>
        <w:tc>
          <w:tcPr>
            <w:tcW w:w="0" w:type="dxa"/>
            <w:vAlign w:val="bottom"/>
          </w:tcPr>
          <w:p>
            <w:pPr>
              <w:spacing w:after="0"/>
              <w:rPr>
                <w:sz w:val="1"/>
                <w:szCs w:val="1"/>
                <w:color w:val="auto"/>
              </w:rPr>
            </w:pPr>
          </w:p>
        </w:tc>
      </w:tr>
      <w:tr>
        <w:trPr>
          <w:trHeight w:val="164"/>
        </w:trPr>
        <w:tc>
          <w:tcPr>
            <w:tcW w:w="4960" w:type="dxa"/>
            <w:vAlign w:val="bottom"/>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Revocable</w:t>
            </w:r>
          </w:p>
        </w:tc>
        <w:tc>
          <w:tcPr>
            <w:tcW w:w="0" w:type="dxa"/>
            <w:vAlign w:val="bottom"/>
          </w:tcPr>
          <w:p>
            <w:pPr>
              <w:spacing w:after="0"/>
              <w:rPr>
                <w:sz w:val="1"/>
                <w:szCs w:val="1"/>
                <w:color w:val="auto"/>
              </w:rPr>
            </w:pPr>
          </w:p>
        </w:tc>
      </w:tr>
      <w:tr>
        <w:trPr>
          <w:trHeight w:val="50"/>
        </w:trPr>
        <w:tc>
          <w:tcPr>
            <w:tcW w:w="4960" w:type="dxa"/>
            <w:vAlign w:val="bottom"/>
          </w:tcPr>
          <w:p>
            <w:pPr>
              <w:spacing w:after="0"/>
              <w:rPr>
                <w:sz w:val="4"/>
                <w:szCs w:val="4"/>
                <w:color w:val="auto"/>
              </w:rPr>
            </w:pPr>
          </w:p>
        </w:tc>
        <w:tc>
          <w:tcPr>
            <w:tcW w:w="4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6"/>
          <w:szCs w:val="16"/>
          <w:color w:val="0000FF"/>
        </w:rPr>
        <w:t>Trust</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vMerge w:val="continue"/>
          </w:tcPr>
          <w:p>
            <w:pPr>
              <w:spacing w:after="0"/>
              <w:rPr>
                <w:sz w:val="5"/>
                <w:szCs w:val="5"/>
                <w:color w:val="auto"/>
              </w:rPr>
            </w:pPr>
          </w:p>
        </w:tc>
        <w:tc>
          <w:tcPr>
            <w:tcW w:w="78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0000FF"/>
              </w:rPr>
              <w:t>116,024</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900" w:type="dxa"/>
            <w:vAlign w:val="bottom"/>
          </w:tcPr>
          <w:p>
            <w:pPr>
              <w:spacing w:after="0"/>
              <w:rPr>
                <w:sz w:val="5"/>
                <w:szCs w:val="5"/>
                <w:color w:val="auto"/>
              </w:rPr>
            </w:pPr>
          </w:p>
        </w:tc>
        <w:tc>
          <w:tcPr>
            <w:tcW w:w="720" w:type="dxa"/>
            <w:vAlign w:val="bottom"/>
            <w:vMerge w:val="restart"/>
          </w:tcPr>
          <w:p>
            <w:pPr>
              <w:ind w:left="280"/>
              <w:spacing w:after="0" w:line="202"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76"/>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12/09/2025</w:t>
            </w:r>
          </w:p>
        </w:tc>
        <w:tc>
          <w:tcPr>
            <w:tcW w:w="1060" w:type="dxa"/>
            <w:vAlign w:val="bottom"/>
          </w:tcPr>
          <w:p>
            <w:pPr>
              <w:spacing w:after="0"/>
              <w:rPr>
                <w:sz w:val="6"/>
                <w:szCs w:val="6"/>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116,024</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jc w:val="right"/>
              <w:ind w:right="362"/>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Ascent</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5,216,646</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vMerge w:val="restart"/>
          </w:tcPr>
          <w:p>
            <w:pPr>
              <w:ind w:left="280"/>
              <w:spacing w:after="0" w:line="277"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(4)</w:t>
            </w:r>
          </w:p>
        </w:tc>
        <w:tc>
          <w:tcPr>
            <w:tcW w:w="7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ind w:right="142"/>
              <w:spacing w:after="0" w:line="139" w:lineRule="exact"/>
              <w:rPr>
                <w:sz w:val="20"/>
                <w:szCs w:val="20"/>
                <w:color w:val="auto"/>
              </w:rPr>
            </w:pPr>
            <w:r>
              <w:rPr>
                <w:rFonts w:ascii="Times New Roman" w:cs="Times New Roman" w:eastAsia="Times New Roman" w:hAnsi="Times New Roman"/>
                <w:sz w:val="13"/>
                <w:szCs w:val="13"/>
                <w:color w:val="0000FF"/>
              </w:rPr>
              <w:t>5,216,646</w:t>
            </w:r>
          </w:p>
        </w:tc>
        <w:tc>
          <w:tcPr>
            <w:tcW w:w="720" w:type="dxa"/>
            <w:vAlign w:val="bottom"/>
            <w:vMerge w:val="continue"/>
          </w:tcPr>
          <w:p>
            <w:pPr>
              <w:spacing w:after="0"/>
              <w:rPr>
                <w:sz w:val="12"/>
                <w:szCs w:val="12"/>
                <w:color w:val="auto"/>
              </w:rPr>
            </w:pPr>
          </w:p>
        </w:tc>
        <w:tc>
          <w:tcPr>
            <w:tcW w:w="7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Colonial</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Fund, u/a</w:t>
            </w: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11/15/2015</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42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1" w:lineRule="exact"/>
        <w:rPr>
          <w:rFonts w:ascii="Times New Roman" w:cs="Times New Roman" w:eastAsia="Times New Roman" w:hAnsi="Times New Roman"/>
          <w:sz w:val="13"/>
          <w:szCs w:val="13"/>
          <w:color w:val="008000"/>
        </w:rPr>
      </w:pPr>
    </w:p>
    <w:p>
      <w:pPr>
        <w:ind w:left="40" w:right="180" w:hanging="1"/>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December 9, 2025, TrueBridge Ascent LLC converted 116,024 shares of Class B Common Stock into an equivalent number of shares of Class A Common Stock.</w:t>
      </w:r>
    </w:p>
    <w:p>
      <w:pPr>
        <w:spacing w:after="0" w:line="27" w:lineRule="exact"/>
        <w:rPr>
          <w:rFonts w:ascii="Times New Roman" w:cs="Times New Roman" w:eastAsia="Times New Roman" w:hAnsi="Times New Roman"/>
          <w:sz w:val="13"/>
          <w:szCs w:val="13"/>
          <w:color w:val="008000"/>
        </w:rPr>
      </w:pPr>
    </w:p>
    <w:p>
      <w:pPr>
        <w:ind w:left="40" w:right="20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TrueBridge Ascent LLC. The Reporting Person, as a manager of TrueBridge Ascent LLC, may be deemed to be deemed to beneficially own the securities of the Issuer owned directly by TrueBridge Ascent LLC.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rFonts w:ascii="Times New Roman" w:cs="Times New Roman" w:eastAsia="Times New Roman" w:hAnsi="Times New Roman"/>
          <w:sz w:val="13"/>
          <w:szCs w:val="13"/>
          <w:color w:val="008000"/>
        </w:rPr>
      </w:pPr>
    </w:p>
    <w:p>
      <w:pPr>
        <w:ind w:left="40" w:right="280" w:hanging="1"/>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of the Issuer owned directly by the Edwin A. Poston Revocable Trust (the "Poston Trust"). The Reporting Person, as sole trustee of the Poston Trust, may be deemed to beneficially own the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 w:right="320"/>
        <w:spacing w:after="0" w:line="246" w:lineRule="auto"/>
        <w:rPr>
          <w:sz w:val="20"/>
          <w:szCs w:val="20"/>
          <w:color w:val="auto"/>
        </w:rPr>
      </w:pPr>
      <w:r>
        <w:rPr>
          <w:rFonts w:ascii="Times New Roman" w:cs="Times New Roman" w:eastAsia="Times New Roman" w:hAnsi="Times New Roman"/>
          <w:sz w:val="13"/>
          <w:szCs w:val="13"/>
          <w:color w:val="008000"/>
        </w:rPr>
        <w:t>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0"/>
          <w:szCs w:val="20"/>
          <w:color w:val="auto"/>
        </w:rPr>
      </w:pPr>
    </w:p>
    <w:p>
      <w:pPr>
        <w:ind w:left="1"/>
        <w:spacing w:after="0" w:line="236"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5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Dominic Hong,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-3810</wp:posOffset>
            </wp:positionV>
            <wp:extent cx="1367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561"/>
        <w:spacing w:after="0"/>
        <w:tabs>
          <w:tab w:leader="none" w:pos="8741" w:val="left"/>
        </w:tabs>
        <w:rPr>
          <w:sz w:val="20"/>
          <w:szCs w:val="20"/>
          <w:color w:val="auto"/>
        </w:rPr>
      </w:pPr>
      <w:r>
        <w:rPr>
          <w:rFonts w:ascii="Times New Roman" w:cs="Times New Roman" w:eastAsia="Times New Roman" w:hAnsi="Times New Roman"/>
          <w:sz w:val="16"/>
          <w:szCs w:val="16"/>
          <w:color w:val="0000FF"/>
        </w:rPr>
        <w:t>in-Fact for the Reporting</w:t>
      </w:r>
      <w:r>
        <w:rPr>
          <w:sz w:val="20"/>
          <w:szCs w:val="20"/>
          <w:color w:val="auto"/>
        </w:rPr>
        <w:tab/>
      </w:r>
      <w:r>
        <w:rPr>
          <w:rFonts w:ascii="Times New Roman" w:cs="Times New Roman" w:eastAsia="Times New Roman" w:hAnsi="Times New Roman"/>
          <w:sz w:val="16"/>
          <w:szCs w:val="16"/>
          <w:color w:val="0000FF"/>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870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Person, /s/ Dominic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080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36"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20" w:hanging="1"/>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2025-12-11T15:50:06Z</dcterms:created>
  <dcterms:modified xsi:type="dcterms:W3CDTF">2025-12-11T15:50:06Z</dcterms:modified>
</cp:coreProperties>
</file>