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November 9, 2022</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1" w:lineRule="exact"/>
        <w:rPr>
          <w:sz w:val="24"/>
          <w:szCs w:val="24"/>
          <w:color w:val="auto"/>
        </w:rPr>
      </w:pPr>
    </w:p>
    <w:tbl>
      <w:tblPr>
        <w:tblLayout w:type="fixed"/>
        <w:tblInd w:w="960" w:type="dxa"/>
        <w:tblCellMar>
          <w:top w:w="0" w:type="dxa"/>
          <w:left w:w="0" w:type="dxa"/>
          <w:bottom w:w="0" w:type="dxa"/>
          <w:right w:w="0" w:type="dxa"/>
        </w:tblCellMar>
      </w:tblPr>
      <w:tr>
        <w:trPr>
          <w:trHeight w:val="202"/>
        </w:trPr>
        <w:tc>
          <w:tcPr>
            <w:tcW w:w="2880" w:type="dxa"/>
            <w:vAlign w:val="bottom"/>
          </w:tcPr>
          <w:p>
            <w:pPr>
              <w:jc w:val="center"/>
              <w:ind w:right="864"/>
              <w:spacing w:after="0"/>
              <w:rPr>
                <w:sz w:val="20"/>
                <w:szCs w:val="20"/>
                <w:color w:val="auto"/>
              </w:rPr>
            </w:pPr>
            <w:r>
              <w:rPr>
                <w:rFonts w:ascii="Arial" w:cs="Arial" w:eastAsia="Arial" w:hAnsi="Arial"/>
                <w:sz w:val="17"/>
                <w:szCs w:val="17"/>
                <w:b w:val="1"/>
                <w:bCs w:val="1"/>
                <w:color w:val="auto"/>
                <w:w w:val="93"/>
              </w:rPr>
              <w:t>Delaware</w:t>
            </w:r>
          </w:p>
        </w:tc>
        <w:tc>
          <w:tcPr>
            <w:tcW w:w="3860" w:type="dxa"/>
            <w:vAlign w:val="bottom"/>
          </w:tcPr>
          <w:p>
            <w:pPr>
              <w:jc w:val="center"/>
              <w:ind w:right="84"/>
              <w:spacing w:after="0"/>
              <w:rPr>
                <w:sz w:val="20"/>
                <w:szCs w:val="20"/>
                <w:color w:val="auto"/>
              </w:rPr>
            </w:pPr>
            <w:r>
              <w:rPr>
                <w:rFonts w:ascii="Arial" w:cs="Arial" w:eastAsia="Arial" w:hAnsi="Arial"/>
                <w:sz w:val="17"/>
                <w:szCs w:val="17"/>
                <w:b w:val="1"/>
                <w:bCs w:val="1"/>
                <w:color w:val="auto"/>
                <w:w w:val="89"/>
              </w:rPr>
              <w:t>6282</w:t>
            </w:r>
          </w:p>
        </w:tc>
        <w:tc>
          <w:tcPr>
            <w:tcW w:w="2240" w:type="dxa"/>
            <w:vAlign w:val="bottom"/>
          </w:tcPr>
          <w:p>
            <w:pPr>
              <w:jc w:val="center"/>
              <w:ind w:left="1024"/>
              <w:spacing w:after="0"/>
              <w:rPr>
                <w:sz w:val="20"/>
                <w:szCs w:val="20"/>
                <w:color w:val="auto"/>
              </w:rPr>
            </w:pPr>
            <w:r>
              <w:rPr>
                <w:rFonts w:ascii="Arial" w:cs="Arial" w:eastAsia="Arial" w:hAnsi="Arial"/>
                <w:sz w:val="17"/>
                <w:szCs w:val="17"/>
                <w:b w:val="1"/>
                <w:bCs w:val="1"/>
                <w:color w:val="auto"/>
                <w:w w:val="90"/>
              </w:rPr>
              <w:t>87-2908160</w:t>
            </w:r>
          </w:p>
        </w:tc>
      </w:tr>
      <w:tr>
        <w:trPr>
          <w:trHeight w:val="148"/>
        </w:trPr>
        <w:tc>
          <w:tcPr>
            <w:tcW w:w="2880" w:type="dxa"/>
            <w:vAlign w:val="bottom"/>
          </w:tcPr>
          <w:p>
            <w:pPr>
              <w:jc w:val="center"/>
              <w:ind w:right="86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40" w:type="dxa"/>
            <w:vAlign w:val="bottom"/>
          </w:tcPr>
          <w:p>
            <w:pPr>
              <w:jc w:val="center"/>
              <w:ind w:left="1024"/>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80" w:type="dxa"/>
            <w:vAlign w:val="bottom"/>
          </w:tcPr>
          <w:p>
            <w:pPr>
              <w:jc w:val="center"/>
              <w:ind w:right="864"/>
              <w:spacing w:after="0"/>
              <w:rPr>
                <w:sz w:val="20"/>
                <w:szCs w:val="20"/>
                <w:color w:val="auto"/>
              </w:rPr>
            </w:pPr>
            <w:r>
              <w:rPr>
                <w:rFonts w:ascii="Arial" w:cs="Arial" w:eastAsia="Arial" w:hAnsi="Arial"/>
                <w:sz w:val="14"/>
                <w:szCs w:val="14"/>
                <w:b w:val="1"/>
                <w:bCs w:val="1"/>
                <w:color w:val="auto"/>
                <w:w w:val="95"/>
              </w:rPr>
              <w:t>Incorporation or Organization)</w:t>
            </w:r>
          </w:p>
        </w:tc>
        <w:tc>
          <w:tcPr>
            <w:tcW w:w="38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Classification Code No.)</w:t>
            </w:r>
          </w:p>
        </w:tc>
        <w:tc>
          <w:tcPr>
            <w:tcW w:w="2240" w:type="dxa"/>
            <w:vAlign w:val="bottom"/>
          </w:tcPr>
          <w:p>
            <w:pPr>
              <w:jc w:val="center"/>
              <w:ind w:left="102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5"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4514 Cole Avenue, Suite 1600</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Dallas, Texas 75205</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(214) 865-7998</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Robert Alpert</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C. Clark Webb</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Co-Chief Executive Officer</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P10, Inc.</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4514 Cole Avenue, Suite 1600</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Dallas, Texas 75205</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(214) 865-7998</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i w:val="1"/>
          <w:iCs w:val="1"/>
          <w:color w:val="auto"/>
        </w:rPr>
        <w:t>With copies to:</w:t>
      </w:r>
    </w:p>
    <w:p>
      <w:pPr>
        <w:spacing w:after="0" w:line="11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Adam Finerman, Esq.</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Baker &amp; Hostetler LLP</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45 Rockefeller Plaza</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New York, NY 10111</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Tel: (216)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153035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100"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9" w:lineRule="exact"/>
        <w:rPr>
          <w:sz w:val="24"/>
          <w:szCs w:val="24"/>
          <w:color w:val="auto"/>
        </w:rPr>
      </w:pPr>
    </w:p>
    <w:p>
      <w:pPr>
        <w:ind w:left="120" w:right="220"/>
        <w:spacing w:after="0" w:line="226"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5" w:lineRule="exact"/>
        <w:rPr>
          <w:sz w:val="24"/>
          <w:szCs w:val="24"/>
          <w:color w:val="auto"/>
        </w:rPr>
      </w:pPr>
    </w:p>
    <w:p>
      <w:pPr>
        <w:ind w:left="120" w:right="140"/>
        <w:spacing w:after="0" w:line="226"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5" w:lineRule="exact"/>
        <w:rPr>
          <w:sz w:val="24"/>
          <w:szCs w:val="24"/>
          <w:color w:val="auto"/>
        </w:rPr>
      </w:pPr>
    </w:p>
    <w:p>
      <w:pPr>
        <w:ind w:left="120" w:right="20"/>
        <w:spacing w:after="0" w:line="226"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5" w:lineRule="exact"/>
        <w:rPr>
          <w:sz w:val="24"/>
          <w:szCs w:val="24"/>
          <w:color w:val="auto"/>
        </w:rPr>
      </w:pPr>
    </w:p>
    <w:p>
      <w:pPr>
        <w:ind w:left="120"/>
        <w:spacing w:after="0" w:line="226"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75" w:lineRule="exact"/>
        <w:rPr>
          <w:sz w:val="24"/>
          <w:szCs w:val="24"/>
          <w:color w:val="auto"/>
        </w:rPr>
      </w:pPr>
    </w:p>
    <w:p>
      <w:pPr>
        <w:ind w:left="120" w:right="40"/>
        <w:spacing w:after="0" w:line="226"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75" w:lineRule="exact"/>
        <w:rPr>
          <w:sz w:val="24"/>
          <w:szCs w:val="24"/>
          <w:color w:val="auto"/>
        </w:rPr>
      </w:pPr>
    </w:p>
    <w:p>
      <w:pPr>
        <w:ind w:left="120" w:right="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660" w:type="dxa"/>
            <w:vAlign w:val="bottom"/>
          </w:tcPr>
          <w:p>
            <w:pPr>
              <w:spacing w:after="0"/>
              <w:rPr>
                <w:sz w:val="20"/>
                <w:szCs w:val="20"/>
                <w:color w:val="auto"/>
              </w:rPr>
            </w:pPr>
            <w:r>
              <w:rPr>
                <w:rFonts w:ascii="Arial" w:cs="Arial" w:eastAsia="Arial" w:hAnsi="Arial"/>
                <w:sz w:val="17"/>
                <w:szCs w:val="17"/>
                <w:color w:val="auto"/>
                <w:w w:val="97"/>
              </w:rPr>
              <w:t>Large accelerated filer</w:t>
            </w:r>
          </w:p>
        </w:tc>
        <w:tc>
          <w:tcPr>
            <w:tcW w:w="3600" w:type="dxa"/>
            <w:vAlign w:val="bottom"/>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5380" w:type="dxa"/>
            <w:vAlign w:val="bottom"/>
          </w:tcPr>
          <w:p>
            <w:pPr>
              <w:ind w:left="3340"/>
              <w:spacing w:after="0"/>
              <w:rPr>
                <w:sz w:val="20"/>
                <w:szCs w:val="20"/>
                <w:color w:val="auto"/>
              </w:rPr>
            </w:pPr>
            <w:r>
              <w:rPr>
                <w:rFonts w:ascii="Arial" w:cs="Arial" w:eastAsia="Arial" w:hAnsi="Arial"/>
                <w:sz w:val="17"/>
                <w:szCs w:val="17"/>
                <w:color w:val="auto"/>
              </w:rPr>
              <w:t>Accelerated filer</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3"/>
        </w:trPr>
        <w:tc>
          <w:tcPr>
            <w:tcW w:w="1660" w:type="dxa"/>
            <w:vAlign w:val="bottom"/>
          </w:tcPr>
          <w:p>
            <w:pPr>
              <w:spacing w:after="0"/>
              <w:rPr>
                <w:sz w:val="20"/>
                <w:szCs w:val="20"/>
                <w:color w:val="auto"/>
              </w:rPr>
            </w:pPr>
            <w:r>
              <w:rPr>
                <w:rFonts w:ascii="Arial" w:cs="Arial" w:eastAsia="Arial" w:hAnsi="Arial"/>
                <w:sz w:val="17"/>
                <w:szCs w:val="17"/>
                <w:color w:val="auto"/>
              </w:rPr>
              <w:t>Non-accelerated filer</w:t>
            </w:r>
          </w:p>
        </w:tc>
        <w:tc>
          <w:tcPr>
            <w:tcW w:w="3600" w:type="dxa"/>
            <w:vAlign w:val="bottom"/>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5380" w:type="dxa"/>
            <w:vAlign w:val="bottom"/>
          </w:tcPr>
          <w:p>
            <w:pPr>
              <w:ind w:left="3340"/>
              <w:spacing w:after="0"/>
              <w:rPr>
                <w:sz w:val="20"/>
                <w:szCs w:val="20"/>
                <w:color w:val="auto"/>
              </w:rPr>
            </w:pPr>
            <w:r>
              <w:rPr>
                <w:rFonts w:ascii="Arial" w:cs="Arial" w:eastAsia="Arial" w:hAnsi="Arial"/>
                <w:sz w:val="17"/>
                <w:szCs w:val="17"/>
                <w:color w:val="auto"/>
                <w:w w:val="99"/>
              </w:rPr>
              <w:t>Smaller reporting company</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16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380" w:type="dxa"/>
            <w:vAlign w:val="bottom"/>
          </w:tcPr>
          <w:p>
            <w:pPr>
              <w:ind w:left="3340"/>
              <w:spacing w:after="0"/>
              <w:rPr>
                <w:sz w:val="20"/>
                <w:szCs w:val="20"/>
                <w:color w:val="auto"/>
              </w:rPr>
            </w:pPr>
            <w:r>
              <w:rPr>
                <w:rFonts w:ascii="Arial" w:cs="Arial" w:eastAsia="Arial" w:hAnsi="Arial"/>
                <w:sz w:val="17"/>
                <w:szCs w:val="17"/>
                <w:color w:val="auto"/>
                <w:w w:val="99"/>
              </w:rPr>
              <w:t>Emerging growth company</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4" w:lineRule="exact"/>
        <w:rPr>
          <w:sz w:val="24"/>
          <w:szCs w:val="24"/>
          <w:color w:val="auto"/>
        </w:rPr>
      </w:pPr>
    </w:p>
    <w:p>
      <w:pPr>
        <w:ind w:left="120" w:right="30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4"/>
          <w:szCs w:val="24"/>
          <w:color w:val="auto"/>
        </w:rPr>
      </w:pPr>
    </w:p>
    <w:p>
      <w:pPr>
        <w:ind w:left="120" w:right="160"/>
        <w:spacing w:after="0" w:line="342" w:lineRule="auto"/>
        <w:rPr>
          <w:sz w:val="20"/>
          <w:szCs w:val="20"/>
          <w:color w:val="auto"/>
        </w:rPr>
      </w:pPr>
      <w:r>
        <w:rPr>
          <w:rFonts w:ascii="Arial" w:cs="Arial" w:eastAsia="Arial" w:hAnsi="Arial"/>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w:t>
      </w:r>
    </w:p>
    <w:p>
      <w:pPr>
        <w:sectPr>
          <w:pgSz w:w="11900" w:h="16946" w:orient="portrait"/>
          <w:cols w:equalWidth="0" w:num="1">
            <w:col w:w="11120"/>
          </w:cols>
          <w:pgMar w:left="320" w:top="230" w:right="459" w:bottom="0" w:gutter="0" w:footer="0" w:header="0"/>
        </w:sectPr>
      </w:pPr>
    </w:p>
    <w:bookmarkStart w:id="1" w:name="page2"/>
    <w:bookmarkEnd w:id="1"/>
    <w:p>
      <w:pPr>
        <w:spacing w:after="0" w:line="274" w:lineRule="auto"/>
        <w:rPr>
          <w:sz w:val="20"/>
          <w:szCs w:val="20"/>
          <w:color w:val="auto"/>
        </w:rPr>
      </w:pPr>
      <w:r>
        <w:rPr>
          <w:rFonts w:ascii="Arial" w:cs="Arial" w:eastAsia="Arial" w:hAnsi="Arial"/>
          <w:sz w:val="17"/>
          <w:szCs w:val="17"/>
          <w:color w:val="auto"/>
        </w:rPr>
        <w:t>Act of 1933 or until the Registration Statement shall become effective on such date as the Securities and Exchange Commission, acting pursuant to said Section 8(a), may determine.</w:t>
      </w:r>
    </w:p>
    <w:p>
      <w:pPr>
        <w:sectPr>
          <w:pgSz w:w="11900" w:h="16838" w:orient="portrait"/>
          <w:cols w:equalWidth="0" w:num="1">
            <w:col w:w="10380"/>
          </w:cols>
          <w:pgMar w:left="440" w:top="121"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P10,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$300,000,000</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Class A Common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provides a general description of the Class A common stock, preferred stock, debt securities, warrants, depositary shares, purchase contracts and units that we and any selling securityholders may offer from time to time. We will not receive any proceeds from the sale of our securities by any selling securityholders. Each time any securities are offered pursuant to this prospectus, we, or the selling securityholders, will provide a prospectus supplement and attach it to this prospectus. The prospectus supplement will contain more specific information about the offering and, if applicable, the selling securityholders. The prospectus supplement may also add, update or change information contained in this prospectus. This prospectus may not be used to offer or sell securities without a prospectus supplement describing the method and terms of the offering. We or any selling stockholders may offer and sell these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from the sale of such securities will also be set forth in a prospectus supplement. You should carefully read this prospectus and any accompanying prospectus supplement, together with the documents we incorporate by reference, before you invest in our securities. The aggregate offering price of the securities we sell pursuant to this prospectus will not exceed $300,000,000.</w:t>
      </w:r>
    </w:p>
    <w:p>
      <w:pPr>
        <w:spacing w:after="0" w:line="17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Class A common stock is listed on the New York Stock Exchange (“NYSE”) under the symbol “PX”. On November 8, 2022, the last reported sales price of our Class A common stock was $9.88. We have two classes of common stock: Class A common stock and Class B common stock. Each share of Class A common stock entitles its holder to one vote per share. None of the other securities that we may offer under this prospectus are currently publicly traded. Each prospectus supplement will indicate whether the securities offered thereby will be listed on any securities exchange.</w:t>
      </w:r>
    </w:p>
    <w:p>
      <w:pPr>
        <w:spacing w:after="0" w:line="14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9"/>
          <w:szCs w:val="19"/>
          <w:b w:val="1"/>
          <w:bCs w:val="1"/>
          <w:color w:val="auto"/>
        </w:rPr>
        <w:t>Investing in our securities involves a high degree of risk. See “</w:t>
      </w:r>
      <w:r>
        <w:rPr>
          <w:rFonts w:ascii="Arial" w:cs="Arial" w:eastAsia="Arial" w:hAnsi="Arial"/>
          <w:sz w:val="19"/>
          <w:szCs w:val="19"/>
          <w:b w:val="1"/>
          <w:bCs w:val="1"/>
          <w:i w:val="1"/>
          <w:iCs w:val="1"/>
          <w:u w:val="single" w:color="auto"/>
          <w:color w:val="0000EE"/>
        </w:rPr>
        <w:t>Risk Factors</w:t>
      </w:r>
      <w:r>
        <w:rPr>
          <w:rFonts w:ascii="Arial" w:cs="Arial" w:eastAsia="Arial" w:hAnsi="Arial"/>
          <w:sz w:val="19"/>
          <w:szCs w:val="19"/>
          <w:b w:val="1"/>
          <w:bCs w:val="1"/>
          <w:color w:val="auto"/>
        </w:rPr>
        <w:t>” beginning on page 6 of this prospectus and page 36 of our Annual Report on Form 10-K for the year ended December 31, 2021, incorporated by reference herein as well as the other information contained in or incorporated by reference in this prospectus or in any accompanying prospectus supplement before making a decision to invest in our securities.</w:t>
      </w:r>
    </w:p>
    <w:p>
      <w:pPr>
        <w:spacing w:after="0" w:line="145" w:lineRule="exact"/>
        <w:rPr>
          <w:sz w:val="20"/>
          <w:szCs w:val="20"/>
          <w:color w:val="auto"/>
        </w:rPr>
      </w:pPr>
    </w:p>
    <w:p>
      <w:pPr>
        <w:ind w:left="120" w:right="42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(“SEC”) nor any state securities commission has approved or disapproved of these securities or passed upon the adequacy or accuracy of this prospectus. Any representation to the contrary is a criminal offense.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November 9, 2022.</w:t>
      </w:r>
    </w:p>
    <w:p>
      <w:pPr>
        <w:sectPr>
          <w:pgSz w:w="11900" w:h="16838" w:orient="portrait"/>
          <w:cols w:equalWidth="0" w:num="1">
            <w:col w:w="11120"/>
          </w:cols>
          <w:pgMar w:left="32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80" w:type="dxa"/>
            <w:vAlign w:val="bottom"/>
            <w:gridSpan w:val="25"/>
          </w:tcPr>
          <w:p>
            <w:pPr>
              <w:spacing w:after="0"/>
              <w:rPr>
                <w:sz w:val="20"/>
                <w:szCs w:val="20"/>
                <w:color w:val="auto"/>
              </w:rPr>
            </w:pPr>
            <w:r>
              <w:rPr>
                <w:rFonts w:ascii="Arial" w:cs="Arial" w:eastAsia="Arial" w:hAnsi="Arial"/>
                <w:sz w:val="18"/>
                <w:szCs w:val="18"/>
                <w:b w:val="1"/>
                <w:bCs w:val="1"/>
                <w:color w:val="0000EE"/>
              </w:rPr>
              <w:t>Table of Contents</w:t>
            </w:r>
          </w:p>
        </w:tc>
        <w:tc>
          <w:tcPr>
            <w:tcW w:w="6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gridSpan w:val="4"/>
          </w:tcPr>
          <w:p>
            <w:pPr>
              <w:ind w:left="5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60" w:type="dxa"/>
            <w:vAlign w:val="bottom"/>
            <w:gridSpan w:val="24"/>
          </w:tcPr>
          <w:p>
            <w:pPr>
              <w:spacing w:after="0"/>
              <w:rPr>
                <w:sz w:val="20"/>
                <w:szCs w:val="20"/>
                <w:color w:val="auto"/>
              </w:rPr>
            </w:pPr>
            <w:r>
              <w:rPr>
                <w:rFonts w:ascii="Arial" w:cs="Arial" w:eastAsia="Arial" w:hAnsi="Arial"/>
                <w:sz w:val="18"/>
                <w:szCs w:val="18"/>
                <w:color w:val="0000EE"/>
              </w:rPr>
              <w:t>ABOUT THIS PROSPECTUS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458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SUMMARY</w:t>
            </w:r>
          </w:p>
        </w:tc>
        <w:tc>
          <w:tcPr>
            <w:tcW w:w="944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Arial" w:cs="Arial" w:eastAsia="Arial" w:hAnsi="Arial"/>
                <w:sz w:val="18"/>
                <w:szCs w:val="18"/>
                <w:color w:val="0000EE"/>
              </w:rPr>
              <w:t>RISK FACTORS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76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DESCRIPTION OF CAPITAL STOCK</w:t>
            </w:r>
          </w:p>
        </w:tc>
        <w:tc>
          <w:tcPr>
            <w:tcW w:w="748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734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3"/>
              </w:rPr>
              <w:t>DESCRIPTION OF DEPOSITARY SHARES</w:t>
            </w:r>
          </w:p>
        </w:tc>
        <w:tc>
          <w:tcPr>
            <w:tcW w:w="70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788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Arial" w:cs="Arial" w:eastAsia="Arial" w:hAnsi="Arial"/>
                <w:sz w:val="18"/>
                <w:szCs w:val="18"/>
                <w:color w:val="0000EE"/>
              </w:rPr>
              <w:t>DESCRIPTION OF SUBSCRIPTION RIGHTS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Arial" w:cs="Arial" w:eastAsia="Arial" w:hAnsi="Arial"/>
                <w:sz w:val="18"/>
                <w:szCs w:val="18"/>
                <w:color w:val="0000EE"/>
              </w:rPr>
              <w:t>DESCRIPTION OF PURCHASE CONTRACTS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520" w:type="dxa"/>
            <w:vAlign w:val="bottom"/>
            <w:tcBorders>
              <w:top w:val="single" w:sz="8" w:color="0000EE"/>
            </w:tcBorders>
            <w:gridSpan w:val="10"/>
          </w:tcPr>
          <w:p>
            <w:pPr>
              <w:spacing w:after="0"/>
              <w:rPr>
                <w:sz w:val="17"/>
                <w:szCs w:val="17"/>
                <w:color w:val="auto"/>
              </w:rPr>
            </w:pPr>
          </w:p>
        </w:tc>
        <w:tc>
          <w:tcPr>
            <w:tcW w:w="682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5"/>
              </w:rPr>
              <w:t>ANTI-TAKEOVER EFFECTS OF PROVISIONS OF DELAWARE LAW AND OUR AMENDED AND RESTATED CERTIFICATE OF</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INCORPORATION AND BYLAWS</w:t>
            </w:r>
          </w:p>
        </w:tc>
        <w:tc>
          <w:tcPr>
            <w:tcW w:w="750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8"/>
              </w:rPr>
              <w:t>LIMITATIONS ON LIABILITY AND INDEMNIFICATION OF OFFICERS AND DIRECTORS</w:t>
            </w:r>
          </w:p>
        </w:tc>
        <w:tc>
          <w:tcPr>
            <w:tcW w:w="32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78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5"/>
              </w:rPr>
              <w:t>SELLING SECURITYHOLDERS</w:t>
            </w:r>
          </w:p>
        </w:tc>
        <w:tc>
          <w:tcPr>
            <w:tcW w:w="786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Arial" w:cs="Arial" w:eastAsia="Arial" w:hAnsi="Arial"/>
                <w:sz w:val="18"/>
                <w:szCs w:val="18"/>
                <w:color w:val="0000EE"/>
              </w:rPr>
              <w:t>PLAN OF DISTRIBUTION</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4"/>
          </w:tcPr>
          <w:p>
            <w:pPr>
              <w:spacing w:after="0"/>
              <w:rPr>
                <w:sz w:val="17"/>
                <w:szCs w:val="17"/>
                <w:color w:val="auto"/>
              </w:rPr>
            </w:pPr>
          </w:p>
        </w:tc>
        <w:tc>
          <w:tcPr>
            <w:tcW w:w="832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Arial" w:cs="Arial" w:eastAsia="Arial" w:hAnsi="Arial"/>
                <w:sz w:val="18"/>
                <w:szCs w:val="18"/>
                <w:color w:val="0000EE"/>
              </w:rPr>
              <w:t>EXPERTS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800" w:type="dxa"/>
            <w:vAlign w:val="bottom"/>
            <w:gridSpan w:val="1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4"/>
              </w:rPr>
              <w:t>INFORMATION INCORPORATED BY REFERENCE</w:t>
            </w:r>
          </w:p>
        </w:tc>
        <w:tc>
          <w:tcPr>
            <w:tcW w:w="634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(the “SEC”) using the “shelf” registration process. Under this shelf registration process, we and any selling securityholders may, from time to time, sell any combination of the securities described in this prospectus in one or more offerings. We will not receive any proceeds from the sale by such selling securityholders of the securities offered by them described in this prospectus.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types of securities that we may offer and sell from time to time by this prospectus are:</w:t>
      </w:r>
    </w:p>
    <w:p>
      <w:pPr>
        <w:spacing w:after="0" w:line="131"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secured or unsecured;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warrants entitling the holders to purchase Class A common stock, preferred stock 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may sell these securities either separately or in units. We may issue debt securities convertible into shares of our Class A common stock or preferred stock. The preferred stock also may be convertible into shares of our Class A common stock or another series of preferred stock. This prospectus provides a general description of the securities that may be offered. In addition, selling securityholders to be named in a supplement to this prospectus may sell our securities from time to time in one or more offerings. Each time we or the selling securityholders sell securities, we or the selling securityholders will provide a supplement to this prospectus that contains specific information about the offering and the specific terms of the securities offered.</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have authorized anyone to provide you with any information or to make any representations other than those contained in this prospectus or any applicable prospectus supplement. Neither we nor the selling securityholders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securityholders will make an offer to sell these securities in any jurisdiction where the offer or sale is not permitted.</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general information about the distribution of securities offered, please see “</w:t>
      </w:r>
      <w:r>
        <w:rPr>
          <w:rFonts w:ascii="Arial" w:cs="Arial" w:eastAsia="Arial" w:hAnsi="Arial"/>
          <w:sz w:val="16"/>
          <w:szCs w:val="16"/>
          <w:i w:val="1"/>
          <w:iCs w:val="1"/>
          <w:color w:val="auto"/>
        </w:rPr>
        <w:t>Plan of Distribution</w:t>
      </w:r>
      <w:r>
        <w:rPr>
          <w:rFonts w:ascii="Arial" w:cs="Arial" w:eastAsia="Arial" w:hAnsi="Arial"/>
          <w:sz w:val="16"/>
          <w:szCs w:val="16"/>
          <w:color w:val="auto"/>
        </w:rPr>
        <w:t>” below. You should read both this prospectus and any prospectus supplement, together with the additional information described in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and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before you make any investment decisions regarding the securities. You may obtain the information incorporated by reference into this prospectus without charge by following the instructions under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and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below.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our Company and the terms of the offering and the securities, including the merits and risks involved.</w:t>
      </w:r>
    </w:p>
    <w:p>
      <w:pPr>
        <w:spacing w:after="0" w:line="149" w:lineRule="exact"/>
        <w:rPr>
          <w:sz w:val="20"/>
          <w:szCs w:val="20"/>
          <w:color w:val="auto"/>
        </w:rPr>
      </w:pPr>
    </w:p>
    <w:p>
      <w:pPr>
        <w:ind w:left="120" w:right="540" w:firstLine="440"/>
        <w:spacing w:after="0" w:line="286" w:lineRule="auto"/>
        <w:rPr>
          <w:sz w:val="20"/>
          <w:szCs w:val="20"/>
          <w:color w:val="auto"/>
        </w:rPr>
      </w:pPr>
      <w:r>
        <w:rPr>
          <w:rFonts w:ascii="Arial" w:cs="Arial" w:eastAsia="Arial" w:hAnsi="Arial"/>
          <w:sz w:val="17"/>
          <w:szCs w:val="17"/>
          <w:color w:val="auto"/>
        </w:rPr>
        <w:t>We are not making any representation to any purchasers of the securities regarding the legality of an investment in the securities by such purchasers. You should not consider any information in this prospectus to be legal, business or tax advice. You should consult your own attorney, business advisor or tax advisor for legal, business and tax advice regarding an investment in the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the context indicates otherwise, references in this prospectus to the “Company,” “P10,” “we,” “us,” “our” and similar terms refer to P10,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This prospectus, any prospectus supplement and any related free writing prospectus, including the information incorporated by reference herein and therein, contain or may contain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these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or incorporated by reference under “</w:t>
      </w:r>
      <w:r>
        <w:rPr>
          <w:rFonts w:ascii="Arial" w:cs="Arial" w:eastAsia="Arial" w:hAnsi="Arial"/>
          <w:sz w:val="17"/>
          <w:szCs w:val="17"/>
          <w:i w:val="1"/>
          <w:iCs w:val="1"/>
          <w:color w:val="auto"/>
        </w:rPr>
        <w:t>Risk Factors</w:t>
      </w:r>
      <w:r>
        <w:rPr>
          <w:rFonts w:ascii="Arial" w:cs="Arial" w:eastAsia="Arial" w:hAnsi="Arial"/>
          <w:sz w:val="17"/>
          <w:szCs w:val="17"/>
          <w:color w:val="auto"/>
        </w:rPr>
        <w:t>”. These factors should not be construed as exhaustive and should be read in conjunction with the other cautionary statements that are included or incorporated by reference in this prospectus or any applicable prospectus supplement.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or future developments, except as otherwise required by law.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160" w:firstLine="426"/>
        <w:spacing w:after="0" w:line="279" w:lineRule="auto"/>
        <w:rPr>
          <w:sz w:val="20"/>
          <w:szCs w:val="20"/>
          <w:color w:val="auto"/>
        </w:rPr>
      </w:pPr>
      <w:r>
        <w:rPr>
          <w:rFonts w:ascii="Arial" w:cs="Arial" w:eastAsia="Arial" w:hAnsi="Arial"/>
          <w:sz w:val="17"/>
          <w:szCs w:val="17"/>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40" w:firstLine="426"/>
        <w:spacing w:after="0" w:line="290" w:lineRule="auto"/>
        <w:rPr>
          <w:sz w:val="20"/>
          <w:szCs w:val="20"/>
          <w:color w:val="auto"/>
        </w:rPr>
      </w:pPr>
      <w:r>
        <w:rPr>
          <w:rFonts w:ascii="Arial" w:cs="Arial" w:eastAsia="Arial" w:hAnsi="Arial"/>
          <w:sz w:val="16"/>
          <w:szCs w:val="16"/>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165" w:lineRule="exact"/>
        <w:rPr>
          <w:sz w:val="20"/>
          <w:szCs w:val="20"/>
          <w:color w:val="auto"/>
        </w:rPr>
      </w:pPr>
    </w:p>
    <w:p>
      <w:pPr>
        <w:ind w:left="300" w:right="220" w:firstLine="426"/>
        <w:spacing w:after="0" w:line="301" w:lineRule="auto"/>
        <w:rPr>
          <w:sz w:val="20"/>
          <w:szCs w:val="20"/>
          <w:color w:val="auto"/>
        </w:rPr>
      </w:pPr>
      <w:r>
        <w:rPr>
          <w:rFonts w:ascii="Arial" w:cs="Arial" w:eastAsia="Arial" w:hAnsi="Arial"/>
          <w:sz w:val="16"/>
          <w:szCs w:val="16"/>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w:t>
      </w:r>
    </w:p>
    <w:p>
      <w:pPr>
        <w:spacing w:after="0" w:line="15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and RCP Advisors 3, LLC (collectively, “RCP Advisors”) and Bonaccord Capital Partners (“Bonaccord”), LLC, our Private Equity solutions; TrueBridge Capital Partners LLC (“TrueBridge”), our Venture Capital solution; Enhanced Capital Group, LLC (“Enhanced”), our Impact Investing solution; Five Points Capital, Inc. (“Five Points”) and Hark Capital Advisors, LLC (“Hark”), our Private Credit solutions (Five Points also offers certain private equity solutions); and Westech Investment Advisors LLC (“WTI”), our Venture Debt solution.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prospectus, we are pursuing additional acquisitions and are in discussions with certain target companies, however the Company does not currently have any agreements or commitments with respect to any acquisitions.</w:t>
      </w:r>
    </w:p>
    <w:p>
      <w:pPr>
        <w:spacing w:after="0" w:line="179" w:lineRule="exact"/>
        <w:rPr>
          <w:sz w:val="20"/>
          <w:szCs w:val="20"/>
          <w:color w:val="auto"/>
        </w:rPr>
      </w:pPr>
    </w:p>
    <w:p>
      <w:pPr>
        <w:ind w:left="300" w:right="180" w:firstLine="426"/>
        <w:spacing w:after="0" w:line="273" w:lineRule="auto"/>
        <w:rPr>
          <w:sz w:val="20"/>
          <w:szCs w:val="20"/>
          <w:color w:val="auto"/>
        </w:rPr>
      </w:pPr>
      <w:r>
        <w:rPr>
          <w:rFonts w:ascii="Arial" w:cs="Arial" w:eastAsia="Arial" w:hAnsi="Arial"/>
          <w:sz w:val="17"/>
          <w:szCs w:val="17"/>
          <w:color w:val="auto"/>
        </w:rPr>
        <w:t>Our success and growth have been driven by our long history of strong performance and our position in the private markets ecosystem. We believe our growing scale in the middle and lower-middle markets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59" w:lineRule="auto"/>
        <w:rPr>
          <w:sz w:val="20"/>
          <w:szCs w:val="20"/>
          <w:color w:val="auto"/>
        </w:rPr>
      </w:pPr>
      <w:r>
        <w:rPr>
          <w:rFonts w:ascii="Arial" w:cs="Arial" w:eastAsia="Arial" w:hAnsi="Arial"/>
          <w:sz w:val="18"/>
          <w:szCs w:val="18"/>
          <w:color w:val="auto"/>
        </w:rPr>
        <w:t>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87" w:lineRule="exact"/>
        <w:rPr>
          <w:sz w:val="20"/>
          <w:szCs w:val="20"/>
          <w:color w:val="auto"/>
        </w:rPr>
      </w:pPr>
    </w:p>
    <w:p>
      <w:pPr>
        <w:ind w:left="300" w:right="60" w:firstLine="426"/>
        <w:spacing w:after="0" w:line="301" w:lineRule="auto"/>
        <w:rPr>
          <w:sz w:val="20"/>
          <w:szCs w:val="20"/>
          <w:color w:val="auto"/>
        </w:rPr>
      </w:pPr>
      <w:r>
        <w:rPr>
          <w:rFonts w:ascii="Arial" w:cs="Arial" w:eastAsia="Arial" w:hAnsi="Arial"/>
          <w:sz w:val="16"/>
          <w:szCs w:val="16"/>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September 30, 2022, we had 204 employees, including 91 investment professionals across 8 offices located in 7 states.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20" w:firstLine="426"/>
        <w:spacing w:after="0" w:line="301" w:lineRule="auto"/>
        <w:rPr>
          <w:sz w:val="20"/>
          <w:szCs w:val="20"/>
          <w:color w:val="auto"/>
        </w:rPr>
      </w:pPr>
      <w:r>
        <w:rPr>
          <w:rFonts w:ascii="Arial" w:cs="Arial" w:eastAsia="Arial" w:hAnsi="Arial"/>
          <w:sz w:val="16"/>
          <w:szCs w:val="16"/>
          <w:color w:val="auto"/>
        </w:rPr>
        <w:t>P10, Inc. was incorporated in Delaware on January 20, 2021 as a wholly owned subsidiary of P10 Holdings, Inc. P10, Inc. became the sole stockholder of P10 Holdings, Inc. pursuant to a corporate reorganization. Our principal executive office is located at 4514 Cole Avenue, Suite 1600, Dallas, Texas 75205, and our phone number is (214) 865-7998. Our website is www.p10alts.com. Information contained on or accessible through our website is not incorporated by reference into this prospectus and should not be considered a part of this prospectus.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We may offer or sell Class A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w:t>
      </w:r>
      <w:r>
        <w:rPr>
          <w:rFonts w:ascii="Arial" w:cs="Arial" w:eastAsia="Arial" w:hAnsi="Arial"/>
          <w:sz w:val="18"/>
          <w:szCs w:val="18"/>
          <w:i w:val="1"/>
          <w:iCs w:val="1"/>
          <w:color w:val="auto"/>
        </w:rPr>
        <w:t>Plan of Distribution</w:t>
      </w:r>
      <w:r>
        <w:rPr>
          <w:rFonts w:ascii="Arial" w:cs="Arial" w:eastAsia="Arial" w:hAnsi="Arial"/>
          <w:sz w:val="18"/>
          <w:szCs w:val="18"/>
          <w:color w:val="auto"/>
        </w:rPr>
        <w:t>”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00" w:right="140" w:firstLine="426"/>
        <w:spacing w:after="0" w:line="257" w:lineRule="auto"/>
        <w:rPr>
          <w:sz w:val="20"/>
          <w:szCs w:val="20"/>
          <w:color w:val="auto"/>
        </w:rPr>
      </w:pPr>
      <w:r>
        <w:rPr>
          <w:rFonts w:ascii="Arial" w:cs="Arial" w:eastAsia="Arial" w:hAnsi="Arial"/>
          <w:sz w:val="18"/>
          <w:szCs w:val="18"/>
          <w:color w:val="auto"/>
        </w:rPr>
        <w:t>We may offer shares of our Class A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last few years and have no plans to pay dividends. Each holder of common stock is entitled to one vote per share. The holders of common stock have no preemptive rights.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auto"/>
        </w:rPr>
        <w:t>Our board of directors has the authority, subject to limitations prescribed by Delaware law and our amended and restated certificate of incorporation, to issue up to 10,000,000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00"/>
        <w:spacing w:after="0" w:line="263" w:lineRule="auto"/>
        <w:rPr>
          <w:sz w:val="20"/>
          <w:szCs w:val="20"/>
          <w:color w:val="auto"/>
        </w:rPr>
      </w:pPr>
      <w:r>
        <w:rPr>
          <w:rFonts w:ascii="Arial" w:cs="Arial" w:eastAsia="Arial" w:hAnsi="Arial"/>
          <w:sz w:val="18"/>
          <w:szCs w:val="18"/>
          <w:color w:val="auto"/>
        </w:rPr>
        <w:t>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Depositary Shares</w:t>
      </w:r>
    </w:p>
    <w:p>
      <w:pPr>
        <w:spacing w:after="0" w:line="11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We may issue fractional shares of preferred stock that will be represented by depositary shares and depositary receipts.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may offer one or more series of senior or subordinated debt. The senior debt securities and the subordinated debt securities are together referred to in this prospectus as the “debt securities.” The debt securities may be issued in one or more series with the same or various maturities at par, at premium or at a discount. Unless otherwise specified in a prospectus supplement, the debt securities will be our direct, unsecured obligations. The subordinated debt securities generally will be entitled to payment only after payment of our senior debt. Senior debt generally includes all debt for money borrowed by us, except debt that is stated in the instrument governing the terms of that debt not to be senior to, or to have the same rank in right of payment as, or to be expressly junior to, the subordinated debt securities. We may issue debt securities that are convertible into shares of our common stock.</w:t>
      </w:r>
    </w:p>
    <w:p>
      <w:pPr>
        <w:spacing w:after="0" w:line="195"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The debt securities will be issued under an indenture between us and a trustee to be identified in an accompanying prospectus supplement. We have summarized the general features of the debt securities to be governed by the form of indenture in this prospectus and the form of indenture has been filed as an exhibit to the registration statement of which this prospectus forms a part. We encourage you to read the indenture.</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may offer warrants for the purchase of common stock, preferred stock or debt securities. We may offer warrants independently or together with other securities.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Subscription Rights</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may offer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Units</w:t>
      </w:r>
    </w:p>
    <w:p>
      <w:pPr>
        <w:spacing w:after="0" w:line="117"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including all future filings we make with the SEC pursuant to Sections 13(a), 13(c), 14 or 15(d) of the Exchange Act, as well as the risk factors and other information contained in or incorporated by reference into any accompanying prospectus supplement before investing in any of our securities. Our financial condition, results of operations or cash flows could be materially adversely affected by any of these risks. The risks and uncertainties described in the documents incorporated by reference herein are not the only risks and uncertainties that you may face.</w:t>
      </w:r>
    </w:p>
    <w:p>
      <w:pPr>
        <w:spacing w:after="0" w:line="17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more information about our SEC filings, please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w:t>
      </w:r>
      <w:r>
        <w:rPr>
          <w:rFonts w:ascii="Arial" w:cs="Arial" w:eastAsia="Arial" w:hAnsi="Arial"/>
          <w:sz w:val="18"/>
          <w:szCs w:val="18"/>
          <w:color w:val="auto"/>
        </w:rPr>
        <w: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Unless otherwise specified in a prospectus supplement accompanying this prospectus, the net proceeds from the sale by us of the securities to which this prospectus relates will be used for general corporate purposes. Net proceeds may be temporarily invested prior to use. When we offer and sell the securities to which this prospectus relates, the prospectus supplement related to such offering will set forth our intended use of the proceeds, if any, received from the sale of such securities. We will not receive any of the proceeds from the sale of securities offered by any selling securityholders.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description of our common stock is a summary and is qualified in its entirety by reference to our amended and restated certificate of incorporation (“Certificate of Incorporation”) and amended and restated bylaws (“Bylaws”), copies of which have been filed with the SEC and are incorporated by reference as exhibits to the registration statement of which this prospectus forms a part, and by applicable law. The terms of the offering of securities, the initial offering price and the net proceeds to us or any selling stockholders will be contained in the prospectus supplement, and other offering material, relating to such offer.</w:t>
      </w:r>
    </w:p>
    <w:p>
      <w:pPr>
        <w:spacing w:after="0" w:line="18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As of the date of this prospectus, our authorized capital stock consists of 510,000,000 shares of Class A common stock, par value $0.001 per share, 180,000,000 shares of Class B common stock, par value $0.001 per share, and 10,000,000 shares of preferred stock, par value $0.001 per share. Unless our board of directors determines otherwise, we issue all shares of our Class A common stock and Class B common stock in uncertificated form.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Class A common stock is our publicly traded stock, registered under Section 12 of the Exchange Act and listed on NYSE under the symbol “PX”. Holders of our Class A common stock are entitled to one vote for each share held of record on all matters submitted to a vote of stockholders.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Power</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holders of Class A common stock and Class B common stock shall vote together as one class on all matters (including the election of directors) submitted to a vote of the stockholders of the Corporation. Each holder of shares of Class A common stock shall be entitled to one vote for each share of Class A common stock held of record by such holder as of the applicable record date on any matter submitted to a vote of stockholders generally, and until a Sunset (as defined below) has become effective, each holder of shares of Class B common stock shall be entitled to 10 votes for each share of Class B common stock held of record by such holder as of the applicable record date on any matter submitted to a vote of stockholders generally. From and after such time when the Sunset has become effective, each share of Class B common stock shall automatically, without any further action, convert into one (1) fully paid and nonassessable share of Class A common stock in accordance with Section 4.4(b)(iii). The holders of shares of common stock shall not have cumulative voting rights.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Holders of Class A common stock and Class B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the dissolution, liquidation or winding up of the Corporation, the holders of any outstanding series of preferred stock, shares of Class A common stock and Class B common stock shall be entitled to receive the assets of the Corporation available for distribution to its stockholders ratably in proportion to the number of shares held by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holder of shares of common stock, solely by virtue of such holder’s status as such, shall be entitled to preemptive or subscription rights.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121"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On October 20, 2021, in connection with our initial public offering, the Company undertook certain transactions as part of a corporation reorganization (the “P10 Reorganization”), pursuant to which, among other things, the Company issued an aggregate of 97,155,596 shares of the Company’s Class B common stock, par value $0.001 per share, to all of the then-existing stockholders of P10 Holdings, Inc. (“P10 Holdings”) and certain other investors. Holders of Class B common stock may elect to convert shares of Class B common stock on 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Amended and Restated Certificate of Incorporation (as defined below))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Amended and Restated Certificate of Incorporation.</w:t>
      </w:r>
    </w:p>
    <w:p>
      <w:pPr>
        <w:spacing w:after="0" w:line="16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Holders of our Class A common stock and Class B common stock vote together as a single class on all matters presented to our stockholders for their vote or approval, except as otherwise required in our Certificate of Incorporation or by applicable law.</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and Class B common stock will be entitled to receive pro rata our remaining assets available for distribution, unless otherwise approved by separate votes of the Class A and Class B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is authorized to issue, without further action by the stockholders, up to 10,000,000 shares of preferred stock, par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$0.001 per share. As of the date of this prospectus, we have no shares of preferred stock issued and outstanding and we have not designated any series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preferred stock. Subject to limitations prescribed by law and the Certificate of Incorporation, shares of preferred stock may be issued from time to time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one or more series as the board of directors may from time to time determine by resolution and by causing the filing of a preferred stock designation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issuance of the shares of preferred stock in one or more series, and to establish from time to time the number of shares to be included in 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series, and to fix the designations, powers, preferences, and relative, participating, optional or other rights, if any, and the qualifications, limitations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restrictions, if any, of the shares of each such series.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NYSE Manual, which would apply so long as the Class A common stock remains listed on the NYSE,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A common stock is listed on the New York Stock Exchange under the symbol “PX.”</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indicate in the supplement to what extent the general terms and provisions described in this prospectus apply to a particular series of debt securities.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or subordinated obligations and, unless otherwise specified in a supplement to this prospectus, the debt securities will be our direct, unsecured obligations and may be issued in one or more series. We may issue debt securities that are convertible into shares of our common stock.</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debt securities will be issued under an indenture between us and a trustee to be specified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In addition, any changes to the description below also will be set forth in the applicable prospectus supplement.</w:t>
      </w:r>
    </w:p>
    <w:p>
      <w:pPr>
        <w:spacing w:after="0" w:line="63"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5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payments of principal of, or premium or interest on the debt securities will be made in one or more currencies or currency units other than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60" w:hanging="424"/>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assets or properties to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142" w:lineRule="exact"/>
        <w:rPr>
          <w:rFonts w:ascii="Arial" w:cs="Arial" w:eastAsia="Arial" w:hAnsi="Arial"/>
          <w:sz w:val="17"/>
          <w:szCs w:val="17"/>
          <w:color w:val="auto"/>
        </w:rPr>
      </w:pPr>
    </w:p>
    <w:p>
      <w:pPr>
        <w:ind w:left="1080" w:hanging="424"/>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add to, change or eliminate any provision of the indenture or the debt securities of any series in accordance with the Trust Indenture Act, or to comply with the provisions of DTC, Euroclear or Clearstream or the Trustee with respect to provisions of the indenture or the debt securities of any series relating to transfers or exchanges of the debt securities of such series or beneficial interests in such securities; or</w:t>
      </w:r>
    </w:p>
    <w:p>
      <w:pPr>
        <w:spacing w:after="0" w:line="54"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the debt securities of any series, to the description of the debt securities of such series in the prospectus supplement relating to the offering of the debt securities of such series.</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or premium and interest on those debt securities and to institute suit for the enforcement of any such payment;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right="4900"/>
        <w:spacing w:after="0" w:line="377" w:lineRule="auto"/>
        <w:rPr>
          <w:sz w:val="20"/>
          <w:szCs w:val="20"/>
          <w:color w:val="auto"/>
        </w:rPr>
      </w:pPr>
      <w:r>
        <w:rPr>
          <w:rFonts w:ascii="Arial" w:cs="Arial" w:eastAsia="Arial" w:hAnsi="Arial"/>
          <w:sz w:val="18"/>
          <w:szCs w:val="18"/>
          <w:b w:val="1"/>
          <w:bCs w:val="1"/>
          <w:color w:val="auto"/>
        </w:rPr>
        <w:t xml:space="preserve">Defeasance of Debt Securities and Certain Covenants in Certain Circumstances </w:t>
      </w:r>
      <w:r>
        <w:rPr>
          <w:rFonts w:ascii="Arial" w:cs="Arial" w:eastAsia="Arial" w:hAnsi="Arial"/>
          <w:sz w:val="18"/>
          <w:szCs w:val="18"/>
          <w:b w:val="1"/>
          <w:bCs w:val="1"/>
          <w:i w:val="1"/>
          <w:iCs w:val="1"/>
          <w:color w:val="auto"/>
        </w:rPr>
        <w:t>Legal Defeasance</w:t>
      </w:r>
    </w:p>
    <w:p>
      <w:pPr>
        <w:spacing w:after="0" w:line="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76" w:lineRule="exact"/>
        <w:rPr>
          <w:sz w:val="20"/>
          <w:szCs w:val="20"/>
          <w:color w:val="auto"/>
        </w:rPr>
      </w:pPr>
    </w:p>
    <w:p>
      <w:pPr>
        <w:ind w:left="1080" w:right="2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2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57" w:lineRule="auto"/>
        <w:rPr>
          <w:sz w:val="20"/>
          <w:szCs w:val="20"/>
          <w:color w:val="auto"/>
        </w:rPr>
      </w:pPr>
      <w:r>
        <w:rPr>
          <w:rFonts w:ascii="Arial" w:cs="Arial" w:eastAsia="Arial" w:hAnsi="Arial"/>
          <w:sz w:val="18"/>
          <w:szCs w:val="18"/>
          <w:color w:val="auto"/>
        </w:rPr>
        <w:t>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3" w:lineRule="exact"/>
        <w:rPr>
          <w:sz w:val="20"/>
          <w:szCs w:val="20"/>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ind w:left="1080" w:right="40" w:hanging="424"/>
        <w:spacing w:after="0" w:line="293"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of a share of a particular series of preferred stock, to be described in the applicable prospectus supplement. Unless otherwise provided in the prospectus supplement, each owner of a depositary share will be entitled to all the rights and preferences of the preferred stock represented by the depositary share, in proportion to the applicable fractional interest in a share of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spacing w:after="0" w:line="12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with our approval, the depositary may adopt another method for the distribution, including selling the property and distributing the net proceeds from the sale to the holders.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a series of preferred stock underlying the depositary shares has a liquidation preference, in the event of the voluntary or involuntary liquidation, dissolution or winding up of the Company, holders of depositary shares will be entitled to receive the fraction of the liquidation preference accorded each share of the applicable series of preferred stock, as set forth in the applicable prospectus supplement.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deliver fractional shares of preferred stock upon surrender of depositary receipts. Holders of preferred stock so withdrawn may not thereafter deposit those shares under the deposit agreement or receive depositary receipts evidencing depositary shares therefor.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the Depositary</w:t>
      </w:r>
    </w:p>
    <w:p>
      <w:pPr>
        <w:spacing w:after="0" w:line="121"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amendment has been approved by the holders of a majority of the outstanding depositary shares. The deposit agreement may be terminated by the depositary or us only if:</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applicable prospectus supplement will describe the following terms of any warrants:</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97"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warrants or debt securities, or units consisting of some or all of these securities, upon the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terms of our common stock, preferred stock, warrants or debt securities, or units consisting of some or all of these securities, which may be purchased per each subscription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 agreements,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contracts may obligate us to purchase from holders, and obligate holders to sell to us, a specific or varying number of our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are issued separately, or as a part of units each consisting of a purchase contract and one or more of our other securities, securing the holder’s obligations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requirement for us to make periodic payments to holders or vice versa, and whether the payments are unsecured or pre-funded;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3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left="460" w:right="240"/>
        <w:spacing w:after="0" w:line="282" w:lineRule="auto"/>
        <w:rPr>
          <w:sz w:val="20"/>
          <w:szCs w:val="20"/>
          <w:color w:val="auto"/>
        </w:rPr>
      </w:pPr>
      <w:r>
        <w:rPr>
          <w:rFonts w:ascii="Arial" w:cs="Arial" w:eastAsia="Arial" w:hAnsi="Arial"/>
          <w:sz w:val="18"/>
          <w:szCs w:val="18"/>
          <w:b w:val="1"/>
          <w:bCs w:val="1"/>
          <w:color w:val="auto"/>
        </w:rPr>
        <w:t>ANTI-TAKEOVER EFFECTS OF PROVISIONS OF DELAWARE LAW AND OUR AMENDED AND RESTATED CERTIFICATE OF INCORPORATION AND BYLAWS</w:t>
      </w:r>
    </w:p>
    <w:p>
      <w:pPr>
        <w:spacing w:after="0" w:line="16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Certain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Super Voting Stock</w:t>
      </w:r>
      <w:r>
        <w:rPr>
          <w:rFonts w:ascii="Arial" w:cs="Arial" w:eastAsia="Arial" w:hAnsi="Arial"/>
          <w:sz w:val="17"/>
          <w:szCs w:val="17"/>
          <w:color w:val="auto"/>
        </w:rPr>
        <w:t>. The Class A common stock and Class B common stock vote together on all matters on which stockholders are entitled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set forth in our Certificate of Incorporation or required by applicable law. However, until a Sunset becomes effective, the Class B common stock will have ten votes per share and the Class A common stock will have one vote per share. Consequently, the holders of our Class B common stock will have greater influence over decisions to be made by our stockholders, including the election of directors.</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Certificate of Incorporation and Bylaws classify our board of directors into three classes of directors, serving staggered</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terms of office. Our board of directors has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w:t>
      </w:r>
    </w:p>
    <w:p>
      <w:pPr>
        <w:spacing w:after="0" w:line="15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i w:val="1"/>
          <w:iCs w:val="1"/>
          <w:color w:val="auto"/>
        </w:rPr>
        <w:t>Action by Written Consent; Special Meetings of Stockholders</w:t>
      </w:r>
      <w:r>
        <w:rPr>
          <w:rFonts w:ascii="Arial" w:cs="Arial" w:eastAsia="Arial" w:hAnsi="Arial"/>
          <w:sz w:val="18"/>
          <w:szCs w:val="18"/>
          <w:color w:val="auto"/>
        </w:rPr>
        <w:t>. Our Certificate of Incorporation provides that any action required or permitted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taken by the stockholders must be effected at a duly called annual or special meeting of stockholders and may not be effected by any consent in writing in lieu of a meeting of such stockholders. In addition, our Certificate of Incorporation and Bylaws provide that special meetings of stockholders may be called only by the board of directors or the chairman of the board of directors.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Election and Removal of Directors</w:t>
      </w:r>
      <w:r>
        <w:rPr>
          <w:rFonts w:ascii="Arial" w:cs="Arial" w:eastAsia="Arial" w:hAnsi="Arial"/>
          <w:sz w:val="18"/>
          <w:szCs w:val="18"/>
          <w:color w:val="auto"/>
        </w:rPr>
        <w:t>. The Delaware General Corporation Law (“DGCL”) provides that stockholders are not entitled to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cumulate votes in the election of directors unless our Certificate of Incorporation provides otherwise. Our Certificate of Incorporation does not expressly provide for cumulative voting. While the board is classified, directors may be removed, but only for cause, with the affirmative vote of the holders of a majority of the voting power of our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As described above under the heading “Authorized but Unissued Capital Stock”, the existence of authorized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and unreserved common stock and preferred stock could make more difficult or discourage an attempt to obtain control of us by means of a proxy contest, tender offer, merger or otherwise.</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In general, Section 203 of the DGCL, an anti-takeover law, prohibits a publicly held</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elected in our Certificate of Incorporation not to be subject to Section 203. However, our Certificate of Incorporation contains provisions that have the same effect as Section 203,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Advance Notice Provisions</w:t>
      </w:r>
      <w:r>
        <w:rPr>
          <w:rFonts w:ascii="Arial" w:cs="Arial" w:eastAsia="Arial" w:hAnsi="Arial"/>
          <w:sz w:val="16"/>
          <w:szCs w:val="16"/>
          <w:color w:val="auto"/>
        </w:rPr>
        <w:t>. Our Bylaws require stockholders seeking to nominate persons for election as directors at an annual or special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Bylaws, related to the stockholder giving the notice, the beneficial owner (if any) on whose behalf the nomination is made as well as their control persons and information about the proposal or nominee for election to the board of directors.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Certificate of Incorporation provides that, unless we select or consent in writing to the selection of another forum, the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recover monetary damages against a director for breach of fiduciary duties as a director, except that a director will be personally liable for:</w:t>
      </w:r>
    </w:p>
    <w:p>
      <w:pPr>
        <w:spacing w:after="0" w:line="14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his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improper distributions to stockholders.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payment of dividends on our common stock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 relevant.</w:t>
      </w:r>
    </w:p>
    <w:p>
      <w:pPr>
        <w:spacing w:after="0" w:line="39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and/or the selling securityholders, if applicable, may sell the securities in one or more of the following ways (or in any combination) from time to time: [through underwriters or dealers;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securities, including, to the extent applicable:</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the selling stockholders,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over-allotment or other options under which underwriters may purchase additional securities from us or any selling stockholders;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320" w:top="459" w:right="6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we and/or the selling stockholders, if applicable, use underwriters in the sale, the securities will be acquired by the underwriters for their own account and may be resold from time to time in one or more transactions, including:</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public offering price, dealer purchase price, discount, commission or concessions allowed or reallowed or paid to dealers may be changed from time to time.</w:t>
      </w:r>
    </w:p>
    <w:p>
      <w:pPr>
        <w:spacing w:after="0" w:line="170" w:lineRule="exact"/>
        <w:rPr>
          <w:sz w:val="20"/>
          <w:szCs w:val="20"/>
          <w:color w:val="auto"/>
        </w:rPr>
      </w:pPr>
    </w:p>
    <w:p>
      <w:pPr>
        <w:ind w:left="120" w:right="740" w:firstLine="440"/>
        <w:spacing w:after="0" w:line="342" w:lineRule="auto"/>
        <w:rPr>
          <w:sz w:val="20"/>
          <w:szCs w:val="20"/>
          <w:color w:val="auto"/>
        </w:rPr>
      </w:pPr>
      <w:r>
        <w:rPr>
          <w:rFonts w:ascii="Arial" w:cs="Arial" w:eastAsia="Arial" w:hAnsi="Arial"/>
          <w:sz w:val="16"/>
          <w:szCs w:val="16"/>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and/or the selling stockholders, if applicable, may sell the securities through agents from time to time.</w:t>
      </w:r>
    </w:p>
    <w:p>
      <w:pPr>
        <w:spacing w:after="0" w:line="225"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We and/or the selling stockholders, if applicable, may sell the securities to other stockholders of the Company through a rights offering.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will name any agent involved in the offer or sale of the securities and any commissions we pay to them. Generally, any agent will be acting on a best efforts basis for the period of its appointment.</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and/or the selling securityholders,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7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order to facilitate the offering of the securities, any underwriters or agents, as the case may be, involved in the offering of such securities may engage in transactions that stabilize, maintain or otherwise affect the price of such securities or other securities the prices of which may be used to determine payments on the securities. Specifically, the underwriters or agents, as the case may be, may over-allot in connection with the offering, creating a short position in such securities for their own account. In addition, to cover overallotments or to stabilize the price of the securities or of such other securities, the underwriters or agents, as the case may be, may bid for, and purchase, such securities in the open market. Finally, in any offering of such securities through a syndicate of underwriters, the underwriting syndicate may reclaim selling concessions allotted to an underwriter or a 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Unless the applicable prospectus supplement indicates otherwise, the validity of the securities being offered by this prospectus will be passed upon by Baker &amp; Hostetler, LLP.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The consolidated financial statements of P10, Inc. as of December 31, 2021 and 2020 and for each of the years in the three-year period ended December 31, 2021 have been incorporated by reference herein in reliance upon the report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file annual, quarterly and special reports, proxy statements and other information with the SEC, and we have filed with the SEC a registration statement on Form S-3 under the Securities Act of 1933, as amended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Our filings are available to the public on the Internet, through a database maintained by the SEC at www.sec.gov. Our filings are also available, free of charge, on our website at www.P10alts.com.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 except any information that is superseded by information that is included in a document subsequently filed with the SEC.</w:t>
      </w:r>
    </w:p>
    <w:p>
      <w:pPr>
        <w:spacing w:after="0" w:line="187"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securities, except that we are not incorporating by reference any information furnished (and not filed) with the SEC, including our Compensation Committee report and performance graph or any information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furnished pursuant to Items 2.02 or 7.01 of Form 8-K or related exhibits furnished pursuant to Item 9.01 of Form 8-K:</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53">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June 30,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on </w:t>
      </w:r>
      <w:hyperlink r:id="rId55">
        <w:r>
          <w:rPr>
            <w:rFonts w:ascii="Arial" w:cs="Arial" w:eastAsia="Arial" w:hAnsi="Arial"/>
            <w:sz w:val="17"/>
            <w:szCs w:val="17"/>
            <w:u w:val="single" w:color="auto"/>
            <w:color w:val="0000EE"/>
          </w:rPr>
          <w:t>March 4, 2022</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June 24, 2022</w:t>
        </w:r>
      </w:hyperlink>
      <w:r>
        <w:rPr>
          <w:rFonts w:ascii="Arial" w:cs="Arial" w:eastAsia="Arial" w:hAnsi="Arial"/>
          <w:sz w:val="17"/>
          <w:szCs w:val="17"/>
          <w:color w:val="auto"/>
        </w:rPr>
        <w:t xml:space="preserve">, </w:t>
      </w:r>
      <w:hyperlink r:id="rId57">
        <w:r>
          <w:rPr>
            <w:rFonts w:ascii="Arial" w:cs="Arial" w:eastAsia="Arial" w:hAnsi="Arial"/>
            <w:sz w:val="17"/>
            <w:szCs w:val="17"/>
            <w:u w:val="single" w:color="auto"/>
            <w:color w:val="0000EE"/>
          </w:rPr>
          <w:t>July 12, 2022</w:t>
        </w:r>
      </w:hyperlink>
      <w:r>
        <w:rPr>
          <w:rFonts w:ascii="Arial" w:cs="Arial" w:eastAsia="Arial" w:hAnsi="Arial"/>
          <w:sz w:val="17"/>
          <w:szCs w:val="17"/>
          <w:color w:val="auto"/>
        </w:rPr>
        <w:t xml:space="preserve">, </w:t>
      </w:r>
      <w:hyperlink r:id="rId58">
        <w:r>
          <w:rPr>
            <w:rFonts w:ascii="Arial" w:cs="Arial" w:eastAsia="Arial" w:hAnsi="Arial"/>
            <w:sz w:val="17"/>
            <w:szCs w:val="17"/>
            <w:u w:val="single" w:color="auto"/>
            <w:color w:val="0000EE"/>
          </w:rPr>
          <w:t>August 26, 2022</w:t>
        </w:r>
      </w:hyperlink>
      <w:r>
        <w:rPr>
          <w:rFonts w:ascii="Arial" w:cs="Arial" w:eastAsia="Arial" w:hAnsi="Arial"/>
          <w:sz w:val="17"/>
          <w:szCs w:val="17"/>
          <w:color w:val="auto"/>
        </w:rPr>
        <w:t xml:space="preserve">, and </w:t>
      </w:r>
      <w:hyperlink r:id="rId59">
        <w:r>
          <w:rPr>
            <w:rFonts w:ascii="Arial" w:cs="Arial" w:eastAsia="Arial" w:hAnsi="Arial"/>
            <w:sz w:val="17"/>
            <w:szCs w:val="17"/>
            <w:u w:val="single" w:color="auto"/>
            <w:color w:val="0000EE"/>
          </w:rPr>
          <w:t>October 13, 2022</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w:t>
      </w:r>
      <w:hyperlink r:id="rId60">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on April 29, 2022;</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the Company’s common stock contained in the Prospectus filed pursuant to Rule </w:t>
      </w:r>
      <w:hyperlink r:id="rId61">
        <w:r>
          <w:rPr>
            <w:rFonts w:ascii="Arial" w:cs="Arial" w:eastAsia="Arial" w:hAnsi="Arial"/>
            <w:sz w:val="18"/>
            <w:szCs w:val="18"/>
            <w:u w:val="single" w:color="auto"/>
            <w:color w:val="0000EE"/>
          </w:rPr>
          <w:t>424(b)(4)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October 22, 2021, including any amendment or report filed for the purpose of updating such description; and</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included in the Registrant’s Registration Statement on </w:t>
      </w:r>
      <w:hyperlink r:id="rId62">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the Exchange Act filed with the SEC on October 19, 2021, including any amendment or report filed for the purpose of updating such description.</w:t>
      </w:r>
    </w:p>
    <w:p>
      <w:pPr>
        <w:spacing w:after="0" w:line="124" w:lineRule="exact"/>
        <w:rPr>
          <w:rFonts w:ascii="Arial" w:cs="Arial" w:eastAsia="Arial" w:hAnsi="Arial"/>
          <w:sz w:val="18"/>
          <w:szCs w:val="18"/>
          <w:color w:val="auto"/>
        </w:rPr>
      </w:pPr>
    </w:p>
    <w:p>
      <w:pPr>
        <w:ind w:left="120" w:firstLine="440"/>
        <w:spacing w:after="0" w:line="279" w:lineRule="auto"/>
        <w:rPr>
          <w:sz w:val="20"/>
          <w:szCs w:val="20"/>
          <w:color w:val="auto"/>
        </w:rPr>
      </w:pPr>
      <w:r>
        <w:rPr>
          <w:rFonts w:ascii="Arial" w:cs="Arial" w:eastAsia="Arial" w:hAnsi="Arial"/>
          <w:sz w:val="17"/>
          <w:szCs w:val="17"/>
          <w:color w:val="auto"/>
        </w:rPr>
        <w:t>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w:t>
      </w:r>
    </w:p>
    <w:p>
      <w:pPr>
        <w:spacing w:after="0" w:line="171" w:lineRule="exact"/>
        <w:rPr>
          <w:rFonts w:ascii="Arial" w:cs="Arial" w:eastAsia="Arial" w:hAnsi="Arial"/>
          <w:sz w:val="18"/>
          <w:szCs w:val="18"/>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 copy of any document incorporated by reference in this prospectus may be obtained at no cost by writing or telephoning us at the following address and telephone number:</w:t>
      </w:r>
    </w:p>
    <w:p>
      <w:pPr>
        <w:spacing w:after="0" w:line="17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P10,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4514 Cole Avenue, Suite 1600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Dallas, Texas 75205</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Attention: Amanda Coussens</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(214) 865-7998</w:t>
      </w:r>
    </w:p>
    <w:p>
      <w:pPr>
        <w:spacing w:after="0" w:line="211" w:lineRule="exact"/>
        <w:rPr>
          <w:rFonts w:ascii="Arial" w:cs="Arial" w:eastAsia="Arial" w:hAnsi="Arial"/>
          <w:sz w:val="18"/>
          <w:szCs w:val="18"/>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maintain a website at www.P10alts.com.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87" w:lineRule="exact"/>
        <w:rPr>
          <w:rFonts w:ascii="Arial" w:cs="Arial" w:eastAsia="Arial" w:hAnsi="Arial"/>
          <w:sz w:val="18"/>
          <w:szCs w:val="18"/>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may read and copy any materials we file with the SEC at the SEC’s website mentioned under the heading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The information on the SEC’s website is not incorporated by reference in this prospectus.</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P10, Inc.</w:t>
      </w:r>
    </w:p>
    <w:p>
      <w:pPr>
        <w:spacing w:after="0" w:line="200" w:lineRule="exact"/>
        <w:rPr>
          <w:sz w:val="20"/>
          <w:szCs w:val="20"/>
          <w:color w:val="auto"/>
        </w:rPr>
      </w:pPr>
    </w:p>
    <w:p>
      <w:pPr>
        <w:spacing w:after="0" w:line="248"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$300,000,000</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Class A common stock</w:t>
      </w:r>
    </w:p>
    <w:p>
      <w:pPr>
        <w:spacing w:after="0" w:line="84"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722630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677545</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746125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defined at this time.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 for:</w:t>
      </w:r>
    </w:p>
    <w:p>
      <w:pPr>
        <w:spacing w:after="0" w:line="5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his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General Corporation Law of the State of Delaware;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 or improper distributions to stockholders.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70"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In addition, we have entered into separate indemnification agreements with our directors and officers. These agreements, among other things, require us to indemnify our directors and officers for certain expenses, including attorneys’ fees, judgments, fines, ERISA excise taxes, penalties and amounts paid in settlement by or on behalf of the indemnitee actually and reasonably incurred by such indemnitee in connection therewith.</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The foregoing summaries are subject to the text of the DGCL, the registrant’s amended and restated certificate of incorporation and amended and restated bylaws, and the indemnification agreements referred to above, and are qualified in their entirety by reference thereto.</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340" w:type="dxa"/>
            <w:vAlign w:val="bottom"/>
            <w:gridSpan w:val="4"/>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4600" w:type="dxa"/>
            <w:vAlign w:val="bottom"/>
            <w:gridSpan w:val="4"/>
          </w:tcPr>
          <w:p>
            <w:pPr>
              <w:ind w:left="2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5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ind w:left="60"/>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860" w:type="dxa"/>
            <w:vAlign w:val="bottom"/>
            <w:tcBorders>
              <w:bottom w:val="single" w:sz="8" w:color="0000EE"/>
            </w:tcBorders>
            <w:gridSpan w:val="7"/>
          </w:tcPr>
          <w:p>
            <w:pPr>
              <w:ind w:left="20"/>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Amended and Restated Certificate of Incorporation (incorporated by reference to the Company’s Current Report on Form 8-K, filed with</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7"/>
          </w:tcPr>
          <w:p>
            <w:pPr>
              <w:ind w:left="2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the SEC on October 26,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ind w:left="60"/>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340" w:type="dxa"/>
            <w:vAlign w:val="bottom"/>
            <w:tcBorders>
              <w:bottom w:val="single" w:sz="8" w:color="0000EE"/>
            </w:tcBorders>
            <w:gridSpan w:val="6"/>
          </w:tcPr>
          <w:p>
            <w:pPr>
              <w:ind w:left="20"/>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Amended and Restated Bylaws (incorporated by reference to the Company’s Current Report on Form 8-K, filed with the SEC 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7"/>
          </w:tcPr>
          <w:p>
            <w:pPr>
              <w:ind w:left="20"/>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October 26, 2021)</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9860" w:type="dxa"/>
            <w:vAlign w:val="bottom"/>
            <w:gridSpan w:val="7"/>
          </w:tcPr>
          <w:p>
            <w:pPr>
              <w:ind w:left="20"/>
              <w:spacing w:after="0"/>
              <w:rPr>
                <w:sz w:val="20"/>
                <w:szCs w:val="20"/>
                <w:color w:val="auto"/>
              </w:rPr>
            </w:pPr>
            <w:r>
              <w:rPr>
                <w:rFonts w:ascii="Arial" w:cs="Arial" w:eastAsia="Arial" w:hAnsi="Arial"/>
                <w:sz w:val="18"/>
                <w:szCs w:val="18"/>
                <w:color w:val="0000EE"/>
              </w:rPr>
              <w:t>Form of Indenture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ind w:left="60"/>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Depositary Agreement</w:t>
            </w:r>
          </w:p>
        </w:tc>
        <w:tc>
          <w:tcPr>
            <w:tcW w:w="0" w:type="dxa"/>
            <w:vAlign w:val="bottom"/>
          </w:tcPr>
          <w:p>
            <w:pPr>
              <w:spacing w:after="0"/>
              <w:rPr>
                <w:sz w:val="1"/>
                <w:szCs w:val="1"/>
                <w:color w:val="auto"/>
              </w:rPr>
            </w:pP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Subscription Agreement</w:t>
            </w:r>
          </w:p>
        </w:tc>
        <w:tc>
          <w:tcPr>
            <w:tcW w:w="0" w:type="dxa"/>
            <w:vAlign w:val="bottom"/>
          </w:tcPr>
          <w:p>
            <w:pPr>
              <w:spacing w:after="0"/>
              <w:rPr>
                <w:sz w:val="1"/>
                <w:szCs w:val="1"/>
                <w:color w:val="auto"/>
              </w:rPr>
            </w:pP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Purchase Contract Agreement</w:t>
            </w:r>
          </w:p>
        </w:tc>
        <w:tc>
          <w:tcPr>
            <w:tcW w:w="0" w:type="dxa"/>
            <w:vAlign w:val="bottom"/>
          </w:tcPr>
          <w:p>
            <w:pPr>
              <w:spacing w:after="0"/>
              <w:rPr>
                <w:sz w:val="1"/>
                <w:szCs w:val="1"/>
                <w:color w:val="auto"/>
              </w:rPr>
            </w:pP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4"/>
                <w:szCs w:val="24"/>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Form of Unit</w:t>
            </w:r>
          </w:p>
        </w:tc>
        <w:tc>
          <w:tcPr>
            <w:tcW w:w="0" w:type="dxa"/>
            <w:vAlign w:val="bottom"/>
          </w:tcPr>
          <w:p>
            <w:pPr>
              <w:spacing w:after="0"/>
              <w:rPr>
                <w:sz w:val="1"/>
                <w:szCs w:val="1"/>
                <w:color w:val="auto"/>
              </w:rPr>
            </w:pPr>
          </w:p>
        </w:tc>
      </w:tr>
      <w:tr>
        <w:trPr>
          <w:trHeight w:val="283"/>
        </w:trPr>
        <w:tc>
          <w:tcPr>
            <w:tcW w:w="110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9860" w:type="dxa"/>
            <w:vAlign w:val="bottom"/>
            <w:gridSpan w:val="7"/>
          </w:tcPr>
          <w:p>
            <w:pPr>
              <w:ind w:left="20"/>
              <w:spacing w:after="0"/>
              <w:rPr>
                <w:sz w:val="20"/>
                <w:szCs w:val="20"/>
                <w:color w:val="auto"/>
              </w:rPr>
            </w:pPr>
            <w:r>
              <w:rPr>
                <w:rFonts w:ascii="Arial" w:cs="Arial" w:eastAsia="Arial" w:hAnsi="Arial"/>
                <w:sz w:val="18"/>
                <w:szCs w:val="18"/>
                <w:color w:val="0000EE"/>
              </w:rPr>
              <w:t>Opinion of Baker &amp; Hostetler LLP</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340" w:type="dxa"/>
            <w:vAlign w:val="bottom"/>
            <w:gridSpan w:val="4"/>
          </w:tcPr>
          <w:p>
            <w:pPr>
              <w:ind w:left="17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700" w:type="dxa"/>
            <w:vAlign w:val="bottom"/>
          </w:tcPr>
          <w:p>
            <w:pPr>
              <w:spacing w:after="0"/>
              <w:rPr>
                <w:sz w:val="24"/>
                <w:szCs w:val="24"/>
                <w:color w:val="auto"/>
              </w:rPr>
            </w:pPr>
          </w:p>
        </w:tc>
        <w:tc>
          <w:tcPr>
            <w:tcW w:w="4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2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7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0000EE"/>
              </w:rPr>
              <w:t>Power of Attorney (included on signature page hereto)</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20" w:type="dxa"/>
            <w:vAlign w:val="bottom"/>
            <w:gridSpan w:val="3"/>
          </w:tcPr>
          <w:p>
            <w:pPr>
              <w:spacing w:after="0"/>
              <w:rPr>
                <w:sz w:val="20"/>
                <w:szCs w:val="20"/>
                <w:color w:val="auto"/>
              </w:rPr>
            </w:pPr>
            <w:r>
              <w:rPr>
                <w:rFonts w:ascii="Arial" w:cs="Arial" w:eastAsia="Arial" w:hAnsi="Arial"/>
                <w:sz w:val="18"/>
                <w:szCs w:val="18"/>
                <w:color w:val="auto"/>
              </w:rPr>
              <w:t>25.1***</w:t>
            </w:r>
          </w:p>
        </w:tc>
        <w:tc>
          <w:tcPr>
            <w:tcW w:w="6980" w:type="dxa"/>
            <w:vAlign w:val="bottom"/>
            <w:gridSpan w:val="6"/>
          </w:tcPr>
          <w:p>
            <w:pPr>
              <w:spacing w:after="0"/>
              <w:rPr>
                <w:sz w:val="20"/>
                <w:szCs w:val="20"/>
                <w:color w:val="auto"/>
              </w:rPr>
            </w:pPr>
            <w:r>
              <w:rPr>
                <w:rFonts w:ascii="Arial" w:cs="Arial" w:eastAsia="Arial" w:hAnsi="Arial"/>
                <w:sz w:val="18"/>
                <w:szCs w:val="18"/>
                <w:color w:val="auto"/>
                <w:w w:val="91"/>
              </w:rPr>
              <w:t>Form T-1 Statement of Eligibility of Trustee for Indenture under the Trust Indenture Act of 1939.</w:t>
            </w:r>
          </w:p>
        </w:tc>
        <w:tc>
          <w:tcPr>
            <w:tcW w:w="0" w:type="dxa"/>
            <w:vAlign w:val="bottom"/>
          </w:tcPr>
          <w:p>
            <w:pPr>
              <w:spacing w:after="0"/>
              <w:rPr>
                <w:sz w:val="1"/>
                <w:szCs w:val="1"/>
                <w:color w:val="auto"/>
              </w:rPr>
            </w:pPr>
          </w:p>
        </w:tc>
      </w:tr>
      <w:tr>
        <w:trPr>
          <w:trHeight w:val="283"/>
        </w:trPr>
        <w:tc>
          <w:tcPr>
            <w:tcW w:w="520" w:type="dxa"/>
            <w:vAlign w:val="bottom"/>
            <w:gridSpan w:val="2"/>
          </w:tcPr>
          <w:p>
            <w:pPr>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0000EE"/>
              </w:rPr>
              <w:t>Filing Fee Table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5" w:lineRule="exact"/>
        <w:rPr>
          <w:sz w:val="20"/>
          <w:szCs w:val="20"/>
          <w:color w:val="auto"/>
        </w:rPr>
      </w:pPr>
    </w:p>
    <w:p>
      <w:pPr>
        <w:ind w:left="120" w:right="3960" w:hanging="4"/>
        <w:spacing w:after="0" w:line="258" w:lineRule="auto"/>
        <w:tabs>
          <w:tab w:leader="none" w:pos="5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of the registrant. ** Filed herewith.</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To be filed in accordance with the requirements of Section 305(b)(2) of the Trust Indenture Act of 1939 and Rule 5b-3 thereunder.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right="20" w:hanging="532"/>
        <w:spacing w:after="0" w:line="254"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2" w:lineRule="exact"/>
        <w:rPr>
          <w:sz w:val="20"/>
          <w:szCs w:val="20"/>
          <w:color w:val="auto"/>
        </w:rPr>
      </w:pPr>
    </w:p>
    <w:p>
      <w:pPr>
        <w:ind w:left="540" w:right="20" w:hanging="424"/>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080" w:hanging="532"/>
        <w:spacing w:after="0" w:line="274" w:lineRule="auto"/>
        <w:tabs>
          <w:tab w:leader="none" w:pos="10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1080"/>
        <w:spacing w:after="0"/>
        <w:rPr>
          <w:rFonts w:ascii="Arial" w:cs="Arial" w:eastAsia="Arial" w:hAnsi="Arial"/>
          <w:sz w:val="17"/>
          <w:szCs w:val="17"/>
          <w:color w:val="auto"/>
        </w:rPr>
      </w:pPr>
      <w:r>
        <w:rPr>
          <w:rFonts w:ascii="Arial" w:cs="Arial" w:eastAsia="Arial" w:hAnsi="Arial"/>
          <w:sz w:val="18"/>
          <w:szCs w:val="18"/>
          <w:color w:val="auto"/>
        </w:rPr>
        <w:t>Section 10(a) of the Securities Act shall be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9" w:lineRule="auto"/>
        <w:rPr>
          <w:sz w:val="20"/>
          <w:szCs w:val="20"/>
          <w:color w:val="auto"/>
        </w:rPr>
      </w:pPr>
      <w:r>
        <w:rPr>
          <w:rFonts w:ascii="Arial" w:cs="Arial" w:eastAsia="Arial" w:hAnsi="Arial"/>
          <w:sz w:val="16"/>
          <w:szCs w:val="16"/>
          <w:color w:val="auto"/>
        </w:rPr>
        <w:t xml:space="preserve">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2" w:lineRule="exact"/>
        <w:rPr>
          <w:sz w:val="20"/>
          <w:szCs w:val="20"/>
          <w:color w:val="auto"/>
        </w:rPr>
      </w:pPr>
    </w:p>
    <w:p>
      <w:pPr>
        <w:ind w:left="540" w:hanging="424"/>
        <w:spacing w:after="0" w:line="25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080" w:right="380" w:hanging="532"/>
        <w:spacing w:after="0" w:line="277"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80" w:hanging="424"/>
        <w:spacing w:after="0" w:line="25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540" w:right="40" w:hanging="424"/>
        <w:spacing w:after="0" w:line="290"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80"/>
        <w:spacing w:after="0" w:line="277" w:lineRule="auto"/>
        <w:rPr>
          <w:sz w:val="20"/>
          <w:szCs w:val="20"/>
          <w:color w:val="auto"/>
        </w:rPr>
      </w:pPr>
      <w:r>
        <w:rPr>
          <w:rFonts w:ascii="Arial" w:cs="Arial" w:eastAsia="Arial" w:hAnsi="Arial"/>
          <w:sz w:val="18"/>
          <w:szCs w:val="18"/>
          <w:color w:val="auto"/>
        </w:rPr>
        <w:t>contained in a form of prospectus filed by the registrant pursuant to Rule 424(b)(1) or (4) or 497(h) under the Securities Act shall be deemed to be part of this registration statement as of the time it was declared effective.</w:t>
      </w:r>
    </w:p>
    <w:p>
      <w:pPr>
        <w:spacing w:after="0" w:line="76" w:lineRule="exact"/>
        <w:rPr>
          <w:sz w:val="20"/>
          <w:szCs w:val="20"/>
          <w:color w:val="auto"/>
        </w:rPr>
      </w:pPr>
    </w:p>
    <w:p>
      <w:pPr>
        <w:ind w:left="1080" w:hanging="532"/>
        <w:spacing w:after="0" w:line="263"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540" w:right="140" w:hanging="424"/>
        <w:spacing w:after="0" w:line="34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November 9,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Robert Alpert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Co-Chief Executive Officer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 Clark Webb</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Co-Chief Executive Officer</w:t>
      </w:r>
    </w:p>
    <w:p>
      <w:pPr>
        <w:spacing w:after="0" w:line="200" w:lineRule="exact"/>
        <w:rPr>
          <w:sz w:val="20"/>
          <w:szCs w:val="20"/>
          <w:color w:val="auto"/>
        </w:rPr>
      </w:pPr>
    </w:p>
    <w:p>
      <w:pPr>
        <w:spacing w:after="0" w:line="25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Amanda Coussens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Robert Alpert, C. Clark Webb and Amanda Coussens, and each of them, as the undersigned’s true and lawful attorneys-in-fact and agents, with full power of substitution, for the undersigned in any and all capacities, to sign any or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for all intents and purposes as the undersigned might or could do in person, hereby and about the premises hereby ratifying and confirming all that said attorneys-in-fact and agent, proxy and agent, or their substitute, may lawfully do or cause to be done by virtue hereof.</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following persons in the capacities and on the dates indicated have signed this Registration Statement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Date</w:t>
            </w:r>
          </w:p>
        </w:tc>
      </w:tr>
      <w:tr>
        <w:trPr>
          <w:trHeight w:val="412"/>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Alpert</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 and Chairman of the</w:t>
            </w:r>
          </w:p>
        </w:tc>
        <w:tc>
          <w:tcPr>
            <w:tcW w:w="1880" w:type="dxa"/>
            <w:vAlign w:val="bottom"/>
          </w:tcPr>
          <w:p>
            <w:pPr>
              <w:spacing w:after="0"/>
              <w:rPr>
                <w:sz w:val="20"/>
                <w:szCs w:val="20"/>
                <w:color w:val="auto"/>
              </w:rPr>
            </w:pPr>
            <w:r>
              <w:rPr>
                <w:rFonts w:ascii="Arial" w:cs="Arial" w:eastAsia="Arial" w:hAnsi="Arial"/>
                <w:sz w:val="18"/>
                <w:szCs w:val="18"/>
                <w:color w:val="auto"/>
              </w:rPr>
              <w:t>November 9,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Robert Alpert</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Board of Directors (Principal Executive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Clark Webb</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Co-Chief Executive Officer and Director (Principal</w:t>
            </w:r>
          </w:p>
        </w:tc>
        <w:tc>
          <w:tcPr>
            <w:tcW w:w="1880" w:type="dxa"/>
            <w:vAlign w:val="bottom"/>
          </w:tcPr>
          <w:p>
            <w:pPr>
              <w:spacing w:after="0"/>
              <w:rPr>
                <w:sz w:val="20"/>
                <w:szCs w:val="20"/>
                <w:color w:val="auto"/>
              </w:rPr>
            </w:pPr>
            <w:r>
              <w:rPr>
                <w:rFonts w:ascii="Arial" w:cs="Arial" w:eastAsia="Arial" w:hAnsi="Arial"/>
                <w:sz w:val="18"/>
                <w:szCs w:val="18"/>
                <w:color w:val="auto"/>
              </w:rPr>
              <w:t>November 9,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C. Clark Webb</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Executive Officer)</w:t>
            </w: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37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Amanda Coussens</w:t>
            </w:r>
          </w:p>
        </w:tc>
        <w:tc>
          <w:tcPr>
            <w:tcW w:w="4020" w:type="dxa"/>
            <w:vAlign w:val="bottom"/>
          </w:tcPr>
          <w:p>
            <w:pPr>
              <w:ind w:left="120"/>
              <w:spacing w:after="0"/>
              <w:rPr>
                <w:sz w:val="20"/>
                <w:szCs w:val="20"/>
                <w:color w:val="auto"/>
              </w:rPr>
            </w:pPr>
            <w:r>
              <w:rPr>
                <w:rFonts w:ascii="Arial" w:cs="Arial" w:eastAsia="Arial" w:hAnsi="Arial"/>
                <w:sz w:val="18"/>
                <w:szCs w:val="18"/>
                <w:color w:val="auto"/>
                <w:w w:val="98"/>
              </w:rPr>
              <w:t>Chief Financial Officer (Principal Financial Officer</w:t>
            </w:r>
          </w:p>
        </w:tc>
        <w:tc>
          <w:tcPr>
            <w:tcW w:w="1520" w:type="dxa"/>
            <w:vAlign w:val="bottom"/>
          </w:tcPr>
          <w:p>
            <w:pPr>
              <w:ind w:left="160"/>
              <w:spacing w:after="0"/>
              <w:rPr>
                <w:sz w:val="20"/>
                <w:szCs w:val="20"/>
                <w:color w:val="auto"/>
              </w:rPr>
            </w:pPr>
            <w:r>
              <w:rPr>
                <w:rFonts w:ascii="Arial" w:cs="Arial" w:eastAsia="Arial" w:hAnsi="Arial"/>
                <w:sz w:val="18"/>
                <w:szCs w:val="18"/>
                <w:color w:val="auto"/>
                <w:w w:val="90"/>
              </w:rPr>
              <w:t>November 9, 2022</w:t>
            </w:r>
          </w:p>
        </w:tc>
      </w:tr>
      <w:tr>
        <w:trPr>
          <w:trHeight w:val="224"/>
        </w:trPr>
        <w:tc>
          <w:tcPr>
            <w:tcW w:w="1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Amanda Coussens</w:t>
            </w:r>
          </w:p>
        </w:tc>
        <w:tc>
          <w:tcPr>
            <w:tcW w:w="4020" w:type="dxa"/>
            <w:vAlign w:val="bottom"/>
          </w:tcPr>
          <w:p>
            <w:pPr>
              <w:ind w:left="120"/>
              <w:spacing w:after="0"/>
              <w:rPr>
                <w:sz w:val="20"/>
                <w:szCs w:val="20"/>
                <w:color w:val="auto"/>
              </w:rPr>
            </w:pPr>
            <w:r>
              <w:rPr>
                <w:rFonts w:ascii="Arial" w:cs="Arial" w:eastAsia="Arial" w:hAnsi="Arial"/>
                <w:sz w:val="18"/>
                <w:szCs w:val="18"/>
                <w:color w:val="auto"/>
              </w:rPr>
              <w:t>and Principal Accounting Officer)</w:t>
            </w:r>
          </w:p>
        </w:tc>
        <w:tc>
          <w:tcPr>
            <w:tcW w:w="15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F. Souder</w:t>
            </w:r>
          </w:p>
        </w:tc>
        <w:tc>
          <w:tcPr>
            <w:tcW w:w="4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160"/>
              <w:spacing w:after="0"/>
              <w:rPr>
                <w:sz w:val="20"/>
                <w:szCs w:val="20"/>
                <w:color w:val="auto"/>
              </w:rPr>
            </w:pPr>
            <w:r>
              <w:rPr>
                <w:rFonts w:ascii="Arial" w:cs="Arial" w:eastAsia="Arial" w:hAnsi="Arial"/>
                <w:sz w:val="18"/>
                <w:szCs w:val="18"/>
                <w:color w:val="auto"/>
                <w:w w:val="90"/>
              </w:rPr>
              <w:t>November 9, 2022</w:t>
            </w:r>
          </w:p>
        </w:tc>
      </w:tr>
      <w:tr>
        <w:trPr>
          <w:trHeight w:val="224"/>
        </w:trPr>
        <w:tc>
          <w:tcPr>
            <w:tcW w:w="1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William F. Souder</w:t>
            </w:r>
          </w:p>
        </w:tc>
        <w:tc>
          <w:tcPr>
            <w:tcW w:w="40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B. Stewart, Jr.</w:t>
            </w:r>
          </w:p>
        </w:tc>
        <w:tc>
          <w:tcPr>
            <w:tcW w:w="4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160"/>
              <w:spacing w:after="0"/>
              <w:rPr>
                <w:sz w:val="20"/>
                <w:szCs w:val="20"/>
                <w:color w:val="auto"/>
              </w:rPr>
            </w:pPr>
            <w:r>
              <w:rPr>
                <w:rFonts w:ascii="Arial" w:cs="Arial" w:eastAsia="Arial" w:hAnsi="Arial"/>
                <w:sz w:val="18"/>
                <w:szCs w:val="18"/>
                <w:color w:val="auto"/>
                <w:w w:val="90"/>
              </w:rPr>
              <w:t>November 9, 2022</w:t>
            </w:r>
          </w:p>
        </w:tc>
      </w:tr>
      <w:tr>
        <w:trPr>
          <w:trHeight w:val="224"/>
        </w:trPr>
        <w:tc>
          <w:tcPr>
            <w:tcW w:w="1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Robert B. Stewart, Jr.</w:t>
            </w:r>
          </w:p>
        </w:tc>
        <w:tc>
          <w:tcPr>
            <w:tcW w:w="40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Travis Barnes</w:t>
            </w:r>
          </w:p>
        </w:tc>
        <w:tc>
          <w:tcPr>
            <w:tcW w:w="4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160"/>
              <w:spacing w:after="0"/>
              <w:rPr>
                <w:sz w:val="20"/>
                <w:szCs w:val="20"/>
                <w:color w:val="auto"/>
              </w:rPr>
            </w:pPr>
            <w:r>
              <w:rPr>
                <w:rFonts w:ascii="Arial" w:cs="Arial" w:eastAsia="Arial" w:hAnsi="Arial"/>
                <w:sz w:val="18"/>
                <w:szCs w:val="18"/>
                <w:color w:val="auto"/>
                <w:w w:val="90"/>
              </w:rPr>
              <w:t>November 9, 2022</w:t>
            </w:r>
          </w:p>
        </w:tc>
      </w:tr>
      <w:tr>
        <w:trPr>
          <w:trHeight w:val="224"/>
        </w:trPr>
        <w:tc>
          <w:tcPr>
            <w:tcW w:w="1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Travis Barnes</w:t>
            </w:r>
          </w:p>
        </w:tc>
        <w:tc>
          <w:tcPr>
            <w:tcW w:w="40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Edwin Poston</w:t>
            </w:r>
          </w:p>
        </w:tc>
        <w:tc>
          <w:tcPr>
            <w:tcW w:w="4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160"/>
              <w:spacing w:after="0"/>
              <w:rPr>
                <w:sz w:val="20"/>
                <w:szCs w:val="20"/>
                <w:color w:val="auto"/>
              </w:rPr>
            </w:pPr>
            <w:r>
              <w:rPr>
                <w:rFonts w:ascii="Arial" w:cs="Arial" w:eastAsia="Arial" w:hAnsi="Arial"/>
                <w:sz w:val="18"/>
                <w:szCs w:val="18"/>
                <w:color w:val="auto"/>
                <w:w w:val="90"/>
              </w:rPr>
              <w:t>November 9, 2022</w:t>
            </w:r>
          </w:p>
        </w:tc>
      </w:tr>
      <w:tr>
        <w:trPr>
          <w:trHeight w:val="224"/>
        </w:trPr>
        <w:tc>
          <w:tcPr>
            <w:tcW w:w="1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Edwin Poston</w:t>
            </w:r>
          </w:p>
        </w:tc>
        <w:tc>
          <w:tcPr>
            <w:tcW w:w="40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Gwilliam</w:t>
            </w:r>
          </w:p>
        </w:tc>
        <w:tc>
          <w:tcPr>
            <w:tcW w:w="4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160"/>
              <w:spacing w:after="0"/>
              <w:rPr>
                <w:sz w:val="20"/>
                <w:szCs w:val="20"/>
                <w:color w:val="auto"/>
              </w:rPr>
            </w:pPr>
            <w:r>
              <w:rPr>
                <w:rFonts w:ascii="Arial" w:cs="Arial" w:eastAsia="Arial" w:hAnsi="Arial"/>
                <w:sz w:val="18"/>
                <w:szCs w:val="18"/>
                <w:color w:val="auto"/>
                <w:w w:val="90"/>
              </w:rPr>
              <w:t>November 9, 2022</w:t>
            </w:r>
          </w:p>
        </w:tc>
      </w:tr>
      <w:tr>
        <w:trPr>
          <w:trHeight w:val="224"/>
        </w:trPr>
        <w:tc>
          <w:tcPr>
            <w:tcW w:w="1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Scott Gwilliam</w:t>
            </w:r>
          </w:p>
        </w:tc>
        <w:tc>
          <w:tcPr>
            <w:tcW w:w="40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20" w:type="dxa"/>
            <w:vAlign w:val="bottom"/>
          </w:tcPr>
          <w:p>
            <w:pPr>
              <w:ind w:left="400"/>
              <w:spacing w:after="0"/>
              <w:rPr>
                <w:sz w:val="20"/>
                <w:szCs w:val="20"/>
                <w:color w:val="auto"/>
              </w:rPr>
            </w:pPr>
            <w:r>
              <w:rPr>
                <w:rFonts w:ascii="Arial" w:cs="Arial" w:eastAsia="Arial" w:hAnsi="Arial"/>
                <w:sz w:val="18"/>
                <w:szCs w:val="18"/>
                <w:color w:val="auto"/>
              </w:rPr>
              <w:t>II-7</w:t>
            </w:r>
          </w:p>
        </w:tc>
        <w:tc>
          <w:tcPr>
            <w:tcW w:w="1520" w:type="dxa"/>
            <w:vAlign w:val="bottom"/>
          </w:tcPr>
          <w:p>
            <w:pPr>
              <w:spacing w:after="0"/>
              <w:rPr>
                <w:sz w:val="24"/>
                <w:szCs w:val="24"/>
                <w:color w:val="auto"/>
              </w:rPr>
            </w:pPr>
          </w:p>
        </w:tc>
      </w:tr>
    </w:tbl>
    <w:p>
      <w:pPr>
        <w:sectPr>
          <w:pgSz w:w="11900" w:h="16838" w:orient="portrait"/>
          <w:cols w:equalWidth="0" w:num="1">
            <w:col w:w="10620"/>
          </w:cols>
          <w:pgMar w:left="320" w:top="446" w:right="9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tbl>
      <w:tblPr>
        <w:tblLayout w:type="fixed"/>
        <w:tblInd w:w="378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Dated as of</w:t>
            </w:r>
          </w:p>
        </w:tc>
        <w:tc>
          <w:tcPr>
            <w:tcW w:w="44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231140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5400" w:type="dxa"/>
            <w:vAlign w:val="bottom"/>
            <w:gridSpan w:val="2"/>
          </w:tcPr>
          <w:p>
            <w:pPr>
              <w:spacing w:after="0"/>
              <w:rPr>
                <w:sz w:val="20"/>
                <w:szCs w:val="20"/>
                <w:color w:val="auto"/>
              </w:rPr>
            </w:pPr>
            <w:r>
              <w:rPr>
                <w:rFonts w:ascii="Arial" w:cs="Arial" w:eastAsia="Arial" w:hAnsi="Arial"/>
                <w:sz w:val="18"/>
                <w:szCs w:val="18"/>
                <w:color w:val="auto"/>
                <w:w w:val="97"/>
              </w:rPr>
              <w:t>ARTICLE I DEFINITIONS AND INCORPORATION BY REFERENCE</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1.1</w:t>
            </w:r>
          </w:p>
        </w:tc>
        <w:tc>
          <w:tcPr>
            <w:tcW w:w="46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1.2</w:t>
            </w:r>
          </w:p>
        </w:tc>
        <w:tc>
          <w:tcPr>
            <w:tcW w:w="464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1.3</w:t>
            </w:r>
          </w:p>
        </w:tc>
        <w:tc>
          <w:tcPr>
            <w:tcW w:w="4640" w:type="dxa"/>
            <w:vAlign w:val="bottom"/>
          </w:tcPr>
          <w:p>
            <w:pPr>
              <w:ind w:left="100"/>
              <w:spacing w:after="0"/>
              <w:rPr>
                <w:sz w:val="20"/>
                <w:szCs w:val="20"/>
                <w:color w:val="auto"/>
              </w:rPr>
            </w:pPr>
            <w:r>
              <w:rPr>
                <w:rFonts w:ascii="Arial" w:cs="Arial" w:eastAsia="Arial" w:hAnsi="Arial"/>
                <w:sz w:val="18"/>
                <w:szCs w:val="18"/>
                <w:color w:val="auto"/>
              </w:rPr>
              <w:t>Incorporation by Reference of Trust Indenture Act</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1.4</w:t>
            </w:r>
          </w:p>
        </w:tc>
        <w:tc>
          <w:tcPr>
            <w:tcW w:w="464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w:t>
            </w:r>
          </w:p>
        </w:tc>
        <w:tc>
          <w:tcPr>
            <w:tcW w:w="4640" w:type="dxa"/>
            <w:vAlign w:val="bottom"/>
          </w:tcPr>
          <w:p>
            <w:pPr>
              <w:ind w:left="100"/>
              <w:spacing w:after="0"/>
              <w:rPr>
                <w:sz w:val="20"/>
                <w:szCs w:val="20"/>
                <w:color w:val="auto"/>
              </w:rPr>
            </w:pPr>
            <w:r>
              <w:rPr>
                <w:rFonts w:ascii="Arial" w:cs="Arial" w:eastAsia="Arial" w:hAnsi="Arial"/>
                <w:sz w:val="18"/>
                <w:szCs w:val="18"/>
                <w:color w:val="auto"/>
              </w:rPr>
              <w:t>Issuable in Series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2.2</w:t>
            </w:r>
          </w:p>
        </w:tc>
        <w:tc>
          <w:tcPr>
            <w:tcW w:w="4640" w:type="dxa"/>
            <w:vAlign w:val="bottom"/>
          </w:tcPr>
          <w:p>
            <w:pPr>
              <w:ind w:left="100"/>
              <w:spacing w:after="0"/>
              <w:rPr>
                <w:sz w:val="20"/>
                <w:szCs w:val="20"/>
                <w:color w:val="auto"/>
              </w:rPr>
            </w:pPr>
            <w:r>
              <w:rPr>
                <w:rFonts w:ascii="Arial" w:cs="Arial" w:eastAsia="Arial" w:hAnsi="Arial"/>
                <w:sz w:val="18"/>
                <w:szCs w:val="18"/>
                <w:color w:val="auto"/>
              </w:rPr>
              <w:t>Establishment of Terms of Series of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2.3</w:t>
            </w:r>
          </w:p>
        </w:tc>
        <w:tc>
          <w:tcPr>
            <w:tcW w:w="464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2.4</w:t>
            </w:r>
          </w:p>
        </w:tc>
        <w:tc>
          <w:tcPr>
            <w:tcW w:w="4640" w:type="dxa"/>
            <w:vAlign w:val="bottom"/>
          </w:tcPr>
          <w:p>
            <w:pPr>
              <w:ind w:left="100"/>
              <w:spacing w:after="0"/>
              <w:rPr>
                <w:sz w:val="20"/>
                <w:szCs w:val="20"/>
                <w:color w:val="auto"/>
              </w:rPr>
            </w:pPr>
            <w:r>
              <w:rPr>
                <w:rFonts w:ascii="Arial" w:cs="Arial" w:eastAsia="Arial" w:hAnsi="Arial"/>
                <w:sz w:val="18"/>
                <w:szCs w:val="18"/>
                <w:color w:val="auto"/>
              </w:rPr>
              <w:t>Registrar and Paying Agent</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2.5</w:t>
            </w:r>
          </w:p>
        </w:tc>
        <w:tc>
          <w:tcPr>
            <w:tcW w:w="464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2.6</w:t>
            </w:r>
          </w:p>
        </w:tc>
        <w:tc>
          <w:tcPr>
            <w:tcW w:w="4640" w:type="dxa"/>
            <w:vAlign w:val="bottom"/>
          </w:tcPr>
          <w:p>
            <w:pPr>
              <w:ind w:left="100"/>
              <w:spacing w:after="0"/>
              <w:rPr>
                <w:sz w:val="20"/>
                <w:szCs w:val="20"/>
                <w:color w:val="auto"/>
              </w:rPr>
            </w:pPr>
            <w:r>
              <w:rPr>
                <w:rFonts w:ascii="Arial" w:cs="Arial" w:eastAsia="Arial" w:hAnsi="Arial"/>
                <w:sz w:val="18"/>
                <w:szCs w:val="18"/>
                <w:color w:val="auto"/>
              </w:rPr>
              <w:t>Securityholder Lists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2.7</w:t>
            </w:r>
          </w:p>
        </w:tc>
        <w:tc>
          <w:tcPr>
            <w:tcW w:w="4640" w:type="dxa"/>
            <w:vAlign w:val="bottom"/>
          </w:tcPr>
          <w:p>
            <w:pPr>
              <w:ind w:left="100"/>
              <w:spacing w:after="0"/>
              <w:rPr>
                <w:sz w:val="20"/>
                <w:szCs w:val="20"/>
                <w:color w:val="auto"/>
              </w:rPr>
            </w:pPr>
            <w:r>
              <w:rPr>
                <w:rFonts w:ascii="Arial" w:cs="Arial" w:eastAsia="Arial" w:hAnsi="Arial"/>
                <w:sz w:val="18"/>
                <w:szCs w:val="18"/>
                <w:color w:val="auto"/>
              </w:rPr>
              <w:t>Transfer and Exchange</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2.8</w:t>
            </w:r>
          </w:p>
        </w:tc>
        <w:tc>
          <w:tcPr>
            <w:tcW w:w="4640" w:type="dxa"/>
            <w:vAlign w:val="bottom"/>
          </w:tcPr>
          <w:p>
            <w:pPr>
              <w:ind w:left="100"/>
              <w:spacing w:after="0"/>
              <w:rPr>
                <w:sz w:val="20"/>
                <w:szCs w:val="20"/>
                <w:color w:val="auto"/>
              </w:rPr>
            </w:pPr>
            <w:r>
              <w:rPr>
                <w:rFonts w:ascii="Arial" w:cs="Arial" w:eastAsia="Arial" w:hAnsi="Arial"/>
                <w:sz w:val="18"/>
                <w:szCs w:val="18"/>
                <w:color w:val="auto"/>
              </w:rPr>
              <w:t>Mutilated, Destroyed, Lost and Stolen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2.9</w:t>
            </w:r>
          </w:p>
        </w:tc>
        <w:tc>
          <w:tcPr>
            <w:tcW w:w="4640" w:type="dxa"/>
            <w:vAlign w:val="bottom"/>
          </w:tcPr>
          <w:p>
            <w:pPr>
              <w:ind w:left="100"/>
              <w:spacing w:after="0"/>
              <w:rPr>
                <w:sz w:val="20"/>
                <w:szCs w:val="20"/>
                <w:color w:val="auto"/>
              </w:rPr>
            </w:pPr>
            <w:r>
              <w:rPr>
                <w:rFonts w:ascii="Arial" w:cs="Arial" w:eastAsia="Arial" w:hAnsi="Arial"/>
                <w:sz w:val="18"/>
                <w:szCs w:val="18"/>
                <w:color w:val="auto"/>
              </w:rPr>
              <w:t>Outstanding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2.10</w:t>
            </w:r>
          </w:p>
        </w:tc>
        <w:tc>
          <w:tcPr>
            <w:tcW w:w="4640" w:type="dxa"/>
            <w:vAlign w:val="bottom"/>
          </w:tcPr>
          <w:p>
            <w:pPr>
              <w:ind w:left="100"/>
              <w:spacing w:after="0"/>
              <w:rPr>
                <w:sz w:val="20"/>
                <w:szCs w:val="20"/>
                <w:color w:val="auto"/>
              </w:rPr>
            </w:pPr>
            <w:r>
              <w:rPr>
                <w:rFonts w:ascii="Arial" w:cs="Arial" w:eastAsia="Arial" w:hAnsi="Arial"/>
                <w:sz w:val="18"/>
                <w:szCs w:val="18"/>
                <w:color w:val="auto"/>
              </w:rPr>
              <w:t>Treasury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2.11</w:t>
            </w:r>
          </w:p>
        </w:tc>
        <w:tc>
          <w:tcPr>
            <w:tcW w:w="464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2.12</w:t>
            </w:r>
          </w:p>
        </w:tc>
        <w:tc>
          <w:tcPr>
            <w:tcW w:w="464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2.13</w:t>
            </w:r>
          </w:p>
        </w:tc>
        <w:tc>
          <w:tcPr>
            <w:tcW w:w="464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2.14</w:t>
            </w:r>
          </w:p>
        </w:tc>
        <w:tc>
          <w:tcPr>
            <w:tcW w:w="4640" w:type="dxa"/>
            <w:vAlign w:val="bottom"/>
          </w:tcPr>
          <w:p>
            <w:pPr>
              <w:ind w:left="100"/>
              <w:spacing w:after="0"/>
              <w:rPr>
                <w:sz w:val="20"/>
                <w:szCs w:val="20"/>
                <w:color w:val="auto"/>
              </w:rPr>
            </w:pPr>
            <w:r>
              <w:rPr>
                <w:rFonts w:ascii="Arial" w:cs="Arial" w:eastAsia="Arial" w:hAnsi="Arial"/>
                <w:sz w:val="18"/>
                <w:szCs w:val="18"/>
                <w:color w:val="auto"/>
              </w:rPr>
              <w:t>Global Securities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2.15</w:t>
            </w:r>
          </w:p>
        </w:tc>
        <w:tc>
          <w:tcPr>
            <w:tcW w:w="464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3.1</w:t>
            </w:r>
          </w:p>
        </w:tc>
        <w:tc>
          <w:tcPr>
            <w:tcW w:w="4640" w:type="dxa"/>
            <w:vAlign w:val="bottom"/>
          </w:tcPr>
          <w:p>
            <w:pPr>
              <w:ind w:left="100"/>
              <w:spacing w:after="0"/>
              <w:rPr>
                <w:sz w:val="20"/>
                <w:szCs w:val="20"/>
                <w:color w:val="auto"/>
              </w:rPr>
            </w:pPr>
            <w:r>
              <w:rPr>
                <w:rFonts w:ascii="Arial" w:cs="Arial" w:eastAsia="Arial" w:hAnsi="Arial"/>
                <w:sz w:val="18"/>
                <w:szCs w:val="18"/>
                <w:color w:val="auto"/>
              </w:rPr>
              <w:t>Notice to Trustee</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3.2</w:t>
            </w:r>
          </w:p>
        </w:tc>
        <w:tc>
          <w:tcPr>
            <w:tcW w:w="4640" w:type="dxa"/>
            <w:vAlign w:val="bottom"/>
          </w:tcPr>
          <w:p>
            <w:pPr>
              <w:ind w:left="100"/>
              <w:spacing w:after="0"/>
              <w:rPr>
                <w:sz w:val="20"/>
                <w:szCs w:val="20"/>
                <w:color w:val="auto"/>
              </w:rPr>
            </w:pPr>
            <w:r>
              <w:rPr>
                <w:rFonts w:ascii="Arial" w:cs="Arial" w:eastAsia="Arial" w:hAnsi="Arial"/>
                <w:sz w:val="18"/>
                <w:szCs w:val="18"/>
                <w:color w:val="auto"/>
              </w:rPr>
              <w:t>Selection of Securities to be Redeemed</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3.3</w:t>
            </w:r>
          </w:p>
        </w:tc>
        <w:tc>
          <w:tcPr>
            <w:tcW w:w="4640" w:type="dxa"/>
            <w:vAlign w:val="bottom"/>
          </w:tcPr>
          <w:p>
            <w:pPr>
              <w:ind w:left="100"/>
              <w:spacing w:after="0"/>
              <w:rPr>
                <w:sz w:val="20"/>
                <w:szCs w:val="20"/>
                <w:color w:val="auto"/>
              </w:rPr>
            </w:pPr>
            <w:r>
              <w:rPr>
                <w:rFonts w:ascii="Arial" w:cs="Arial" w:eastAsia="Arial" w:hAnsi="Arial"/>
                <w:sz w:val="18"/>
                <w:szCs w:val="18"/>
                <w:color w:val="auto"/>
              </w:rPr>
              <w:t>Notice of Redemption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3.4</w:t>
            </w:r>
          </w:p>
        </w:tc>
        <w:tc>
          <w:tcPr>
            <w:tcW w:w="4640" w:type="dxa"/>
            <w:vAlign w:val="bottom"/>
          </w:tcPr>
          <w:p>
            <w:pPr>
              <w:ind w:left="100"/>
              <w:spacing w:after="0"/>
              <w:rPr>
                <w:sz w:val="20"/>
                <w:szCs w:val="20"/>
                <w:color w:val="auto"/>
              </w:rPr>
            </w:pPr>
            <w:r>
              <w:rPr>
                <w:rFonts w:ascii="Arial" w:cs="Arial" w:eastAsia="Arial" w:hAnsi="Arial"/>
                <w:sz w:val="18"/>
                <w:szCs w:val="18"/>
                <w:color w:val="auto"/>
              </w:rPr>
              <w:t>Effect of Notice of Redemption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3.5</w:t>
            </w:r>
          </w:p>
        </w:tc>
        <w:tc>
          <w:tcPr>
            <w:tcW w:w="4640" w:type="dxa"/>
            <w:vAlign w:val="bottom"/>
          </w:tcPr>
          <w:p>
            <w:pPr>
              <w:ind w:left="100"/>
              <w:spacing w:after="0"/>
              <w:rPr>
                <w:sz w:val="20"/>
                <w:szCs w:val="20"/>
                <w:color w:val="auto"/>
              </w:rPr>
            </w:pPr>
            <w:r>
              <w:rPr>
                <w:rFonts w:ascii="Arial" w:cs="Arial" w:eastAsia="Arial" w:hAnsi="Arial"/>
                <w:sz w:val="18"/>
                <w:szCs w:val="18"/>
                <w:color w:val="auto"/>
              </w:rPr>
              <w:t>Deposit of Redemption Price</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3.6</w:t>
            </w:r>
          </w:p>
        </w:tc>
        <w:tc>
          <w:tcPr>
            <w:tcW w:w="4640" w:type="dxa"/>
            <w:vAlign w:val="bottom"/>
          </w:tcPr>
          <w:p>
            <w:pPr>
              <w:ind w:left="100"/>
              <w:spacing w:after="0"/>
              <w:rPr>
                <w:sz w:val="20"/>
                <w:szCs w:val="20"/>
                <w:color w:val="auto"/>
              </w:rPr>
            </w:pPr>
            <w:r>
              <w:rPr>
                <w:rFonts w:ascii="Arial" w:cs="Arial" w:eastAsia="Arial" w:hAnsi="Arial"/>
                <w:sz w:val="18"/>
                <w:szCs w:val="18"/>
                <w:color w:val="auto"/>
              </w:rPr>
              <w:t>Securities Redeemed in Part</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4.1</w:t>
            </w:r>
          </w:p>
        </w:tc>
        <w:tc>
          <w:tcPr>
            <w:tcW w:w="4640" w:type="dxa"/>
            <w:vAlign w:val="bottom"/>
          </w:tcPr>
          <w:p>
            <w:pPr>
              <w:ind w:left="100"/>
              <w:spacing w:after="0"/>
              <w:rPr>
                <w:sz w:val="20"/>
                <w:szCs w:val="20"/>
                <w:color w:val="auto"/>
              </w:rPr>
            </w:pPr>
            <w:r>
              <w:rPr>
                <w:rFonts w:ascii="Arial" w:cs="Arial" w:eastAsia="Arial" w:hAnsi="Arial"/>
                <w:sz w:val="18"/>
                <w:szCs w:val="18"/>
                <w:color w:val="auto"/>
              </w:rPr>
              <w:t>Payment of Principal and Interest</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4.2</w:t>
            </w:r>
          </w:p>
        </w:tc>
        <w:tc>
          <w:tcPr>
            <w:tcW w:w="4640" w:type="dxa"/>
            <w:vAlign w:val="bottom"/>
          </w:tcPr>
          <w:p>
            <w:pPr>
              <w:ind w:left="100"/>
              <w:spacing w:after="0"/>
              <w:rPr>
                <w:sz w:val="20"/>
                <w:szCs w:val="20"/>
                <w:color w:val="auto"/>
              </w:rPr>
            </w:pPr>
            <w:r>
              <w:rPr>
                <w:rFonts w:ascii="Arial" w:cs="Arial" w:eastAsia="Arial" w:hAnsi="Arial"/>
                <w:sz w:val="18"/>
                <w:szCs w:val="18"/>
                <w:color w:val="auto"/>
              </w:rPr>
              <w:t>SEC Reports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4.3</w:t>
            </w:r>
          </w:p>
        </w:tc>
        <w:tc>
          <w:tcPr>
            <w:tcW w:w="464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4.4</w:t>
            </w:r>
          </w:p>
        </w:tc>
        <w:tc>
          <w:tcPr>
            <w:tcW w:w="4640" w:type="dxa"/>
            <w:vAlign w:val="bottom"/>
          </w:tcPr>
          <w:p>
            <w:pPr>
              <w:ind w:left="100"/>
              <w:spacing w:after="0"/>
              <w:rPr>
                <w:sz w:val="20"/>
                <w:szCs w:val="20"/>
                <w:color w:val="auto"/>
              </w:rPr>
            </w:pPr>
            <w:r>
              <w:rPr>
                <w:rFonts w:ascii="Arial" w:cs="Arial" w:eastAsia="Arial" w:hAnsi="Arial"/>
                <w:sz w:val="18"/>
                <w:szCs w:val="18"/>
                <w:color w:val="auto"/>
              </w:rPr>
              <w:t>Stay, Extension and Usury Laws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64"/>
        </w:trPr>
        <w:tc>
          <w:tcPr>
            <w:tcW w:w="7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560" w:type="dxa"/>
            <w:vAlign w:val="bottom"/>
            <w:gridSpan w:val="2"/>
          </w:tcPr>
          <w:p>
            <w:pPr>
              <w:jc w:val="right"/>
              <w:ind w:right="5368"/>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960"/>
          </w:cols>
          <w:pgMar w:left="440" w:top="270" w:right="49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5.1</w:t>
            </w:r>
          </w:p>
        </w:tc>
        <w:tc>
          <w:tcPr>
            <w:tcW w:w="7400" w:type="dxa"/>
            <w:vAlign w:val="bottom"/>
          </w:tcPr>
          <w:p>
            <w:pPr>
              <w:ind w:left="100"/>
              <w:spacing w:after="0"/>
              <w:rPr>
                <w:sz w:val="20"/>
                <w:szCs w:val="20"/>
                <w:color w:val="auto"/>
              </w:rPr>
            </w:pPr>
            <w:r>
              <w:rPr>
                <w:rFonts w:ascii="Arial" w:cs="Arial" w:eastAsia="Arial" w:hAnsi="Arial"/>
                <w:sz w:val="18"/>
                <w:szCs w:val="18"/>
                <w:color w:val="auto"/>
              </w:rPr>
              <w:t>When Company May Merge, Etc.</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5.2</w:t>
            </w:r>
          </w:p>
        </w:tc>
        <w:tc>
          <w:tcPr>
            <w:tcW w:w="7400" w:type="dxa"/>
            <w:vAlign w:val="bottom"/>
          </w:tcPr>
          <w:p>
            <w:pPr>
              <w:ind w:left="100"/>
              <w:spacing w:after="0"/>
              <w:rPr>
                <w:sz w:val="20"/>
                <w:szCs w:val="20"/>
                <w:color w:val="auto"/>
              </w:rPr>
            </w:pPr>
            <w:r>
              <w:rPr>
                <w:rFonts w:ascii="Arial" w:cs="Arial" w:eastAsia="Arial" w:hAnsi="Arial"/>
                <w:sz w:val="18"/>
                <w:szCs w:val="18"/>
                <w:color w:val="auto"/>
              </w:rPr>
              <w:t>Successor Corporation Substituted</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6.1</w:t>
            </w:r>
          </w:p>
        </w:tc>
        <w:tc>
          <w:tcPr>
            <w:tcW w:w="740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6.2</w:t>
            </w:r>
          </w:p>
        </w:tc>
        <w:tc>
          <w:tcPr>
            <w:tcW w:w="7400" w:type="dxa"/>
            <w:vAlign w:val="bottom"/>
          </w:tcPr>
          <w:p>
            <w:pPr>
              <w:ind w:left="100"/>
              <w:spacing w:after="0"/>
              <w:rPr>
                <w:sz w:val="20"/>
                <w:szCs w:val="20"/>
                <w:color w:val="auto"/>
              </w:rPr>
            </w:pPr>
            <w:r>
              <w:rPr>
                <w:rFonts w:ascii="Arial" w:cs="Arial" w:eastAsia="Arial" w:hAnsi="Arial"/>
                <w:sz w:val="18"/>
                <w:szCs w:val="18"/>
                <w:color w:val="auto"/>
              </w:rPr>
              <w:t>Acceleration of Maturity; Rescission and Annulment</w:t>
            </w:r>
          </w:p>
        </w:tc>
        <w:tc>
          <w:tcPr>
            <w:tcW w:w="2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6.3</w:t>
            </w:r>
          </w:p>
        </w:tc>
        <w:tc>
          <w:tcPr>
            <w:tcW w:w="7400" w:type="dxa"/>
            <w:vAlign w:val="bottom"/>
          </w:tcPr>
          <w:p>
            <w:pPr>
              <w:ind w:left="100"/>
              <w:spacing w:after="0"/>
              <w:rPr>
                <w:sz w:val="20"/>
                <w:szCs w:val="20"/>
                <w:color w:val="auto"/>
              </w:rPr>
            </w:pPr>
            <w:r>
              <w:rPr>
                <w:rFonts w:ascii="Arial" w:cs="Arial" w:eastAsia="Arial" w:hAnsi="Arial"/>
                <w:sz w:val="18"/>
                <w:szCs w:val="18"/>
                <w:color w:val="auto"/>
              </w:rPr>
              <w:t>Collection of Indebtedness and Suits for Enforcement by Trustee</w:t>
            </w:r>
          </w:p>
        </w:tc>
        <w:tc>
          <w:tcPr>
            <w:tcW w:w="2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6.4</w:t>
            </w:r>
          </w:p>
        </w:tc>
        <w:tc>
          <w:tcPr>
            <w:tcW w:w="740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2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6.5</w:t>
            </w:r>
          </w:p>
        </w:tc>
        <w:tc>
          <w:tcPr>
            <w:tcW w:w="7400" w:type="dxa"/>
            <w:vAlign w:val="bottom"/>
          </w:tcPr>
          <w:p>
            <w:pPr>
              <w:ind w:left="100"/>
              <w:spacing w:after="0"/>
              <w:rPr>
                <w:sz w:val="20"/>
                <w:szCs w:val="20"/>
                <w:color w:val="auto"/>
              </w:rPr>
            </w:pPr>
            <w:r>
              <w:rPr>
                <w:rFonts w:ascii="Arial" w:cs="Arial" w:eastAsia="Arial" w:hAnsi="Arial"/>
                <w:sz w:val="18"/>
                <w:szCs w:val="18"/>
                <w:color w:val="auto"/>
              </w:rPr>
              <w:t>Trustee May Enforce Claims Without Possession of Securities</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6.6</w:t>
            </w:r>
          </w:p>
        </w:tc>
        <w:tc>
          <w:tcPr>
            <w:tcW w:w="7400" w:type="dxa"/>
            <w:vAlign w:val="bottom"/>
          </w:tcPr>
          <w:p>
            <w:pPr>
              <w:ind w:left="100"/>
              <w:spacing w:after="0"/>
              <w:rPr>
                <w:sz w:val="20"/>
                <w:szCs w:val="20"/>
                <w:color w:val="auto"/>
              </w:rPr>
            </w:pPr>
            <w:r>
              <w:rPr>
                <w:rFonts w:ascii="Arial" w:cs="Arial" w:eastAsia="Arial" w:hAnsi="Arial"/>
                <w:sz w:val="18"/>
                <w:szCs w:val="18"/>
                <w:color w:val="auto"/>
              </w:rPr>
              <w:t>Application of Money Collected</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6.7</w:t>
            </w:r>
          </w:p>
        </w:tc>
        <w:tc>
          <w:tcPr>
            <w:tcW w:w="740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6.8</w:t>
            </w:r>
          </w:p>
        </w:tc>
        <w:tc>
          <w:tcPr>
            <w:tcW w:w="7400" w:type="dxa"/>
            <w:vAlign w:val="bottom"/>
          </w:tcPr>
          <w:p>
            <w:pPr>
              <w:ind w:left="10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6.9</w:t>
            </w:r>
          </w:p>
        </w:tc>
        <w:tc>
          <w:tcPr>
            <w:tcW w:w="740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6.10</w:t>
            </w:r>
          </w:p>
        </w:tc>
        <w:tc>
          <w:tcPr>
            <w:tcW w:w="7400" w:type="dxa"/>
            <w:vAlign w:val="bottom"/>
          </w:tcPr>
          <w:p>
            <w:pPr>
              <w:ind w:left="100"/>
              <w:spacing w:after="0"/>
              <w:rPr>
                <w:sz w:val="20"/>
                <w:szCs w:val="20"/>
                <w:color w:val="auto"/>
              </w:rPr>
            </w:pPr>
            <w:r>
              <w:rPr>
                <w:rFonts w:ascii="Arial" w:cs="Arial" w:eastAsia="Arial" w:hAnsi="Arial"/>
                <w:sz w:val="18"/>
                <w:szCs w:val="18"/>
                <w:color w:val="auto"/>
              </w:rPr>
              <w:t>Rights and Remedies Cumulative</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6.11</w:t>
            </w:r>
          </w:p>
        </w:tc>
        <w:tc>
          <w:tcPr>
            <w:tcW w:w="740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6.12</w:t>
            </w:r>
          </w:p>
        </w:tc>
        <w:tc>
          <w:tcPr>
            <w:tcW w:w="7400" w:type="dxa"/>
            <w:vAlign w:val="bottom"/>
          </w:tcPr>
          <w:p>
            <w:pPr>
              <w:ind w:left="100"/>
              <w:spacing w:after="0"/>
              <w:rPr>
                <w:sz w:val="20"/>
                <w:szCs w:val="20"/>
                <w:color w:val="auto"/>
              </w:rPr>
            </w:pPr>
            <w:r>
              <w:rPr>
                <w:rFonts w:ascii="Arial" w:cs="Arial" w:eastAsia="Arial" w:hAnsi="Arial"/>
                <w:sz w:val="18"/>
                <w:szCs w:val="18"/>
                <w:color w:val="auto"/>
              </w:rPr>
              <w:t>Control by Holders</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6.13</w:t>
            </w:r>
          </w:p>
        </w:tc>
        <w:tc>
          <w:tcPr>
            <w:tcW w:w="740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6.14</w:t>
            </w:r>
          </w:p>
        </w:tc>
        <w:tc>
          <w:tcPr>
            <w:tcW w:w="740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7.1</w:t>
            </w:r>
          </w:p>
        </w:tc>
        <w:tc>
          <w:tcPr>
            <w:tcW w:w="7400" w:type="dxa"/>
            <w:vAlign w:val="bottom"/>
          </w:tcPr>
          <w:p>
            <w:pPr>
              <w:ind w:left="100"/>
              <w:spacing w:after="0"/>
              <w:rPr>
                <w:sz w:val="20"/>
                <w:szCs w:val="20"/>
                <w:color w:val="auto"/>
              </w:rPr>
            </w:pPr>
            <w:r>
              <w:rPr>
                <w:rFonts w:ascii="Arial" w:cs="Arial" w:eastAsia="Arial" w:hAnsi="Arial"/>
                <w:sz w:val="18"/>
                <w:szCs w:val="18"/>
                <w:color w:val="auto"/>
              </w:rPr>
              <w:t>Duties of Trustee</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7.2</w:t>
            </w:r>
          </w:p>
        </w:tc>
        <w:tc>
          <w:tcPr>
            <w:tcW w:w="740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2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7.3</w:t>
            </w:r>
          </w:p>
        </w:tc>
        <w:tc>
          <w:tcPr>
            <w:tcW w:w="7400" w:type="dxa"/>
            <w:vAlign w:val="bottom"/>
          </w:tcPr>
          <w:p>
            <w:pPr>
              <w:ind w:left="100"/>
              <w:spacing w:after="0"/>
              <w:rPr>
                <w:sz w:val="20"/>
                <w:szCs w:val="20"/>
                <w:color w:val="auto"/>
              </w:rPr>
            </w:pPr>
            <w:r>
              <w:rPr>
                <w:rFonts w:ascii="Arial" w:cs="Arial" w:eastAsia="Arial" w:hAnsi="Arial"/>
                <w:sz w:val="18"/>
                <w:szCs w:val="18"/>
                <w:color w:val="auto"/>
              </w:rPr>
              <w:t>Individual Rights of Trustee</w:t>
            </w: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7.4</w:t>
            </w:r>
          </w:p>
        </w:tc>
        <w:tc>
          <w:tcPr>
            <w:tcW w:w="740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7.5</w:t>
            </w:r>
          </w:p>
        </w:tc>
        <w:tc>
          <w:tcPr>
            <w:tcW w:w="7400" w:type="dxa"/>
            <w:vAlign w:val="bottom"/>
          </w:tcPr>
          <w:p>
            <w:pPr>
              <w:ind w:left="100"/>
              <w:spacing w:after="0"/>
              <w:rPr>
                <w:sz w:val="20"/>
                <w:szCs w:val="20"/>
                <w:color w:val="auto"/>
              </w:rPr>
            </w:pPr>
            <w:r>
              <w:rPr>
                <w:rFonts w:ascii="Arial" w:cs="Arial" w:eastAsia="Arial" w:hAnsi="Arial"/>
                <w:sz w:val="18"/>
                <w:szCs w:val="18"/>
                <w:color w:val="auto"/>
              </w:rPr>
              <w:t>Notice of Defaults</w:t>
            </w: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7.6</w:t>
            </w:r>
          </w:p>
        </w:tc>
        <w:tc>
          <w:tcPr>
            <w:tcW w:w="740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2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7.7</w:t>
            </w:r>
          </w:p>
        </w:tc>
        <w:tc>
          <w:tcPr>
            <w:tcW w:w="7400" w:type="dxa"/>
            <w:vAlign w:val="bottom"/>
          </w:tcPr>
          <w:p>
            <w:pPr>
              <w:ind w:left="100"/>
              <w:spacing w:after="0"/>
              <w:rPr>
                <w:sz w:val="20"/>
                <w:szCs w:val="20"/>
                <w:color w:val="auto"/>
              </w:rPr>
            </w:pPr>
            <w:r>
              <w:rPr>
                <w:rFonts w:ascii="Arial" w:cs="Arial" w:eastAsia="Arial" w:hAnsi="Arial"/>
                <w:sz w:val="18"/>
                <w:szCs w:val="18"/>
                <w:color w:val="auto"/>
              </w:rPr>
              <w:t>Compensation and Indemnity</w:t>
            </w:r>
          </w:p>
        </w:tc>
        <w:tc>
          <w:tcPr>
            <w:tcW w:w="2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7.8</w:t>
            </w:r>
          </w:p>
        </w:tc>
        <w:tc>
          <w:tcPr>
            <w:tcW w:w="7400" w:type="dxa"/>
            <w:vAlign w:val="bottom"/>
          </w:tcPr>
          <w:p>
            <w:pPr>
              <w:ind w:left="100"/>
              <w:spacing w:after="0"/>
              <w:rPr>
                <w:sz w:val="20"/>
                <w:szCs w:val="20"/>
                <w:color w:val="auto"/>
              </w:rPr>
            </w:pPr>
            <w:r>
              <w:rPr>
                <w:rFonts w:ascii="Arial" w:cs="Arial" w:eastAsia="Arial" w:hAnsi="Arial"/>
                <w:sz w:val="18"/>
                <w:szCs w:val="18"/>
                <w:color w:val="auto"/>
              </w:rPr>
              <w:t>Replacement of Trustee</w:t>
            </w:r>
          </w:p>
        </w:tc>
        <w:tc>
          <w:tcPr>
            <w:tcW w:w="2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7.9</w:t>
            </w:r>
          </w:p>
        </w:tc>
        <w:tc>
          <w:tcPr>
            <w:tcW w:w="7400" w:type="dxa"/>
            <w:vAlign w:val="bottom"/>
          </w:tcPr>
          <w:p>
            <w:pPr>
              <w:ind w:left="100"/>
              <w:spacing w:after="0"/>
              <w:rPr>
                <w:sz w:val="20"/>
                <w:szCs w:val="20"/>
                <w:color w:val="auto"/>
              </w:rPr>
            </w:pPr>
            <w:r>
              <w:rPr>
                <w:rFonts w:ascii="Arial" w:cs="Arial" w:eastAsia="Arial" w:hAnsi="Arial"/>
                <w:sz w:val="18"/>
                <w:szCs w:val="18"/>
                <w:color w:val="auto"/>
              </w:rPr>
              <w:t>Successor Trustee by Merger, Etc.</w:t>
            </w: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7.10</w:t>
            </w:r>
          </w:p>
        </w:tc>
        <w:tc>
          <w:tcPr>
            <w:tcW w:w="740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7.11</w:t>
            </w:r>
          </w:p>
        </w:tc>
        <w:tc>
          <w:tcPr>
            <w:tcW w:w="740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Company</w:t>
            </w: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8.1</w:t>
            </w:r>
          </w:p>
        </w:tc>
        <w:tc>
          <w:tcPr>
            <w:tcW w:w="740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w:t>
            </w: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8.2</w:t>
            </w:r>
          </w:p>
        </w:tc>
        <w:tc>
          <w:tcPr>
            <w:tcW w:w="7400" w:type="dxa"/>
            <w:vAlign w:val="bottom"/>
          </w:tcPr>
          <w:p>
            <w:pPr>
              <w:ind w:left="100"/>
              <w:spacing w:after="0"/>
              <w:rPr>
                <w:sz w:val="20"/>
                <w:szCs w:val="20"/>
                <w:color w:val="auto"/>
              </w:rPr>
            </w:pPr>
            <w:r>
              <w:rPr>
                <w:rFonts w:ascii="Arial" w:cs="Arial" w:eastAsia="Arial" w:hAnsi="Arial"/>
                <w:sz w:val="18"/>
                <w:szCs w:val="18"/>
                <w:color w:val="auto"/>
              </w:rPr>
              <w:t>Application of Trust Funds; Indemnification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8.3</w:t>
            </w:r>
          </w:p>
        </w:tc>
        <w:tc>
          <w:tcPr>
            <w:tcW w:w="7400" w:type="dxa"/>
            <w:vAlign w:val="bottom"/>
          </w:tcPr>
          <w:p>
            <w:pPr>
              <w:ind w:left="100"/>
              <w:spacing w:after="0"/>
              <w:rPr>
                <w:sz w:val="20"/>
                <w:szCs w:val="20"/>
                <w:color w:val="auto"/>
              </w:rPr>
            </w:pPr>
            <w:r>
              <w:rPr>
                <w:rFonts w:ascii="Arial" w:cs="Arial" w:eastAsia="Arial" w:hAnsi="Arial"/>
                <w:sz w:val="18"/>
                <w:szCs w:val="18"/>
                <w:color w:val="auto"/>
              </w:rPr>
              <w:t>Legal Defeasance of Securities of any Series</w:t>
            </w:r>
          </w:p>
        </w:tc>
        <w:tc>
          <w:tcPr>
            <w:tcW w:w="2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8.4</w:t>
            </w:r>
          </w:p>
        </w:tc>
        <w:tc>
          <w:tcPr>
            <w:tcW w:w="740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2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8.5</w:t>
            </w:r>
          </w:p>
        </w:tc>
        <w:tc>
          <w:tcPr>
            <w:tcW w:w="740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2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60" w:type="dxa"/>
            <w:vAlign w:val="bottom"/>
          </w:tcPr>
          <w:p>
            <w:pPr>
              <w:ind w:left="360"/>
              <w:spacing w:after="0"/>
              <w:rPr>
                <w:sz w:val="20"/>
                <w:szCs w:val="20"/>
                <w:color w:val="auto"/>
              </w:rPr>
            </w:pPr>
            <w:r>
              <w:rPr>
                <w:rFonts w:ascii="Arial" w:cs="Arial" w:eastAsia="Arial" w:hAnsi="Arial"/>
                <w:sz w:val="18"/>
                <w:szCs w:val="18"/>
                <w:color w:val="auto"/>
              </w:rPr>
              <w:t>8.6</w:t>
            </w:r>
          </w:p>
        </w:tc>
        <w:tc>
          <w:tcPr>
            <w:tcW w:w="740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2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4"/>
        </w:trPr>
        <w:tc>
          <w:tcPr>
            <w:tcW w:w="760" w:type="dxa"/>
            <w:vAlign w:val="bottom"/>
          </w:tcPr>
          <w:p>
            <w:pPr>
              <w:spacing w:after="0"/>
              <w:rPr>
                <w:sz w:val="24"/>
                <w:szCs w:val="24"/>
                <w:color w:val="auto"/>
              </w:rPr>
            </w:pPr>
          </w:p>
        </w:tc>
        <w:tc>
          <w:tcPr>
            <w:tcW w:w="7400" w:type="dxa"/>
            <w:vAlign w:val="bottom"/>
          </w:tcPr>
          <w:p>
            <w:pPr>
              <w:ind w:left="4700"/>
              <w:spacing w:after="0"/>
              <w:rPr>
                <w:sz w:val="20"/>
                <w:szCs w:val="20"/>
                <w:color w:val="auto"/>
              </w:rPr>
            </w:pPr>
            <w:r>
              <w:rPr>
                <w:rFonts w:ascii="Arial" w:cs="Arial" w:eastAsia="Arial" w:hAnsi="Arial"/>
                <w:sz w:val="18"/>
                <w:szCs w:val="18"/>
                <w:color w:val="auto"/>
              </w:rPr>
              <w:t>ii</w:t>
            </w:r>
          </w:p>
        </w:tc>
        <w:tc>
          <w:tcPr>
            <w:tcW w:w="280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5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4540" w:type="dxa"/>
            <w:vAlign w:val="bottom"/>
          </w:tcPr>
          <w:p>
            <w:pPr>
              <w:ind w:left="40"/>
              <w:spacing w:after="0"/>
              <w:rPr>
                <w:sz w:val="20"/>
                <w:szCs w:val="20"/>
                <w:color w:val="auto"/>
              </w:rPr>
            </w:pPr>
            <w:r>
              <w:rPr>
                <w:rFonts w:ascii="Arial" w:cs="Arial" w:eastAsia="Arial" w:hAnsi="Arial"/>
                <w:sz w:val="18"/>
                <w:szCs w:val="18"/>
                <w:color w:val="auto"/>
              </w:rPr>
              <w:t>Without Consent of Holders</w:t>
            </w:r>
          </w:p>
        </w:tc>
        <w:tc>
          <w:tcPr>
            <w:tcW w:w="5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4540" w:type="dxa"/>
            <w:vAlign w:val="bottom"/>
          </w:tcPr>
          <w:p>
            <w:pPr>
              <w:ind w:left="40"/>
              <w:spacing w:after="0"/>
              <w:rPr>
                <w:sz w:val="20"/>
                <w:szCs w:val="20"/>
                <w:color w:val="auto"/>
              </w:rPr>
            </w:pPr>
            <w:r>
              <w:rPr>
                <w:rFonts w:ascii="Arial" w:cs="Arial" w:eastAsia="Arial" w:hAnsi="Arial"/>
                <w:sz w:val="18"/>
                <w:szCs w:val="18"/>
                <w:color w:val="auto"/>
              </w:rPr>
              <w:t>With Consent of Holders</w:t>
            </w:r>
          </w:p>
        </w:tc>
        <w:tc>
          <w:tcPr>
            <w:tcW w:w="5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4540" w:type="dxa"/>
            <w:vAlign w:val="bottom"/>
          </w:tcPr>
          <w:p>
            <w:pPr>
              <w:ind w:left="40"/>
              <w:spacing w:after="0"/>
              <w:rPr>
                <w:sz w:val="20"/>
                <w:szCs w:val="20"/>
                <w:color w:val="auto"/>
              </w:rPr>
            </w:pPr>
            <w:r>
              <w:rPr>
                <w:rFonts w:ascii="Arial" w:cs="Arial" w:eastAsia="Arial" w:hAnsi="Arial"/>
                <w:sz w:val="18"/>
                <w:szCs w:val="18"/>
                <w:color w:val="auto"/>
              </w:rPr>
              <w:t>Limitations</w:t>
            </w:r>
          </w:p>
        </w:tc>
        <w:tc>
          <w:tcPr>
            <w:tcW w:w="5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4540" w:type="dxa"/>
            <w:vAlign w:val="bottom"/>
          </w:tcPr>
          <w:p>
            <w:pPr>
              <w:ind w:left="40"/>
              <w:spacing w:after="0"/>
              <w:rPr>
                <w:sz w:val="20"/>
                <w:szCs w:val="20"/>
                <w:color w:val="auto"/>
              </w:rPr>
            </w:pPr>
            <w:r>
              <w:rPr>
                <w:rFonts w:ascii="Arial" w:cs="Arial" w:eastAsia="Arial" w:hAnsi="Arial"/>
                <w:sz w:val="18"/>
                <w:szCs w:val="18"/>
                <w:color w:val="auto"/>
              </w:rPr>
              <w:t>Compliance with Trust Indenture Act</w:t>
            </w:r>
          </w:p>
        </w:tc>
        <w:tc>
          <w:tcPr>
            <w:tcW w:w="5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9.5</w:t>
            </w:r>
          </w:p>
        </w:tc>
        <w:tc>
          <w:tcPr>
            <w:tcW w:w="4540" w:type="dxa"/>
            <w:vAlign w:val="bottom"/>
          </w:tcPr>
          <w:p>
            <w:pPr>
              <w:ind w:left="40"/>
              <w:spacing w:after="0"/>
              <w:rPr>
                <w:sz w:val="20"/>
                <w:szCs w:val="20"/>
                <w:color w:val="auto"/>
              </w:rPr>
            </w:pPr>
            <w:r>
              <w:rPr>
                <w:rFonts w:ascii="Arial" w:cs="Arial" w:eastAsia="Arial" w:hAnsi="Arial"/>
                <w:sz w:val="18"/>
                <w:szCs w:val="18"/>
                <w:color w:val="auto"/>
              </w:rPr>
              <w:t>Revocation and Effect of Consents</w:t>
            </w:r>
          </w:p>
        </w:tc>
        <w:tc>
          <w:tcPr>
            <w:tcW w:w="5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9.6</w:t>
            </w:r>
          </w:p>
        </w:tc>
        <w:tc>
          <w:tcPr>
            <w:tcW w:w="4540" w:type="dxa"/>
            <w:vAlign w:val="bottom"/>
          </w:tcPr>
          <w:p>
            <w:pPr>
              <w:ind w:left="40"/>
              <w:spacing w:after="0"/>
              <w:rPr>
                <w:sz w:val="20"/>
                <w:szCs w:val="20"/>
                <w:color w:val="auto"/>
              </w:rPr>
            </w:pPr>
            <w:r>
              <w:rPr>
                <w:rFonts w:ascii="Arial" w:cs="Arial" w:eastAsia="Arial" w:hAnsi="Arial"/>
                <w:sz w:val="18"/>
                <w:szCs w:val="18"/>
                <w:color w:val="auto"/>
              </w:rPr>
              <w:t>Notation on or Exchange of Securities</w:t>
            </w:r>
          </w:p>
        </w:tc>
        <w:tc>
          <w:tcPr>
            <w:tcW w:w="5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9.7</w:t>
            </w:r>
          </w:p>
        </w:tc>
        <w:tc>
          <w:tcPr>
            <w:tcW w:w="4540" w:type="dxa"/>
            <w:vAlign w:val="bottom"/>
          </w:tcPr>
          <w:p>
            <w:pPr>
              <w:ind w:left="40"/>
              <w:spacing w:after="0"/>
              <w:rPr>
                <w:sz w:val="20"/>
                <w:szCs w:val="20"/>
                <w:color w:val="auto"/>
              </w:rPr>
            </w:pPr>
            <w:r>
              <w:rPr>
                <w:rFonts w:ascii="Arial" w:cs="Arial" w:eastAsia="Arial" w:hAnsi="Arial"/>
                <w:sz w:val="18"/>
                <w:szCs w:val="18"/>
                <w:color w:val="auto"/>
              </w:rPr>
              <w:t>Trustee Protected</w:t>
            </w:r>
          </w:p>
        </w:tc>
        <w:tc>
          <w:tcPr>
            <w:tcW w:w="5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5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10.1</w:t>
            </w:r>
          </w:p>
        </w:tc>
        <w:tc>
          <w:tcPr>
            <w:tcW w:w="4540" w:type="dxa"/>
            <w:vAlign w:val="bottom"/>
          </w:tcPr>
          <w:p>
            <w:pPr>
              <w:ind w:left="40"/>
              <w:spacing w:after="0"/>
              <w:rPr>
                <w:sz w:val="20"/>
                <w:szCs w:val="20"/>
                <w:color w:val="auto"/>
              </w:rPr>
            </w:pPr>
            <w:r>
              <w:rPr>
                <w:rFonts w:ascii="Arial" w:cs="Arial" w:eastAsia="Arial" w:hAnsi="Arial"/>
                <w:sz w:val="18"/>
                <w:szCs w:val="18"/>
                <w:color w:val="auto"/>
              </w:rPr>
              <w:t>Trust Indenture Act Controls</w:t>
            </w:r>
          </w:p>
        </w:tc>
        <w:tc>
          <w:tcPr>
            <w:tcW w:w="5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10.2</w:t>
            </w:r>
          </w:p>
        </w:tc>
        <w:tc>
          <w:tcPr>
            <w:tcW w:w="4540" w:type="dxa"/>
            <w:vAlign w:val="bottom"/>
          </w:tcPr>
          <w:p>
            <w:pPr>
              <w:ind w:left="40"/>
              <w:spacing w:after="0"/>
              <w:rPr>
                <w:sz w:val="20"/>
                <w:szCs w:val="20"/>
                <w:color w:val="auto"/>
              </w:rPr>
            </w:pPr>
            <w:r>
              <w:rPr>
                <w:rFonts w:ascii="Arial" w:cs="Arial" w:eastAsia="Arial" w:hAnsi="Arial"/>
                <w:sz w:val="18"/>
                <w:szCs w:val="18"/>
                <w:color w:val="auto"/>
              </w:rPr>
              <w:t>Notices</w:t>
            </w:r>
          </w:p>
        </w:tc>
        <w:tc>
          <w:tcPr>
            <w:tcW w:w="5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10.3</w:t>
            </w:r>
          </w:p>
        </w:tc>
        <w:tc>
          <w:tcPr>
            <w:tcW w:w="4540" w:type="dxa"/>
            <w:vAlign w:val="bottom"/>
          </w:tcPr>
          <w:p>
            <w:pPr>
              <w:ind w:left="40"/>
              <w:spacing w:after="0"/>
              <w:rPr>
                <w:sz w:val="20"/>
                <w:szCs w:val="20"/>
                <w:color w:val="auto"/>
              </w:rPr>
            </w:pPr>
            <w:r>
              <w:rPr>
                <w:rFonts w:ascii="Arial" w:cs="Arial" w:eastAsia="Arial" w:hAnsi="Arial"/>
                <w:sz w:val="18"/>
                <w:szCs w:val="18"/>
                <w:color w:val="auto"/>
              </w:rPr>
              <w:t>Communication by Holders with Other Holders</w:t>
            </w:r>
          </w:p>
        </w:tc>
        <w:tc>
          <w:tcPr>
            <w:tcW w:w="5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10.4</w:t>
            </w:r>
          </w:p>
        </w:tc>
        <w:tc>
          <w:tcPr>
            <w:tcW w:w="4540" w:type="dxa"/>
            <w:vAlign w:val="bottom"/>
          </w:tcPr>
          <w:p>
            <w:pPr>
              <w:ind w:left="40"/>
              <w:spacing w:after="0"/>
              <w:rPr>
                <w:sz w:val="20"/>
                <w:szCs w:val="20"/>
                <w:color w:val="auto"/>
              </w:rPr>
            </w:pPr>
            <w:r>
              <w:rPr>
                <w:rFonts w:ascii="Arial" w:cs="Arial" w:eastAsia="Arial" w:hAnsi="Arial"/>
                <w:sz w:val="18"/>
                <w:szCs w:val="18"/>
                <w:color w:val="auto"/>
              </w:rPr>
              <w:t>Certificate and Opinion as to Conditions Precedent</w:t>
            </w:r>
          </w:p>
        </w:tc>
        <w:tc>
          <w:tcPr>
            <w:tcW w:w="5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10.5</w:t>
            </w:r>
          </w:p>
        </w:tc>
        <w:tc>
          <w:tcPr>
            <w:tcW w:w="4540" w:type="dxa"/>
            <w:vAlign w:val="bottom"/>
          </w:tcPr>
          <w:p>
            <w:pPr>
              <w:ind w:left="40"/>
              <w:spacing w:after="0"/>
              <w:rPr>
                <w:sz w:val="20"/>
                <w:szCs w:val="20"/>
                <w:color w:val="auto"/>
              </w:rPr>
            </w:pPr>
            <w:r>
              <w:rPr>
                <w:rFonts w:ascii="Arial" w:cs="Arial" w:eastAsia="Arial" w:hAnsi="Arial"/>
                <w:sz w:val="18"/>
                <w:szCs w:val="18"/>
                <w:color w:val="auto"/>
              </w:rPr>
              <w:t>Statements Required in Certificate or Opinion</w:t>
            </w:r>
          </w:p>
        </w:tc>
        <w:tc>
          <w:tcPr>
            <w:tcW w:w="5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10.6</w:t>
            </w:r>
          </w:p>
        </w:tc>
        <w:tc>
          <w:tcPr>
            <w:tcW w:w="4540" w:type="dxa"/>
            <w:vAlign w:val="bottom"/>
          </w:tcPr>
          <w:p>
            <w:pPr>
              <w:ind w:left="40"/>
              <w:spacing w:after="0"/>
              <w:rPr>
                <w:sz w:val="20"/>
                <w:szCs w:val="20"/>
                <w:color w:val="auto"/>
              </w:rPr>
            </w:pPr>
            <w:r>
              <w:rPr>
                <w:rFonts w:ascii="Arial" w:cs="Arial" w:eastAsia="Arial" w:hAnsi="Arial"/>
                <w:sz w:val="18"/>
                <w:szCs w:val="18"/>
                <w:color w:val="auto"/>
              </w:rPr>
              <w:t>Rules by Trustee and Agents</w:t>
            </w:r>
          </w:p>
        </w:tc>
        <w:tc>
          <w:tcPr>
            <w:tcW w:w="5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10.7</w:t>
            </w:r>
          </w:p>
        </w:tc>
        <w:tc>
          <w:tcPr>
            <w:tcW w:w="4540" w:type="dxa"/>
            <w:vAlign w:val="bottom"/>
          </w:tcPr>
          <w:p>
            <w:pPr>
              <w:ind w:left="40"/>
              <w:spacing w:after="0"/>
              <w:rPr>
                <w:sz w:val="20"/>
                <w:szCs w:val="20"/>
                <w:color w:val="auto"/>
              </w:rPr>
            </w:pPr>
            <w:r>
              <w:rPr>
                <w:rFonts w:ascii="Arial" w:cs="Arial" w:eastAsia="Arial" w:hAnsi="Arial"/>
                <w:sz w:val="18"/>
                <w:szCs w:val="18"/>
                <w:color w:val="auto"/>
              </w:rPr>
              <w:t>Legal Holidays</w:t>
            </w:r>
          </w:p>
        </w:tc>
        <w:tc>
          <w:tcPr>
            <w:tcW w:w="5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10.8</w:t>
            </w:r>
          </w:p>
        </w:tc>
        <w:tc>
          <w:tcPr>
            <w:tcW w:w="4540" w:type="dxa"/>
            <w:vAlign w:val="bottom"/>
          </w:tcPr>
          <w:p>
            <w:pPr>
              <w:ind w:left="40"/>
              <w:spacing w:after="0"/>
              <w:rPr>
                <w:sz w:val="20"/>
                <w:szCs w:val="20"/>
                <w:color w:val="auto"/>
              </w:rPr>
            </w:pPr>
            <w:r>
              <w:rPr>
                <w:rFonts w:ascii="Arial" w:cs="Arial" w:eastAsia="Arial" w:hAnsi="Arial"/>
                <w:sz w:val="18"/>
                <w:szCs w:val="18"/>
                <w:color w:val="auto"/>
              </w:rPr>
              <w:t>No Recourse Against Others</w:t>
            </w:r>
          </w:p>
        </w:tc>
        <w:tc>
          <w:tcPr>
            <w:tcW w:w="5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10.9</w:t>
            </w:r>
          </w:p>
        </w:tc>
        <w:tc>
          <w:tcPr>
            <w:tcW w:w="45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5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10.10</w:t>
            </w:r>
          </w:p>
        </w:tc>
        <w:tc>
          <w:tcPr>
            <w:tcW w:w="4540" w:type="dxa"/>
            <w:vAlign w:val="bottom"/>
          </w:tcPr>
          <w:p>
            <w:pPr>
              <w:ind w:left="40"/>
              <w:spacing w:after="0"/>
              <w:rPr>
                <w:sz w:val="20"/>
                <w:szCs w:val="20"/>
                <w:color w:val="auto"/>
              </w:rPr>
            </w:pPr>
            <w:r>
              <w:rPr>
                <w:rFonts w:ascii="Arial" w:cs="Arial" w:eastAsia="Arial" w:hAnsi="Arial"/>
                <w:sz w:val="18"/>
                <w:szCs w:val="18"/>
                <w:color w:val="auto"/>
                <w:w w:val="93"/>
              </w:rPr>
              <w:t>Governing Law; Waiver of Jury Trial; Consent to Jurisdiction</w:t>
            </w:r>
          </w:p>
        </w:tc>
        <w:tc>
          <w:tcPr>
            <w:tcW w:w="5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10.11</w:t>
            </w:r>
          </w:p>
        </w:tc>
        <w:tc>
          <w:tcPr>
            <w:tcW w:w="4540" w:type="dxa"/>
            <w:vAlign w:val="bottom"/>
          </w:tcPr>
          <w:p>
            <w:pPr>
              <w:ind w:left="40"/>
              <w:spacing w:after="0"/>
              <w:rPr>
                <w:sz w:val="20"/>
                <w:szCs w:val="20"/>
                <w:color w:val="auto"/>
              </w:rPr>
            </w:pPr>
            <w:r>
              <w:rPr>
                <w:rFonts w:ascii="Arial" w:cs="Arial" w:eastAsia="Arial" w:hAnsi="Arial"/>
                <w:sz w:val="18"/>
                <w:szCs w:val="18"/>
                <w:color w:val="auto"/>
              </w:rPr>
              <w:t>No Adverse Interpretation of Other Agreements</w:t>
            </w:r>
          </w:p>
        </w:tc>
        <w:tc>
          <w:tcPr>
            <w:tcW w:w="5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10.12</w:t>
            </w:r>
          </w:p>
        </w:tc>
        <w:tc>
          <w:tcPr>
            <w:tcW w:w="4540" w:type="dxa"/>
            <w:vAlign w:val="bottom"/>
          </w:tcPr>
          <w:p>
            <w:pPr>
              <w:ind w:left="40"/>
              <w:spacing w:after="0"/>
              <w:rPr>
                <w:sz w:val="20"/>
                <w:szCs w:val="20"/>
                <w:color w:val="auto"/>
              </w:rPr>
            </w:pPr>
            <w:r>
              <w:rPr>
                <w:rFonts w:ascii="Arial" w:cs="Arial" w:eastAsia="Arial" w:hAnsi="Arial"/>
                <w:sz w:val="18"/>
                <w:szCs w:val="18"/>
                <w:color w:val="auto"/>
              </w:rPr>
              <w:t>Successors</w:t>
            </w:r>
          </w:p>
        </w:tc>
        <w:tc>
          <w:tcPr>
            <w:tcW w:w="5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10.13</w:t>
            </w:r>
          </w:p>
        </w:tc>
        <w:tc>
          <w:tcPr>
            <w:tcW w:w="45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5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10.14</w:t>
            </w:r>
          </w:p>
        </w:tc>
        <w:tc>
          <w:tcPr>
            <w:tcW w:w="4540" w:type="dxa"/>
            <w:vAlign w:val="bottom"/>
          </w:tcPr>
          <w:p>
            <w:pPr>
              <w:ind w:left="40"/>
              <w:spacing w:after="0"/>
              <w:rPr>
                <w:sz w:val="20"/>
                <w:szCs w:val="20"/>
                <w:color w:val="auto"/>
              </w:rPr>
            </w:pPr>
            <w:r>
              <w:rPr>
                <w:rFonts w:ascii="Arial" w:cs="Arial" w:eastAsia="Arial" w:hAnsi="Arial"/>
                <w:sz w:val="18"/>
                <w:szCs w:val="18"/>
                <w:color w:val="auto"/>
              </w:rPr>
              <w:t>Table of Contents, Headings, Etc.</w:t>
            </w:r>
          </w:p>
        </w:tc>
        <w:tc>
          <w:tcPr>
            <w:tcW w:w="5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10.15</w:t>
            </w:r>
          </w:p>
        </w:tc>
        <w:tc>
          <w:tcPr>
            <w:tcW w:w="4540" w:type="dxa"/>
            <w:vAlign w:val="bottom"/>
          </w:tcPr>
          <w:p>
            <w:pPr>
              <w:ind w:left="40"/>
              <w:spacing w:after="0"/>
              <w:rPr>
                <w:sz w:val="20"/>
                <w:szCs w:val="20"/>
                <w:color w:val="auto"/>
              </w:rPr>
            </w:pPr>
            <w:r>
              <w:rPr>
                <w:rFonts w:ascii="Arial" w:cs="Arial" w:eastAsia="Arial" w:hAnsi="Arial"/>
                <w:sz w:val="18"/>
                <w:szCs w:val="18"/>
                <w:color w:val="auto"/>
              </w:rPr>
              <w:t>Securities in a Foreign Currency</w:t>
            </w:r>
          </w:p>
        </w:tc>
        <w:tc>
          <w:tcPr>
            <w:tcW w:w="5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10.16</w:t>
            </w:r>
          </w:p>
        </w:tc>
        <w:tc>
          <w:tcPr>
            <w:tcW w:w="4540" w:type="dxa"/>
            <w:vAlign w:val="bottom"/>
          </w:tcPr>
          <w:p>
            <w:pPr>
              <w:ind w:left="40"/>
              <w:spacing w:after="0"/>
              <w:rPr>
                <w:sz w:val="20"/>
                <w:szCs w:val="20"/>
                <w:color w:val="auto"/>
              </w:rPr>
            </w:pPr>
            <w:r>
              <w:rPr>
                <w:rFonts w:ascii="Arial" w:cs="Arial" w:eastAsia="Arial" w:hAnsi="Arial"/>
                <w:sz w:val="18"/>
                <w:szCs w:val="18"/>
                <w:color w:val="auto"/>
              </w:rPr>
              <w:t>Judgment Currency</w:t>
            </w:r>
          </w:p>
        </w:tc>
        <w:tc>
          <w:tcPr>
            <w:tcW w:w="5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10.17</w:t>
            </w:r>
          </w:p>
        </w:tc>
        <w:tc>
          <w:tcPr>
            <w:tcW w:w="4540" w:type="dxa"/>
            <w:vAlign w:val="bottom"/>
          </w:tcPr>
          <w:p>
            <w:pPr>
              <w:ind w:left="40"/>
              <w:spacing w:after="0"/>
              <w:rPr>
                <w:sz w:val="20"/>
                <w:szCs w:val="20"/>
                <w:color w:val="auto"/>
              </w:rPr>
            </w:pPr>
            <w:r>
              <w:rPr>
                <w:rFonts w:ascii="Arial" w:cs="Arial" w:eastAsia="Arial" w:hAnsi="Arial"/>
                <w:sz w:val="18"/>
                <w:szCs w:val="18"/>
                <w:color w:val="auto"/>
              </w:rPr>
              <w:t>Force Majeure</w:t>
            </w:r>
          </w:p>
        </w:tc>
        <w:tc>
          <w:tcPr>
            <w:tcW w:w="5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10.18</w:t>
            </w:r>
          </w:p>
        </w:tc>
        <w:tc>
          <w:tcPr>
            <w:tcW w:w="4540" w:type="dxa"/>
            <w:vAlign w:val="bottom"/>
          </w:tcPr>
          <w:p>
            <w:pPr>
              <w:ind w:left="40"/>
              <w:spacing w:after="0"/>
              <w:rPr>
                <w:sz w:val="20"/>
                <w:szCs w:val="20"/>
                <w:color w:val="auto"/>
              </w:rPr>
            </w:pPr>
            <w:r>
              <w:rPr>
                <w:rFonts w:ascii="Arial" w:cs="Arial" w:eastAsia="Arial" w:hAnsi="Arial"/>
                <w:sz w:val="18"/>
                <w:szCs w:val="18"/>
                <w:color w:val="auto"/>
              </w:rPr>
              <w:t>U.S.A. Patriot Act</w:t>
            </w:r>
          </w:p>
        </w:tc>
        <w:tc>
          <w:tcPr>
            <w:tcW w:w="5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5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11.1</w:t>
            </w:r>
          </w:p>
        </w:tc>
        <w:tc>
          <w:tcPr>
            <w:tcW w:w="4540" w:type="dxa"/>
            <w:vAlign w:val="bottom"/>
          </w:tcPr>
          <w:p>
            <w:pPr>
              <w:ind w:left="40"/>
              <w:spacing w:after="0"/>
              <w:rPr>
                <w:sz w:val="20"/>
                <w:szCs w:val="20"/>
                <w:color w:val="auto"/>
              </w:rPr>
            </w:pPr>
            <w:r>
              <w:rPr>
                <w:rFonts w:ascii="Arial" w:cs="Arial" w:eastAsia="Arial" w:hAnsi="Arial"/>
                <w:sz w:val="18"/>
                <w:szCs w:val="18"/>
                <w:color w:val="auto"/>
              </w:rPr>
              <w:t>Applicability of Article</w:t>
            </w:r>
          </w:p>
        </w:tc>
        <w:tc>
          <w:tcPr>
            <w:tcW w:w="5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11.2</w:t>
            </w:r>
          </w:p>
        </w:tc>
        <w:tc>
          <w:tcPr>
            <w:tcW w:w="4540" w:type="dxa"/>
            <w:vAlign w:val="bottom"/>
          </w:tcPr>
          <w:p>
            <w:pPr>
              <w:ind w:left="40"/>
              <w:spacing w:after="0"/>
              <w:rPr>
                <w:sz w:val="20"/>
                <w:szCs w:val="20"/>
                <w:color w:val="auto"/>
              </w:rPr>
            </w:pPr>
            <w:r>
              <w:rPr>
                <w:rFonts w:ascii="Arial" w:cs="Arial" w:eastAsia="Arial" w:hAnsi="Arial"/>
                <w:sz w:val="18"/>
                <w:szCs w:val="18"/>
                <w:color w:val="auto"/>
              </w:rPr>
              <w:t>Satisfaction of Sinking Fund Payments with Securities</w:t>
            </w:r>
          </w:p>
        </w:tc>
        <w:tc>
          <w:tcPr>
            <w:tcW w:w="5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20" w:type="dxa"/>
            <w:vAlign w:val="bottom"/>
          </w:tcPr>
          <w:p>
            <w:pPr>
              <w:ind w:left="360"/>
              <w:spacing w:after="0"/>
              <w:rPr>
                <w:sz w:val="20"/>
                <w:szCs w:val="20"/>
                <w:color w:val="auto"/>
              </w:rPr>
            </w:pPr>
            <w:r>
              <w:rPr>
                <w:rFonts w:ascii="Arial" w:cs="Arial" w:eastAsia="Arial" w:hAnsi="Arial"/>
                <w:sz w:val="18"/>
                <w:szCs w:val="18"/>
                <w:color w:val="auto"/>
              </w:rPr>
              <w:t>11.3</w:t>
            </w:r>
          </w:p>
        </w:tc>
        <w:tc>
          <w:tcPr>
            <w:tcW w:w="4540" w:type="dxa"/>
            <w:vAlign w:val="bottom"/>
          </w:tcPr>
          <w:p>
            <w:pPr>
              <w:ind w:left="40"/>
              <w:spacing w:after="0"/>
              <w:rPr>
                <w:sz w:val="20"/>
                <w:szCs w:val="20"/>
                <w:color w:val="auto"/>
              </w:rPr>
            </w:pPr>
            <w:r>
              <w:rPr>
                <w:rFonts w:ascii="Arial" w:cs="Arial" w:eastAsia="Arial" w:hAnsi="Arial"/>
                <w:sz w:val="18"/>
                <w:szCs w:val="18"/>
                <w:color w:val="auto"/>
              </w:rPr>
              <w:t>Redemption of Securities for Sinking Fund</w:t>
            </w:r>
          </w:p>
        </w:tc>
        <w:tc>
          <w:tcPr>
            <w:tcW w:w="5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600" w:type="dxa"/>
            <w:vAlign w:val="bottom"/>
          </w:tcPr>
          <w:p>
            <w:pPr>
              <w:jc w:val="right"/>
              <w:ind w:right="529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0960"/>
          </w:cols>
          <w:pgMar w:left="440" w:top="274" w:right="49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10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4060" w:type="dxa"/>
            <w:vAlign w:val="bottom"/>
          </w:tcPr>
          <w:p>
            <w:pPr>
              <w:ind w:left="760"/>
              <w:spacing w:after="0"/>
              <w:rPr>
                <w:sz w:val="20"/>
                <w:szCs w:val="20"/>
                <w:color w:val="auto"/>
              </w:rPr>
            </w:pPr>
            <w:r>
              <w:rPr>
                <w:rFonts w:ascii="Arial" w:cs="Arial" w:eastAsia="Arial" w:hAnsi="Arial"/>
                <w:sz w:val="18"/>
                <w:szCs w:val="18"/>
                <w:b w:val="1"/>
                <w:bCs w:val="1"/>
                <w:color w:val="auto"/>
              </w:rPr>
              <w:t>P10, Inc.</w:t>
            </w:r>
          </w:p>
        </w:tc>
        <w:tc>
          <w:tcPr>
            <w:tcW w:w="460" w:type="dxa"/>
            <w:vAlign w:val="bottom"/>
          </w:tcPr>
          <w:p>
            <w:pPr>
              <w:spacing w:after="0"/>
              <w:rPr>
                <w:sz w:val="20"/>
                <w:szCs w:val="20"/>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color w:val="auto"/>
                <w:w w:val="92"/>
              </w:rPr>
              <w:t>Reconciliation and tie between Trust Indenture Act of 1939 and Indenture, dated as of</w:t>
            </w:r>
          </w:p>
        </w:tc>
        <w:tc>
          <w:tcPr>
            <w:tcW w:w="46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445"/>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310(a)(1)</w:t>
            </w:r>
          </w:p>
        </w:tc>
        <w:tc>
          <w:tcPr>
            <w:tcW w:w="4060" w:type="dxa"/>
            <w:vAlign w:val="bottom"/>
          </w:tcPr>
          <w:p>
            <w:pPr>
              <w:ind w:left="3220"/>
              <w:spacing w:after="0"/>
              <w:rPr>
                <w:sz w:val="20"/>
                <w:szCs w:val="20"/>
                <w:color w:val="auto"/>
              </w:rPr>
            </w:pPr>
            <w:r>
              <w:rPr>
                <w:rFonts w:ascii="Arial" w:cs="Arial" w:eastAsia="Arial" w:hAnsi="Arial"/>
                <w:sz w:val="18"/>
                <w:szCs w:val="18"/>
                <w:color w:val="auto"/>
              </w:rPr>
              <w:t>7.10</w:t>
            </w:r>
          </w:p>
        </w:tc>
        <w:tc>
          <w:tcPr>
            <w:tcW w:w="460" w:type="dxa"/>
            <w:vAlign w:val="bottom"/>
          </w:tcPr>
          <w:p>
            <w:pPr>
              <w:spacing w:after="0"/>
              <w:rPr>
                <w:sz w:val="24"/>
                <w:szCs w:val="24"/>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(a)(2)</w:t>
            </w:r>
          </w:p>
        </w:tc>
        <w:tc>
          <w:tcPr>
            <w:tcW w:w="4060" w:type="dxa"/>
            <w:vAlign w:val="bottom"/>
          </w:tcPr>
          <w:p>
            <w:pPr>
              <w:ind w:left="3220"/>
              <w:spacing w:after="0"/>
              <w:rPr>
                <w:sz w:val="20"/>
                <w:szCs w:val="20"/>
                <w:color w:val="auto"/>
              </w:rPr>
            </w:pPr>
            <w:r>
              <w:rPr>
                <w:rFonts w:ascii="Arial" w:cs="Arial" w:eastAsia="Arial" w:hAnsi="Arial"/>
                <w:sz w:val="18"/>
                <w:szCs w:val="18"/>
                <w:color w:val="auto"/>
              </w:rPr>
              <w:t>7.10</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(a)(3)</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(a)(4)</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(a)(5)</w:t>
            </w:r>
          </w:p>
        </w:tc>
        <w:tc>
          <w:tcPr>
            <w:tcW w:w="4060" w:type="dxa"/>
            <w:vAlign w:val="bottom"/>
          </w:tcPr>
          <w:p>
            <w:pPr>
              <w:ind w:left="3220"/>
              <w:spacing w:after="0"/>
              <w:rPr>
                <w:sz w:val="20"/>
                <w:szCs w:val="20"/>
                <w:color w:val="auto"/>
              </w:rPr>
            </w:pPr>
            <w:r>
              <w:rPr>
                <w:rFonts w:ascii="Arial" w:cs="Arial" w:eastAsia="Arial" w:hAnsi="Arial"/>
                <w:sz w:val="18"/>
                <w:szCs w:val="18"/>
                <w:color w:val="auto"/>
              </w:rPr>
              <w:t>7.10</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060" w:type="dxa"/>
            <w:vAlign w:val="bottom"/>
          </w:tcPr>
          <w:p>
            <w:pPr>
              <w:ind w:left="3220"/>
              <w:spacing w:after="0"/>
              <w:rPr>
                <w:sz w:val="20"/>
                <w:szCs w:val="20"/>
                <w:color w:val="auto"/>
              </w:rPr>
            </w:pPr>
            <w:r>
              <w:rPr>
                <w:rFonts w:ascii="Arial" w:cs="Arial" w:eastAsia="Arial" w:hAnsi="Arial"/>
                <w:sz w:val="18"/>
                <w:szCs w:val="18"/>
                <w:color w:val="auto"/>
              </w:rPr>
              <w:t>7.10</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311(a)</w:t>
            </w:r>
          </w:p>
        </w:tc>
        <w:tc>
          <w:tcPr>
            <w:tcW w:w="4060" w:type="dxa"/>
            <w:vAlign w:val="bottom"/>
          </w:tcPr>
          <w:p>
            <w:pPr>
              <w:ind w:left="3220"/>
              <w:spacing w:after="0"/>
              <w:rPr>
                <w:sz w:val="20"/>
                <w:szCs w:val="20"/>
                <w:color w:val="auto"/>
              </w:rPr>
            </w:pPr>
            <w:r>
              <w:rPr>
                <w:rFonts w:ascii="Arial" w:cs="Arial" w:eastAsia="Arial" w:hAnsi="Arial"/>
                <w:sz w:val="18"/>
                <w:szCs w:val="18"/>
                <w:color w:val="auto"/>
              </w:rPr>
              <w:t>7.11</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060" w:type="dxa"/>
            <w:vAlign w:val="bottom"/>
          </w:tcPr>
          <w:p>
            <w:pPr>
              <w:ind w:left="3220"/>
              <w:spacing w:after="0"/>
              <w:rPr>
                <w:sz w:val="20"/>
                <w:szCs w:val="20"/>
                <w:color w:val="auto"/>
              </w:rPr>
            </w:pPr>
            <w:r>
              <w:rPr>
                <w:rFonts w:ascii="Arial" w:cs="Arial" w:eastAsia="Arial" w:hAnsi="Arial"/>
                <w:sz w:val="18"/>
                <w:szCs w:val="18"/>
                <w:color w:val="auto"/>
              </w:rPr>
              <w:t>7.11</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312(a)</w:t>
            </w:r>
          </w:p>
        </w:tc>
        <w:tc>
          <w:tcPr>
            <w:tcW w:w="4060" w:type="dxa"/>
            <w:vAlign w:val="bottom"/>
          </w:tcPr>
          <w:p>
            <w:pPr>
              <w:ind w:left="322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060" w:type="dxa"/>
            <w:vAlign w:val="bottom"/>
          </w:tcPr>
          <w:p>
            <w:pPr>
              <w:ind w:left="3220"/>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w:t>
            </w:r>
          </w:p>
        </w:tc>
        <w:tc>
          <w:tcPr>
            <w:tcW w:w="4060" w:type="dxa"/>
            <w:vAlign w:val="bottom"/>
          </w:tcPr>
          <w:p>
            <w:pPr>
              <w:ind w:left="3220"/>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313(a)</w:t>
            </w:r>
          </w:p>
        </w:tc>
        <w:tc>
          <w:tcPr>
            <w:tcW w:w="4060" w:type="dxa"/>
            <w:vAlign w:val="bottom"/>
          </w:tcPr>
          <w:p>
            <w:pPr>
              <w:ind w:left="322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(b)(1)</w:t>
            </w:r>
          </w:p>
        </w:tc>
        <w:tc>
          <w:tcPr>
            <w:tcW w:w="4060" w:type="dxa"/>
            <w:vAlign w:val="bottom"/>
          </w:tcPr>
          <w:p>
            <w:pPr>
              <w:ind w:left="322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(b)(2)</w:t>
            </w:r>
          </w:p>
        </w:tc>
        <w:tc>
          <w:tcPr>
            <w:tcW w:w="4060" w:type="dxa"/>
            <w:vAlign w:val="bottom"/>
          </w:tcPr>
          <w:p>
            <w:pPr>
              <w:ind w:left="322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(c)(1)</w:t>
            </w:r>
          </w:p>
        </w:tc>
        <w:tc>
          <w:tcPr>
            <w:tcW w:w="4060" w:type="dxa"/>
            <w:vAlign w:val="bottom"/>
          </w:tcPr>
          <w:p>
            <w:pPr>
              <w:ind w:left="322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(d)</w:t>
            </w:r>
          </w:p>
        </w:tc>
        <w:tc>
          <w:tcPr>
            <w:tcW w:w="4060" w:type="dxa"/>
            <w:vAlign w:val="bottom"/>
          </w:tcPr>
          <w:p>
            <w:pPr>
              <w:ind w:left="322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314(a)</w:t>
            </w:r>
          </w:p>
        </w:tc>
        <w:tc>
          <w:tcPr>
            <w:tcW w:w="4060" w:type="dxa"/>
            <w:vAlign w:val="bottom"/>
          </w:tcPr>
          <w:p>
            <w:pPr>
              <w:ind w:left="3220"/>
              <w:spacing w:after="0"/>
              <w:rPr>
                <w:sz w:val="20"/>
                <w:szCs w:val="20"/>
                <w:color w:val="auto"/>
              </w:rPr>
            </w:pPr>
            <w:r>
              <w:rPr>
                <w:rFonts w:ascii="Arial" w:cs="Arial" w:eastAsia="Arial" w:hAnsi="Arial"/>
                <w:sz w:val="18"/>
                <w:szCs w:val="18"/>
                <w:color w:val="auto"/>
              </w:rPr>
              <w:t>4.2, 10.5</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(c)(1)</w:t>
            </w:r>
          </w:p>
        </w:tc>
        <w:tc>
          <w:tcPr>
            <w:tcW w:w="4060" w:type="dxa"/>
            <w:vAlign w:val="bottom"/>
          </w:tcPr>
          <w:p>
            <w:pPr>
              <w:ind w:left="32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(c)(2)</w:t>
            </w:r>
          </w:p>
        </w:tc>
        <w:tc>
          <w:tcPr>
            <w:tcW w:w="4060" w:type="dxa"/>
            <w:vAlign w:val="bottom"/>
          </w:tcPr>
          <w:p>
            <w:pPr>
              <w:ind w:left="32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(c)(3)</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(d)</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(e)</w:t>
            </w:r>
          </w:p>
        </w:tc>
        <w:tc>
          <w:tcPr>
            <w:tcW w:w="4060" w:type="dxa"/>
            <w:vAlign w:val="bottom"/>
          </w:tcPr>
          <w:p>
            <w:pPr>
              <w:ind w:left="322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(f)</w:t>
            </w:r>
          </w:p>
        </w:tc>
        <w:tc>
          <w:tcPr>
            <w:tcW w:w="4520" w:type="dxa"/>
            <w:vAlign w:val="bottom"/>
            <w:gridSpan w:val="2"/>
          </w:tcPr>
          <w:p>
            <w:pPr>
              <w:ind w:left="3220"/>
              <w:spacing w:after="0"/>
              <w:rPr>
                <w:sz w:val="20"/>
                <w:szCs w:val="20"/>
                <w:color w:val="auto"/>
              </w:rPr>
            </w:pPr>
            <w:r>
              <w:rPr>
                <w:rFonts w:ascii="Arial" w:cs="Arial" w:eastAsia="Arial" w:hAnsi="Arial"/>
                <w:sz w:val="18"/>
                <w:szCs w:val="18"/>
                <w:color w:val="auto"/>
              </w:rPr>
              <w:t>Not Applicable</w:t>
            </w: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315(a)</w:t>
            </w:r>
          </w:p>
        </w:tc>
        <w:tc>
          <w:tcPr>
            <w:tcW w:w="4060" w:type="dxa"/>
            <w:vAlign w:val="bottom"/>
          </w:tcPr>
          <w:p>
            <w:pPr>
              <w:ind w:left="322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060" w:type="dxa"/>
            <w:vAlign w:val="bottom"/>
          </w:tcPr>
          <w:p>
            <w:pPr>
              <w:ind w:left="3220"/>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(c)</w:t>
            </w:r>
          </w:p>
        </w:tc>
        <w:tc>
          <w:tcPr>
            <w:tcW w:w="4060" w:type="dxa"/>
            <w:vAlign w:val="bottom"/>
          </w:tcPr>
          <w:p>
            <w:pPr>
              <w:ind w:left="322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(d)</w:t>
            </w:r>
          </w:p>
        </w:tc>
        <w:tc>
          <w:tcPr>
            <w:tcW w:w="4060" w:type="dxa"/>
            <w:vAlign w:val="bottom"/>
          </w:tcPr>
          <w:p>
            <w:pPr>
              <w:ind w:left="322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(e)</w:t>
            </w:r>
          </w:p>
        </w:tc>
        <w:tc>
          <w:tcPr>
            <w:tcW w:w="4060" w:type="dxa"/>
            <w:vAlign w:val="bottom"/>
          </w:tcPr>
          <w:p>
            <w:pPr>
              <w:ind w:left="3220"/>
              <w:spacing w:after="0"/>
              <w:rPr>
                <w:sz w:val="20"/>
                <w:szCs w:val="20"/>
                <w:color w:val="auto"/>
              </w:rPr>
            </w:pPr>
            <w:r>
              <w:rPr>
                <w:rFonts w:ascii="Arial" w:cs="Arial" w:eastAsia="Arial" w:hAnsi="Arial"/>
                <w:sz w:val="18"/>
                <w:szCs w:val="18"/>
                <w:color w:val="auto"/>
              </w:rPr>
              <w:t>6.14</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316(a)</w:t>
            </w:r>
          </w:p>
        </w:tc>
        <w:tc>
          <w:tcPr>
            <w:tcW w:w="4060" w:type="dxa"/>
            <w:vAlign w:val="bottom"/>
          </w:tcPr>
          <w:p>
            <w:pPr>
              <w:ind w:left="3220"/>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(a)(1)(A)</w:t>
            </w:r>
          </w:p>
        </w:tc>
        <w:tc>
          <w:tcPr>
            <w:tcW w:w="4060" w:type="dxa"/>
            <w:vAlign w:val="bottom"/>
          </w:tcPr>
          <w:p>
            <w:pPr>
              <w:ind w:left="3220"/>
              <w:spacing w:after="0"/>
              <w:rPr>
                <w:sz w:val="20"/>
                <w:szCs w:val="20"/>
                <w:color w:val="auto"/>
              </w:rPr>
            </w:pPr>
            <w:r>
              <w:rPr>
                <w:rFonts w:ascii="Arial" w:cs="Arial" w:eastAsia="Arial" w:hAnsi="Arial"/>
                <w:sz w:val="18"/>
                <w:szCs w:val="18"/>
                <w:color w:val="auto"/>
              </w:rPr>
              <w:t>6.12</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(a)(1)(B)</w:t>
            </w:r>
          </w:p>
        </w:tc>
        <w:tc>
          <w:tcPr>
            <w:tcW w:w="4060" w:type="dxa"/>
            <w:vAlign w:val="bottom"/>
          </w:tcPr>
          <w:p>
            <w:pPr>
              <w:ind w:left="3220"/>
              <w:spacing w:after="0"/>
              <w:rPr>
                <w:sz w:val="20"/>
                <w:szCs w:val="20"/>
                <w:color w:val="auto"/>
              </w:rPr>
            </w:pPr>
            <w:r>
              <w:rPr>
                <w:rFonts w:ascii="Arial" w:cs="Arial" w:eastAsia="Arial" w:hAnsi="Arial"/>
                <w:sz w:val="18"/>
                <w:szCs w:val="18"/>
                <w:color w:val="auto"/>
              </w:rPr>
              <w:t>6.13</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060" w:type="dxa"/>
            <w:vAlign w:val="bottom"/>
          </w:tcPr>
          <w:p>
            <w:pPr>
              <w:ind w:left="322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317(a)(1)</w:t>
            </w:r>
          </w:p>
        </w:tc>
        <w:tc>
          <w:tcPr>
            <w:tcW w:w="4060" w:type="dxa"/>
            <w:vAlign w:val="bottom"/>
          </w:tcPr>
          <w:p>
            <w:pPr>
              <w:ind w:left="3220"/>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(a)(2)</w:t>
            </w:r>
          </w:p>
        </w:tc>
        <w:tc>
          <w:tcPr>
            <w:tcW w:w="4060" w:type="dxa"/>
            <w:vAlign w:val="bottom"/>
          </w:tcPr>
          <w:p>
            <w:pPr>
              <w:ind w:left="322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r>
      <w:tr>
        <w:trPr>
          <w:trHeight w:val="216"/>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(b)</w:t>
            </w:r>
          </w:p>
        </w:tc>
        <w:tc>
          <w:tcPr>
            <w:tcW w:w="4060" w:type="dxa"/>
            <w:vAlign w:val="bottom"/>
          </w:tcPr>
          <w:p>
            <w:pPr>
              <w:ind w:left="322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r>
      <w:tr>
        <w:trPr>
          <w:trHeight w:val="230"/>
        </w:trPr>
        <w:tc>
          <w:tcPr>
            <w:tcW w:w="2300" w:type="dxa"/>
            <w:vAlign w:val="bottom"/>
          </w:tcPr>
          <w:p>
            <w:pPr>
              <w:jc w:val="right"/>
              <w:ind w:right="670"/>
              <w:spacing w:after="0"/>
              <w:rPr>
                <w:sz w:val="20"/>
                <w:szCs w:val="20"/>
                <w:color w:val="auto"/>
              </w:rPr>
            </w:pPr>
            <w:r>
              <w:rPr>
                <w:rFonts w:ascii="Arial" w:cs="Arial" w:eastAsia="Arial" w:hAnsi="Arial"/>
                <w:sz w:val="18"/>
                <w:szCs w:val="18"/>
                <w:color w:val="auto"/>
              </w:rPr>
              <w:t>§ 318(a)</w:t>
            </w:r>
          </w:p>
        </w:tc>
        <w:tc>
          <w:tcPr>
            <w:tcW w:w="4060" w:type="dxa"/>
            <w:vAlign w:val="bottom"/>
          </w:tcPr>
          <w:p>
            <w:pPr>
              <w:ind w:left="322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0" w:right="1440"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Indenture dated as of _____________, 20____, between P10, Inc., a company incorporated under the laws of Delaware (the “</w:t>
      </w:r>
      <w:r>
        <w:rPr>
          <w:rFonts w:ascii="Arial" w:cs="Arial" w:eastAsia="Arial" w:hAnsi="Arial"/>
          <w:sz w:val="16"/>
          <w:szCs w:val="16"/>
          <w:i w:val="1"/>
          <w:iCs w:val="1"/>
          <w:color w:val="auto"/>
        </w:rPr>
        <w:t>Company</w:t>
      </w:r>
      <w:r>
        <w:rPr>
          <w:rFonts w:ascii="Arial" w:cs="Arial" w:eastAsia="Arial" w:hAnsi="Arial"/>
          <w:sz w:val="16"/>
          <w:szCs w:val="16"/>
          <w:color w:val="auto"/>
        </w:rPr>
        <w: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 a national banking association organized under the laws of the United States,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Corporate Trust Office</w:t>
      </w:r>
      <w:r>
        <w:rPr>
          <w:rFonts w:ascii="Arial" w:cs="Arial" w:eastAsia="Arial" w:hAnsi="Arial"/>
          <w:sz w:val="17"/>
          <w:szCs w:val="17"/>
          <w:color w:val="auto"/>
        </w:rPr>
        <w:t xml:space="preserve">” means the principal office of the Trustee at which at any time this Indenture shall be administered, which office as of the date hereof is located at the address specified in </w:t>
      </w:r>
      <w:r>
        <w:rPr>
          <w:rFonts w:ascii="Arial" w:cs="Arial" w:eastAsia="Arial" w:hAnsi="Arial"/>
          <w:sz w:val="17"/>
          <w:szCs w:val="17"/>
          <w:u w:val="single" w:color="auto"/>
          <w:color w:val="auto"/>
        </w:rPr>
        <w:t>Section 10.2</w:t>
      </w:r>
      <w:r>
        <w:rPr>
          <w:rFonts w:ascii="Arial" w:cs="Arial" w:eastAsia="Arial" w:hAnsi="Arial"/>
          <w:sz w:val="17"/>
          <w:szCs w:val="17"/>
          <w:color w:val="auto"/>
        </w:rPr>
        <w:t>.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-315595</wp:posOffset>
            </wp:positionV>
            <wp:extent cx="2286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xml:space="preserve">” means any Security that provides for an amount less than the stated principal amount thereof to be due and payable upon declaration of acceleration of the maturity thereof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xml:space="preserve">” means a Security or Securities, as the case may be, in the form established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on the books of the Registrar.</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 Maturity. 2</w:t>
      </w:r>
    </w:p>
    <w:p>
      <w:pPr>
        <w:sectPr>
          <w:pgSz w:w="11900" w:h="16838" w:orient="portrait"/>
          <w:cols w:equalWidth="0" w:num="1">
            <w:col w:w="11000"/>
          </w:cols>
          <w:pgMar w:left="440" w:top="274" w:right="459" w:bottom="1440" w:gutter="0" w:footer="0" w:header="0"/>
        </w:sectPr>
      </w:pPr>
    </w:p>
    <w:bookmarkStart w:id="47" w:name="page48"/>
    <w:bookmarkEnd w:id="47"/>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xml:space="preserve">” means a certificate signed by any Officer that meets the requirements of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xml:space="preserve">” means each series of debentures, notes or other debt instruments of the Company created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hereof.</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6020" w:type="dxa"/>
            <w:vAlign w:val="bottom"/>
            <w:gridSpan w:val="2"/>
          </w:tcPr>
          <w:p>
            <w:pPr>
              <w:spacing w:after="0"/>
              <w:rPr>
                <w:sz w:val="20"/>
                <w:szCs w:val="20"/>
                <w:color w:val="auto"/>
              </w:rPr>
            </w:pPr>
            <w:r>
              <w:rPr>
                <w:rFonts w:ascii="Arial" w:cs="Arial" w:eastAsia="Arial" w:hAnsi="Arial"/>
                <w:sz w:val="14"/>
                <w:szCs w:val="14"/>
                <w:color w:val="auto"/>
              </w:rPr>
              <w:t>TERM</w:t>
            </w:r>
          </w:p>
        </w:tc>
        <w:tc>
          <w:tcPr>
            <w:tcW w:w="1460" w:type="dxa"/>
            <w:vAlign w:val="bottom"/>
          </w:tcPr>
          <w:p>
            <w:pPr>
              <w:ind w:left="20"/>
              <w:spacing w:after="0"/>
              <w:rPr>
                <w:sz w:val="20"/>
                <w:szCs w:val="20"/>
                <w:color w:val="auto"/>
              </w:rPr>
            </w:pPr>
            <w:r>
              <w:rPr>
                <w:rFonts w:ascii="Arial" w:cs="Arial" w:eastAsia="Arial" w:hAnsi="Arial"/>
                <w:sz w:val="14"/>
                <w:szCs w:val="14"/>
                <w:color w:val="auto"/>
                <w:w w:val="97"/>
              </w:rPr>
              <w:t>DEFINED IN SECTION</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6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1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6.1</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6.1</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10.7</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11.1</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10.16</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2.4</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11.1</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2.4</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10.10</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5.1</w:t>
            </w:r>
          </w:p>
        </w:tc>
      </w:tr>
    </w:tbl>
    <w:p>
      <w:pPr>
        <w:spacing w:after="0" w:line="18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Incorporation by Reference of Trust Indenture Act</w:t>
      </w:r>
      <w:r>
        <w:rPr>
          <w:rFonts w:ascii="Arial" w:cs="Arial" w:eastAsia="Arial" w:hAnsi="Arial"/>
          <w:sz w:val="17"/>
          <w:szCs w:val="17"/>
          <w:color w:val="auto"/>
        </w:rPr>
        <w:t>. Whenever this Indenture refers to a provision of the TIA, the provision is incorporated by reference in and made a part of this Indenture. The following TIA terms used in this Indenture have the following meanings: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xml:space="preserve">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9" w:name="page50"/>
    <w:bookmarkEnd w:id="49"/>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the context otherwise requires:</w:t>
      </w:r>
    </w:p>
    <w:p>
      <w:pPr>
        <w:spacing w:after="0" w:line="225" w:lineRule="exact"/>
        <w:rPr>
          <w:sz w:val="20"/>
          <w:szCs w:val="20"/>
          <w:color w:val="auto"/>
        </w:rPr>
      </w:pPr>
    </w:p>
    <w:p>
      <w:pPr>
        <w:ind w:left="1100" w:hanging="24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120" w:hanging="2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100" w:hanging="24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120" w:hanging="2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100" w:hanging="24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Issuable in Series</w:t>
      </w:r>
      <w:r>
        <w:rPr>
          <w:rFonts w:ascii="Arial" w:cs="Arial" w:eastAsia="Arial" w:hAnsi="Arial"/>
          <w:sz w:val="16"/>
          <w:szCs w:val="16"/>
          <w:color w:val="auto"/>
        </w:rPr>
        <w:t>. 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 xml:space="preserve">. At or prior to the issuance of any Securities within a Series, the following shall be established (as to the Series generally, in the case of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and either as to such Securities within the Series or as to the Series generally in the case of </w:t>
      </w:r>
      <w:r>
        <w:rPr>
          <w:rFonts w:ascii="Arial" w:cs="Arial" w:eastAsia="Arial" w:hAnsi="Arial"/>
          <w:sz w:val="18"/>
          <w:szCs w:val="18"/>
          <w:u w:val="single" w:color="auto"/>
          <w:color w:val="auto"/>
        </w:rPr>
        <w:t>Subsections 2.2.2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2.2.23</w:t>
      </w:r>
      <w:r>
        <w:rPr>
          <w:rFonts w:ascii="Arial" w:cs="Arial" w:eastAsia="Arial" w:hAnsi="Arial"/>
          <w:sz w:val="18"/>
          <w:szCs w:val="18"/>
          <w:color w:val="auto"/>
        </w:rPr>
        <w:t>) by or pursuant to a Board Resolution, and set forth or determined in the manner provided in a Board Resolution, supplemental indenture hereto or Officer’s Certificate:</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 the price or prices (expressed as a percentage of the principal amount thereof) at which the Securities of the Series will be issued;</w:t>
      </w:r>
    </w:p>
    <w:p>
      <w:pPr>
        <w:spacing w:after="0" w:line="248"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9.6)</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0" w:name="page51"/>
    <w:bookmarkEnd w:id="5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2.2.4 the date or dates on which the principal of the Securities of the Series is payable;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60" w:firstLine="991"/>
        <w:spacing w:after="0" w:line="277" w:lineRule="auto"/>
        <w:rPr>
          <w:sz w:val="20"/>
          <w:szCs w:val="20"/>
          <w:color w:val="auto"/>
        </w:rPr>
      </w:pPr>
      <w:r>
        <w:rPr>
          <w:rFonts w:ascii="Arial" w:cs="Arial" w:eastAsia="Arial" w:hAnsi="Arial"/>
          <w:sz w:val="18"/>
          <w:szCs w:val="18"/>
          <w:color w:val="auto"/>
        </w:rPr>
        <w:t xml:space="preserve">2.2.12 if other than the principal amount thereof, the portion of the principal amount of the Securities of the Series that shall be payable upon declaration of acceleration of the maturity thereof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0"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1" w:name="page52"/>
    <w:bookmarkEnd w:id="51"/>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225"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2.2.19 any addition to, deletion of or change in the covenants set forth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or V which applies to Securities of the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-3175</wp:posOffset>
            </wp:positionV>
            <wp:extent cx="1085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108585" cy="8255"/>
                    </a:xfrm>
                    <a:prstGeom prst="rect">
                      <a:avLst/>
                    </a:prstGeom>
                    <a:noFill/>
                  </pic:spPr>
                </pic:pic>
              </a:graphicData>
            </a:graphic>
          </wp:anchor>
        </w:drawing>
      </w:r>
    </w:p>
    <w:p>
      <w:pPr>
        <w:spacing w:after="0" w:line="2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conversion agents or other agents with respect to Securities of such Series if other than those appointed herein;</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 An Officer shall sign the Securities for the Company by manual or facsimile signature.</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52" w:name="page53"/>
    <w:bookmarkEnd w:id="52"/>
    <w:p>
      <w:pPr>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Prior to the issuance of Securities of any Series, the Trustee shall have received and (subject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shall be fully protected in relying on:</w:t>
      </w:r>
    </w:p>
    <w:p>
      <w:pPr>
        <w:spacing w:after="0" w:line="46" w:lineRule="exact"/>
        <w:rPr>
          <w:sz w:val="20"/>
          <w:szCs w:val="20"/>
          <w:color w:val="auto"/>
        </w:rPr>
      </w:pPr>
    </w:p>
    <w:p>
      <w:pPr>
        <w:ind w:left="4" w:right="100" w:hanging="4"/>
        <w:spacing w:after="0" w:line="270" w:lineRule="auto"/>
        <w:tabs>
          <w:tab w:leader="none" w:pos="249"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(c) an Opinion of Counsel complying with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78"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84"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Registrar and Paying Agent</w:t>
      </w:r>
      <w:r>
        <w:rPr>
          <w:rFonts w:ascii="Arial" w:cs="Arial" w:eastAsia="Arial" w:hAnsi="Arial"/>
          <w:sz w:val="17"/>
          <w:szCs w:val="17"/>
          <w:color w:val="auto"/>
        </w:rPr>
        <w:t xml:space="preserve">. The Company shall maintain, with respect to each Series of Securities, at the place or places specified with respect to such Series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an office or agency where Securities of such Series may be presented or surrendered for payment (“</w:t>
      </w:r>
      <w:r>
        <w:rPr>
          <w:rFonts w:ascii="Arial" w:cs="Arial" w:eastAsia="Arial" w:hAnsi="Arial"/>
          <w:sz w:val="17"/>
          <w:szCs w:val="17"/>
          <w:i w:val="1"/>
          <w:iCs w:val="1"/>
          <w:color w:val="auto"/>
        </w:rPr>
        <w:t>Paying Agent</w:t>
      </w:r>
      <w:r>
        <w:rPr>
          <w:rFonts w:ascii="Arial" w:cs="Arial" w:eastAsia="Arial" w:hAnsi="Arial"/>
          <w:sz w:val="17"/>
          <w:szCs w:val="17"/>
          <w:color w:val="auto"/>
        </w:rPr>
        <w:t>”), where Securities of such Series may be surrendered for registration of transfer or exchange (“</w:t>
      </w:r>
      <w:r>
        <w:rPr>
          <w:rFonts w:ascii="Arial" w:cs="Arial" w:eastAsia="Arial" w:hAnsi="Arial"/>
          <w:sz w:val="17"/>
          <w:szCs w:val="17"/>
          <w:i w:val="1"/>
          <w:iCs w:val="1"/>
          <w:color w:val="auto"/>
        </w:rPr>
        <w:t>Registrar</w:t>
      </w:r>
      <w:r>
        <w:rPr>
          <w:rFonts w:ascii="Arial" w:cs="Arial" w:eastAsia="Arial" w:hAnsi="Arial"/>
          <w:sz w:val="17"/>
          <w:szCs w:val="17"/>
          <w:color w:val="auto"/>
        </w:rPr>
        <w:t>”) and where notices and demands to or upon the Company in respect of the Securities of such Series and this Indenture may be delivered (“</w:t>
      </w:r>
      <w:r>
        <w:rPr>
          <w:rFonts w:ascii="Arial" w:cs="Arial" w:eastAsia="Arial" w:hAnsi="Arial"/>
          <w:sz w:val="17"/>
          <w:szCs w:val="17"/>
          <w:i w:val="1"/>
          <w:iCs w:val="1"/>
          <w:color w:val="auto"/>
        </w:rPr>
        <w:t>Notice Agent</w:t>
      </w:r>
      <w:r>
        <w:rPr>
          <w:rFonts w:ascii="Arial" w:cs="Arial" w:eastAsia="Arial" w:hAnsi="Arial"/>
          <w:sz w:val="17"/>
          <w:szCs w:val="17"/>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appointment of the Trustee as the Notice Agent shall exclude the appointment of the Trustee or any office of the Trustee as an agent to receive the service of legal process on the Company.</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53" w:name="page54"/>
    <w:bookmarkEnd w:id="53"/>
    <w:p>
      <w:pPr>
        <w:ind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designation or rescission shall in any manner relieve the Company of its obligations to maintain a Registrar, Paying Agent and Notice Agent in each place so specified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9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Securityholder Lists</w:t>
      </w:r>
      <w:r>
        <w:rPr>
          <w:rFonts w:ascii="Arial" w:cs="Arial" w:eastAsia="Arial" w:hAnsi="Arial"/>
          <w:sz w:val="16"/>
          <w:szCs w:val="16"/>
          <w:color w:val="auto"/>
        </w:rPr>
        <w:t>.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xml:space="preserve">. 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w:t>
      </w:r>
      <w:r>
        <w:rPr>
          <w:rFonts w:ascii="Arial" w:cs="Arial" w:eastAsia="Arial" w:hAnsi="Arial"/>
          <w:sz w:val="16"/>
          <w:szCs w:val="16"/>
          <w:u w:val="single" w:color="auto"/>
          <w:color w:val="auto"/>
        </w:rPr>
        <w:t>Sections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9.6</w:t>
      </w:r>
      <w:r>
        <w:rPr>
          <w:rFonts w:ascii="Arial" w:cs="Arial" w:eastAsia="Arial" w:hAnsi="Arial"/>
          <w:sz w:val="16"/>
          <w:szCs w:val="16"/>
          <w:color w:val="auto"/>
        </w:rPr>
        <w:t>).</w:t>
      </w:r>
    </w:p>
    <w:p>
      <w:pPr>
        <w:spacing w:after="0" w:line="164"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54" w:name="page55"/>
    <w:bookmarkEnd w:id="54"/>
    <w:p>
      <w:pPr>
        <w:ind w:left="4"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If a Security is replaced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 xml:space="preserve">The Company may purchase or otherwise acquire the Securities, whether by open market purchases, negotiated transactions or otherwise. A Security does not cease to be outstanding because the Company or an Affiliate of the Company holds the Security (but see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below).</w:t>
      </w:r>
    </w:p>
    <w:p>
      <w:pPr>
        <w:spacing w:after="0" w:line="124"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55" w:name="page56"/>
    <w:bookmarkEnd w:id="5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 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88"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Temporary Securities</w:t>
      </w:r>
      <w:r>
        <w:rPr>
          <w:rFonts w:ascii="Arial" w:cs="Arial" w:eastAsia="Arial" w:hAnsi="Arial"/>
          <w:sz w:val="17"/>
          <w:szCs w:val="17"/>
          <w:color w:val="auto"/>
        </w:rPr>
        <w:t>. 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Cancellation</w:t>
      </w:r>
      <w:r>
        <w:rPr>
          <w:rFonts w:ascii="Arial" w:cs="Arial" w:eastAsia="Arial" w:hAnsi="Arial"/>
          <w:sz w:val="16"/>
          <w:szCs w:val="16"/>
          <w:color w:val="auto"/>
        </w:rPr>
        <w:t>. 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6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Defaulted Interest</w:t>
      </w:r>
      <w:r>
        <w:rPr>
          <w:rFonts w:ascii="Arial" w:cs="Arial" w:eastAsia="Arial" w:hAnsi="Arial"/>
          <w:sz w:val="17"/>
          <w:szCs w:val="17"/>
          <w:color w:val="auto"/>
        </w:rPr>
        <w:t>. 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xml:space="preserve">. Notwithstanding any provisions to the contrary contained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Indenture and in addition thereto, any Global Security shall be exchangeable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56" w:name="page57"/>
    <w:bookmarkEnd w:id="56"/>
    <w:p>
      <w:pPr>
        <w:ind w:right="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this </w:t>
      </w:r>
      <w:r>
        <w:rPr>
          <w:rFonts w:ascii="Arial" w:cs="Arial" w:eastAsia="Arial" w:hAnsi="Arial"/>
          <w:sz w:val="17"/>
          <w:szCs w:val="17"/>
          <w:u w:val="single" w:color="auto"/>
          <w:color w:val="auto"/>
        </w:rPr>
        <w:t>Section 2.14.2</w:t>
      </w:r>
      <w:r>
        <w:rPr>
          <w:rFonts w:ascii="Arial" w:cs="Arial" w:eastAsia="Arial" w:hAnsi="Arial"/>
          <w:sz w:val="17"/>
          <w:szCs w:val="17"/>
          <w:color w:val="auto"/>
        </w:rPr>
        <w:t>,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addition, so long as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is the Depositary, each Global Note registered in the name of DTC or its nominee shall bear a legend in substantially the following form:</w:t>
      </w:r>
    </w:p>
    <w:p>
      <w:pPr>
        <w:spacing w:after="0" w:line="170"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57" w:name="page58"/>
    <w:bookmarkEnd w:id="57"/>
    <w:p>
      <w:pPr>
        <w:ind w:right="12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38" w:lineRule="exact"/>
        <w:rPr>
          <w:sz w:val="20"/>
          <w:szCs w:val="20"/>
          <w:color w:val="auto"/>
        </w:rPr>
      </w:pPr>
    </w:p>
    <w:p>
      <w:pPr>
        <w:ind w:left="440" w:right="40" w:firstLine="948"/>
        <w:spacing w:after="0" w:line="272" w:lineRule="auto"/>
        <w:tabs>
          <w:tab w:leader="none" w:pos="16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69" w:lineRule="exact"/>
        <w:rPr>
          <w:rFonts w:ascii="Arial" w:cs="Arial" w:eastAsia="Arial" w:hAnsi="Arial"/>
          <w:sz w:val="17"/>
          <w:szCs w:val="17"/>
          <w:color w:val="auto"/>
        </w:rPr>
      </w:pPr>
    </w:p>
    <w:p>
      <w:pPr>
        <w:ind w:left="440" w:firstLine="948"/>
        <w:spacing w:after="0" w:line="255" w:lineRule="auto"/>
        <w:tabs>
          <w:tab w:leader="none" w:pos="16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84" w:lineRule="exact"/>
        <w:rPr>
          <w:rFonts w:ascii="Arial" w:cs="Arial" w:eastAsia="Arial" w:hAnsi="Arial"/>
          <w:sz w:val="18"/>
          <w:szCs w:val="18"/>
          <w:color w:val="auto"/>
        </w:rPr>
      </w:pPr>
    </w:p>
    <w:p>
      <w:pPr>
        <w:ind w:left="1640" w:hanging="252"/>
        <w:spacing w:after="0"/>
        <w:tabs>
          <w:tab w:leader="none" w:pos="1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of Global Securities or any Securities issued in certificated form shall be proved by the Registrar.</w:t>
      </w:r>
    </w:p>
    <w:p>
      <w:pPr>
        <w:spacing w:after="0" w:line="117" w:lineRule="exact"/>
        <w:rPr>
          <w:rFonts w:ascii="Arial" w:cs="Arial" w:eastAsia="Arial" w:hAnsi="Arial"/>
          <w:sz w:val="18"/>
          <w:szCs w:val="18"/>
          <w:color w:val="auto"/>
        </w:rPr>
      </w:pPr>
    </w:p>
    <w:p>
      <w:pPr>
        <w:ind w:left="440" w:firstLine="948"/>
        <w:spacing w:after="0" w:line="259" w:lineRule="auto"/>
        <w:tabs>
          <w:tab w:leader="none" w:pos="16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78" w:lineRule="exact"/>
        <w:rPr>
          <w:rFonts w:ascii="Arial" w:cs="Arial" w:eastAsia="Arial" w:hAnsi="Arial"/>
          <w:sz w:val="18"/>
          <w:szCs w:val="18"/>
          <w:color w:val="auto"/>
        </w:rPr>
      </w:pPr>
    </w:p>
    <w:p>
      <w:pPr>
        <w:ind w:left="440" w:firstLine="948"/>
        <w:spacing w:after="0" w:line="289" w:lineRule="auto"/>
        <w:tabs>
          <w:tab w:leader="none" w:pos="16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58" w:name="page59"/>
    <w:bookmarkEnd w:id="58"/>
    <w:p>
      <w:pPr>
        <w:ind w:right="5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Notwithstanding the other provisions of this Indenture, unless otherwise specified as contemplated by </w:t>
      </w:r>
      <w:r>
        <w:rPr>
          <w:rFonts w:ascii="Arial" w:cs="Arial" w:eastAsia="Arial" w:hAnsi="Arial"/>
          <w:sz w:val="18"/>
          <w:szCs w:val="18"/>
          <w:u w:val="single" w:color="auto"/>
          <w:color w:val="auto"/>
        </w:rPr>
        <w:t>Section 2.2</w:t>
      </w:r>
      <w:r>
        <w:rPr>
          <w:rFonts w:ascii="Arial" w:cs="Arial" w:eastAsia="Arial" w:hAnsi="Arial"/>
          <w:sz w:val="18"/>
          <w:szCs w:val="18"/>
          <w:color w:val="auto"/>
        </w:rPr>
        <w:t>, payment of the principal of and interest, if any, on any Global Security shall be made to the Holder thereof.</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CUSIP Numbers</w:t>
      </w:r>
      <w:r>
        <w:rPr>
          <w:rFonts w:ascii="Arial" w:cs="Arial" w:eastAsia="Arial" w:hAnsi="Arial"/>
          <w:sz w:val="16"/>
          <w:szCs w:val="16"/>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Notice to Trustee</w:t>
      </w:r>
      <w:r>
        <w:rPr>
          <w:rFonts w:ascii="Arial" w:cs="Arial" w:eastAsia="Arial" w:hAnsi="Arial"/>
          <w:sz w:val="18"/>
          <w:szCs w:val="18"/>
          <w:color w:val="auto"/>
        </w:rPr>
        <w:t>.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9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Selection of Securities to be Redeemed</w:t>
      </w:r>
      <w:r>
        <w:rPr>
          <w:rFonts w:ascii="Arial" w:cs="Arial" w:eastAsia="Arial" w:hAnsi="Arial"/>
          <w:sz w:val="17"/>
          <w:szCs w:val="17"/>
          <w:color w:val="auto"/>
        </w:rPr>
        <w:t xml:space="preserve">. 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such securities it selected for redemption shall be in amounts of $1,000 or whole multiples of $1,000 or, with respect to Securities of any Series issuable in other denominations pursuant to </w:t>
      </w:r>
      <w:r>
        <w:rPr>
          <w:rFonts w:ascii="Arial" w:cs="Arial" w:eastAsia="Arial" w:hAnsi="Arial"/>
          <w:sz w:val="17"/>
          <w:szCs w:val="17"/>
          <w:u w:val="single" w:color="auto"/>
          <w:color w:val="auto"/>
        </w:rPr>
        <w:t>Section 2.2.10</w:t>
      </w:r>
      <w:r>
        <w:rPr>
          <w:rFonts w:ascii="Arial" w:cs="Arial" w:eastAsia="Arial" w:hAnsi="Arial"/>
          <w:sz w:val="17"/>
          <w:szCs w:val="17"/>
          <w:color w:val="auto"/>
        </w:rPr>
        <w:t>,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59" w:name="page60"/>
    <w:bookmarkEnd w:id="59"/>
    <w:p>
      <w:pPr>
        <w:ind w:right="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The notice shall identify the Securities of the Series to be redeemed and shall state</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right="200" w:firstLine="987"/>
        <w:spacing w:after="0" w:line="263" w:lineRule="auto"/>
        <w:tabs>
          <w:tab w:leader="none" w:pos="12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128" w:lineRule="exact"/>
        <w:rPr>
          <w:rFonts w:ascii="Arial" w:cs="Arial" w:eastAsia="Arial" w:hAnsi="Arial"/>
          <w:sz w:val="17"/>
          <w:szCs w:val="17"/>
          <w:color w:val="auto"/>
        </w:rPr>
      </w:pPr>
    </w:p>
    <w:p>
      <w:pPr>
        <w:ind w:right="340" w:firstLine="987"/>
        <w:spacing w:after="0" w:line="277" w:lineRule="auto"/>
        <w:tabs>
          <w:tab w:leader="none" w:pos="12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12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xml:space="preserve">. Once notice of redemption is sent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0" w:name="page61"/>
    <w:bookmarkEnd w:id="60"/>
    <w:p>
      <w:pPr>
        <w:ind w:right="6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3.6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Upon surrender of a Security that is redeemed in part, the Trustee shall authenticate for the Holder a new Security of the same Series and the same maturity equal in principal amount to the unredeemed portion of the Security surrendered.</w:t>
      </w:r>
    </w:p>
    <w:p>
      <w:pPr>
        <w:spacing w:after="0" w:line="33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 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5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SEC Reports</w:t>
      </w:r>
      <w:r>
        <w:rPr>
          <w:rFonts w:ascii="Arial" w:cs="Arial" w:eastAsia="Arial" w:hAnsi="Arial"/>
          <w:sz w:val="16"/>
          <w:szCs w:val="16"/>
          <w:color w:val="auto"/>
        </w:rPr>
        <w:t xml:space="preserve">. To the extent any Securities of a Series are outstanding, the Company shall deliver to the Trustee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within 15 days after it files such information, documents and reports with the SEC.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w:t>
      </w:r>
      <w:r>
        <w:rPr>
          <w:rFonts w:ascii="Arial" w:cs="Arial" w:eastAsia="Arial" w:hAnsi="Arial"/>
          <w:sz w:val="16"/>
          <w:szCs w:val="16"/>
          <w:u w:val="single" w:color="auto"/>
          <w:color w:val="auto"/>
        </w:rPr>
        <w:t>Section 4.2</w:t>
      </w:r>
      <w:r>
        <w:rPr>
          <w:rFonts w:ascii="Arial" w:cs="Arial" w:eastAsia="Arial" w:hAnsi="Arial"/>
          <w:sz w:val="16"/>
          <w:szCs w:val="16"/>
          <w:color w:val="auto"/>
        </w:rPr>
        <w:t>, it being understood that the Trustee shall have no responsibility whatsoever to determine if such filings have been made, and that the Trustee shall not be deemed to have knowledge of the information contained therein.</w:t>
      </w:r>
    </w:p>
    <w:p>
      <w:pPr>
        <w:spacing w:after="0" w:line="16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Delivery of reports, information and documents to the Trustee under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7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61" w:name="page62"/>
    <w:bookmarkEnd w:id="6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 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ind w:left="440" w:right="200" w:firstLine="419"/>
        <w:spacing w:after="0" w:line="263"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right="460" w:firstLine="440"/>
        <w:spacing w:after="0" w:line="263" w:lineRule="auto"/>
        <w:rPr>
          <w:sz w:val="20"/>
          <w:szCs w:val="20"/>
          <w:color w:val="auto"/>
        </w:rPr>
      </w:pPr>
      <w:r>
        <w:rPr>
          <w:rFonts w:ascii="Arial" w:cs="Arial" w:eastAsia="Arial" w:hAnsi="Arial"/>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4"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Successor Corporation Substituted</w:t>
      </w:r>
      <w:r>
        <w:rPr>
          <w:rFonts w:ascii="Arial" w:cs="Arial" w:eastAsia="Arial" w:hAnsi="Arial"/>
          <w:sz w:val="17"/>
          <w:szCs w:val="17"/>
          <w:color w:val="auto"/>
        </w:rPr>
        <w:t xml:space="preserve">. Upon any consolidation or merger, or any sale, lease, conveyance or other disposition of all or substantially all of the assets of the Company in accordance with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predecessor Company in the case of a sale, conveyance or other disposition (other than a lease) shall be released from all obligations and covenants under this Indenture and the Securities.</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76" w:lineRule="exact"/>
        <w:rPr>
          <w:sz w:val="20"/>
          <w:szCs w:val="20"/>
          <w:color w:val="auto"/>
        </w:rPr>
      </w:pPr>
    </w:p>
    <w:p>
      <w:pPr>
        <w:jc w:val="both"/>
        <w:ind w:left="440" w:right="40" w:firstLine="419"/>
        <w:spacing w:after="0" w:line="263"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440" w:top="270" w:right="619" w:bottom="1440" w:gutter="0" w:footer="0" w:header="0"/>
        </w:sectPr>
      </w:pPr>
    </w:p>
    <w:bookmarkStart w:id="62" w:name="page63"/>
    <w:bookmarkEnd w:id="62"/>
    <w:p>
      <w:pPr>
        <w:ind w:left="1120" w:hanging="261"/>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in the payment of principal of any Security of that Series at its Maturity; or</w:t>
      </w:r>
    </w:p>
    <w:p>
      <w:pPr>
        <w:spacing w:after="0" w:line="117" w:lineRule="exact"/>
        <w:rPr>
          <w:rFonts w:ascii="Arial" w:cs="Arial" w:eastAsia="Arial" w:hAnsi="Arial"/>
          <w:sz w:val="18"/>
          <w:szCs w:val="18"/>
          <w:color w:val="auto"/>
        </w:rPr>
      </w:pPr>
    </w:p>
    <w:p>
      <w:pPr>
        <w:ind w:left="440" w:right="100" w:firstLine="419"/>
        <w:spacing w:after="0" w:line="255"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440" w:right="80" w:firstLine="419"/>
        <w:spacing w:after="0" w:line="291" w:lineRule="auto"/>
        <w:tabs>
          <w:tab w:leader="none" w:pos="1118"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w:t>
      </w:r>
    </w:p>
    <w:p>
      <w:pPr>
        <w:ind w:left="740" w:hanging="304"/>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makes a general assignment for the benefit of its creditors, or (v) generally is unable to pay its debts as the same become due; or</w:t>
      </w:r>
    </w:p>
    <w:p>
      <w:pPr>
        <w:spacing w:after="0" w:line="114" w:lineRule="exact"/>
        <w:rPr>
          <w:rFonts w:ascii="Arial" w:cs="Arial" w:eastAsia="Arial" w:hAnsi="Arial"/>
          <w:sz w:val="17"/>
          <w:szCs w:val="17"/>
          <w:color w:val="auto"/>
        </w:rPr>
      </w:pPr>
    </w:p>
    <w:p>
      <w:pPr>
        <w:ind w:left="440" w:right="320" w:firstLine="419"/>
        <w:spacing w:after="0" w:line="263"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60 days; or</w:t>
      </w:r>
    </w:p>
    <w:p>
      <w:pPr>
        <w:spacing w:after="0" w:line="75" w:lineRule="exact"/>
        <w:rPr>
          <w:rFonts w:ascii="Arial" w:cs="Arial" w:eastAsia="Arial" w:hAnsi="Arial"/>
          <w:sz w:val="18"/>
          <w:szCs w:val="18"/>
          <w:color w:val="auto"/>
        </w:rPr>
      </w:pPr>
    </w:p>
    <w:p>
      <w:pPr>
        <w:ind w:left="440" w:right="280" w:firstLine="419"/>
        <w:spacing w:after="0" w:line="277" w:lineRule="auto"/>
        <w:tabs>
          <w:tab w:leader="none" w:pos="10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any other Event of Default provided with respect to Securities of that Series, which is specified in a Board Resolution, a supplemental indenture hereto or an Officer’s Certificate, in accordance with </w:t>
      </w:r>
      <w:r>
        <w:rPr>
          <w:rFonts w:ascii="Arial" w:cs="Arial" w:eastAsia="Arial" w:hAnsi="Arial"/>
          <w:sz w:val="18"/>
          <w:szCs w:val="18"/>
          <w:u w:val="single" w:color="auto"/>
          <w:color w:val="auto"/>
        </w:rPr>
        <w:t>Section 2.2.18</w:t>
      </w:r>
      <w:r>
        <w:rPr>
          <w:rFonts w:ascii="Arial" w:cs="Arial" w:eastAsia="Arial" w:hAnsi="Arial"/>
          <w:sz w:val="18"/>
          <w:szCs w:val="18"/>
          <w:color w:val="auto"/>
        </w:rPr>
        <w: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U.S.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Acceleration of Maturity; Rescission and Annulment</w:t>
      </w:r>
      <w:r>
        <w:rPr>
          <w:rFonts w:ascii="Arial" w:cs="Arial" w:eastAsia="Arial" w:hAnsi="Arial"/>
          <w:sz w:val="17"/>
          <w:szCs w:val="17"/>
          <w:color w:val="auto"/>
        </w:rPr>
        <w:t xml:space="preserve">. If an Event of Default with respect to Securities of any Series at the time outstanding occurs and is continuing (other than an Event of Default referred to in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shall occur, the principal amount (or specified amount) of and accrued and unpaid interest, if any, on all outstanding Securities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any declaration or other act on the part of the Trustee or any Holder.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3" w:name="page64"/>
    <w:bookmarkEnd w:id="63"/>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8"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64" w:name="page65"/>
    <w:bookmarkEnd w:id="6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9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Trustee May Enforce Claims Without Possession of Securities</w:t>
      </w:r>
      <w:r>
        <w:rPr>
          <w:rFonts w:ascii="Arial" w:cs="Arial" w:eastAsia="Arial" w:hAnsi="Arial"/>
          <w:sz w:val="17"/>
          <w:szCs w:val="17"/>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76"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 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all amounts due the Trustee under </w:t>
      </w:r>
      <w:r>
        <w:rPr>
          <w:rFonts w:ascii="Arial" w:cs="Arial" w:eastAsia="Arial" w:hAnsi="Arial"/>
          <w:sz w:val="18"/>
          <w:szCs w:val="18"/>
          <w:u w:val="single" w:color="auto"/>
          <w:color w:val="auto"/>
        </w:rPr>
        <w:t>Section 7.7</w:t>
      </w:r>
      <w:r>
        <w:rPr>
          <w:rFonts w:ascii="Arial" w:cs="Arial" w:eastAsia="Arial" w:hAnsi="Arial"/>
          <w:sz w:val="18"/>
          <w:szCs w:val="18"/>
          <w:color w:val="auto"/>
        </w:rPr>
        <w:t>; and</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Company.</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100" w:hanging="241"/>
        <w:spacing w:after="0"/>
        <w:tabs>
          <w:tab w:leader="none" w:pos="11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210" w:lineRule="exact"/>
        <w:rPr>
          <w:rFonts w:ascii="Arial" w:cs="Arial" w:eastAsia="Arial" w:hAnsi="Arial"/>
          <w:sz w:val="17"/>
          <w:szCs w:val="17"/>
          <w:color w:val="auto"/>
        </w:rPr>
      </w:pPr>
    </w:p>
    <w:p>
      <w:pPr>
        <w:ind w:left="440" w:right="160" w:firstLine="419"/>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65" w:name="page66"/>
    <w:bookmarkEnd w:id="65"/>
    <w:p>
      <w:pPr>
        <w:ind w:left="440" w:right="420" w:firstLine="419"/>
        <w:spacing w:after="0" w:line="277"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40" w:firstLine="419"/>
        <w:spacing w:after="0" w:line="277"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6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 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xml:space="preserve">. Except as otherwise provided with respect to the replacement or payment of mutilated, destroyed, lost or stolen Securities in </w:t>
      </w:r>
      <w:r>
        <w:rPr>
          <w:rFonts w:ascii="Arial" w:cs="Arial" w:eastAsia="Arial" w:hAnsi="Arial"/>
          <w:sz w:val="16"/>
          <w:szCs w:val="16"/>
          <w:u w:val="single" w:color="auto"/>
          <w:color w:val="auto"/>
        </w:rPr>
        <w:t>Section 2.8</w:t>
      </w:r>
      <w:r>
        <w:rPr>
          <w:rFonts w:ascii="Arial" w:cs="Arial" w:eastAsia="Arial" w:hAnsi="Arial"/>
          <w:sz w:val="16"/>
          <w:szCs w:val="16"/>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66" w:name="page67"/>
    <w:bookmarkEnd w:id="66"/>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6.12 </w:t>
      </w:r>
      <w:r>
        <w:rPr>
          <w:rFonts w:ascii="Arial" w:cs="Arial" w:eastAsia="Arial" w:hAnsi="Arial"/>
          <w:sz w:val="16"/>
          <w:szCs w:val="16"/>
          <w:u w:val="single" w:color="auto"/>
          <w:color w:val="auto"/>
        </w:rPr>
        <w:t>Control by Holders</w:t>
      </w:r>
      <w:r>
        <w:rPr>
          <w:rFonts w:ascii="Arial" w:cs="Arial" w:eastAsia="Arial" w:hAnsi="Arial"/>
          <w:sz w:val="16"/>
          <w:szCs w:val="16"/>
          <w:color w:val="auto"/>
        </w:rPr>
        <w:t xml:space="preserv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6"/>
          <w:szCs w:val="16"/>
          <w:i w:val="1"/>
          <w:iCs w:val="1"/>
          <w:color w:val="auto"/>
        </w:rPr>
        <w:t>provided that</w:t>
      </w:r>
      <w:r>
        <w:rPr>
          <w:rFonts w:ascii="Arial" w:cs="Arial" w:eastAsia="Arial" w:hAnsi="Arial"/>
          <w:sz w:val="16"/>
          <w:szCs w:val="16"/>
          <w:color w:val="auto"/>
        </w:rPr>
        <w:t>, (a) such direction shall not be in conflict with any rule of law or with this Indenture, (b) the Trustee may take any other action deemed proper by the Trustee which is not inconsistent with such direction, (c) subject to the provisions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the Trustee shall have the right to decline to follow any such direction if the Trustee in good faith shall, by a Responsible Officer of the Trustee, determine that the proceeding so directed would involve the Trustee in personal liability, and prior to taking any action as directed under this </w:t>
      </w:r>
      <w:r>
        <w:rPr>
          <w:rFonts w:ascii="Arial" w:cs="Arial" w:eastAsia="Arial" w:hAnsi="Arial"/>
          <w:sz w:val="18"/>
          <w:szCs w:val="18"/>
          <w:u w:val="single" w:color="auto"/>
          <w:color w:val="auto"/>
        </w:rPr>
        <w:t>Section 6.12</w:t>
      </w:r>
      <w:r>
        <w:rPr>
          <w:rFonts w:ascii="Arial" w:cs="Arial" w:eastAsia="Arial" w:hAnsi="Arial"/>
          <w:sz w:val="18"/>
          <w:szCs w:val="18"/>
          <w:color w:val="auto"/>
        </w:rPr>
        <w:t>, the Trustee shall be entitled to indemnity satisfactory to it against the losses, costs, expenses and liabilities which might be incurred by it in compliance with such request or direction.</w:t>
      </w:r>
    </w:p>
    <w:p>
      <w:pPr>
        <w:spacing w:after="0" w:line="193"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180" w:firstLine="419"/>
        <w:spacing w:after="0" w:line="263"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980" w:firstLine="408"/>
        <w:spacing w:after="0" w:line="277" w:lineRule="auto"/>
        <w:tabs>
          <w:tab w:leader="none" w:pos="15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67" w:name="page68"/>
    <w:bookmarkEnd w:id="67"/>
    <w:p>
      <w:pPr>
        <w:ind w:left="540" w:right="180" w:firstLine="408"/>
        <w:spacing w:after="0" w:line="255" w:lineRule="auto"/>
        <w:tabs>
          <w:tab w:leader="none" w:pos="1206"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84" w:lineRule="exact"/>
        <w:rPr>
          <w:rFonts w:ascii="Arial" w:cs="Arial" w:eastAsia="Arial" w:hAnsi="Arial"/>
          <w:sz w:val="18"/>
          <w:szCs w:val="18"/>
          <w:color w:val="auto"/>
        </w:rPr>
      </w:pPr>
    </w:p>
    <w:p>
      <w:pPr>
        <w:ind w:right="20" w:firstLine="419"/>
        <w:spacing w:after="0" w:line="277" w:lineRule="auto"/>
        <w:tabs>
          <w:tab w:leader="none" w:pos="6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sz w:val="20"/>
          <w:szCs w:val="20"/>
          <w:color w:val="auto"/>
        </w:rPr>
      </w:pPr>
    </w:p>
    <w:p>
      <w:pPr>
        <w:ind w:left="540" w:right="320" w:firstLine="408"/>
        <w:spacing w:after="0" w:line="277" w:lineRule="auto"/>
        <w:tabs>
          <w:tab w:leader="none" w:pos="12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62" w:lineRule="exact"/>
        <w:rPr>
          <w:rFonts w:ascii="Arial" w:cs="Arial" w:eastAsia="Arial" w:hAnsi="Arial"/>
          <w:sz w:val="18"/>
          <w:szCs w:val="18"/>
          <w:color w:val="auto"/>
        </w:rPr>
      </w:pPr>
    </w:p>
    <w:p>
      <w:pPr>
        <w:ind w:left="540" w:firstLine="408"/>
        <w:spacing w:after="0" w:line="286" w:lineRule="auto"/>
        <w:tabs>
          <w:tab w:leader="none" w:pos="1256"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and (c) of this Section.</w:t>
      </w:r>
    </w:p>
    <w:p>
      <w:pPr>
        <w:spacing w:after="0" w:line="128" w:lineRule="exact"/>
        <w:rPr>
          <w:rFonts w:ascii="Arial" w:cs="Arial" w:eastAsia="Arial" w:hAnsi="Arial"/>
          <w:sz w:val="17"/>
          <w:szCs w:val="17"/>
          <w:color w:val="auto"/>
        </w:rPr>
      </w:pPr>
    </w:p>
    <w:p>
      <w:pPr>
        <w:ind w:right="400" w:firstLine="419"/>
        <w:spacing w:after="0" w:line="342" w:lineRule="auto"/>
        <w:tabs>
          <w:tab w:leader="none" w:pos="6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5" w:lineRule="exact"/>
        <w:rPr>
          <w:rFonts w:ascii="Arial" w:cs="Arial" w:eastAsia="Arial" w:hAnsi="Arial"/>
          <w:sz w:val="16"/>
          <w:szCs w:val="16"/>
          <w:color w:val="auto"/>
        </w:rPr>
      </w:pPr>
    </w:p>
    <w:p>
      <w:pPr>
        <w:ind w:right="40" w:firstLine="419"/>
        <w:spacing w:after="0" w:line="308" w:lineRule="auto"/>
        <w:tabs>
          <w:tab w:leader="none" w:pos="64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38" w:lineRule="exact"/>
        <w:rPr>
          <w:rFonts w:ascii="Arial" w:cs="Arial" w:eastAsia="Arial" w:hAnsi="Arial"/>
          <w:sz w:val="17"/>
          <w:szCs w:val="17"/>
          <w:color w:val="auto"/>
        </w:rPr>
      </w:pPr>
    </w:p>
    <w:p>
      <w:pPr>
        <w:ind w:right="220" w:firstLine="419"/>
        <w:spacing w:after="0" w:line="277" w:lineRule="auto"/>
        <w:tabs>
          <w:tab w:leader="none" w:pos="6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62" w:lineRule="exact"/>
        <w:rPr>
          <w:rFonts w:ascii="Arial" w:cs="Arial" w:eastAsia="Arial" w:hAnsi="Arial"/>
          <w:sz w:val="18"/>
          <w:szCs w:val="18"/>
          <w:color w:val="auto"/>
        </w:rPr>
      </w:pPr>
    </w:p>
    <w:p>
      <w:pPr>
        <w:ind w:right="500" w:firstLine="419"/>
        <w:spacing w:after="0" w:line="277" w:lineRule="auto"/>
        <w:tabs>
          <w:tab w:leader="none" w:pos="6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Paying Agent, the Registrar and any authenticating agent shall be entitled to the protections and immunities as are set forth in paragraphs (e), (f) and (g) of this Section and in </w:t>
      </w:r>
      <w:r>
        <w:rPr>
          <w:rFonts w:ascii="Arial" w:cs="Arial" w:eastAsia="Arial" w:hAnsi="Arial"/>
          <w:sz w:val="18"/>
          <w:szCs w:val="18"/>
          <w:u w:val="single" w:color="auto"/>
          <w:color w:val="auto"/>
        </w:rPr>
        <w:t>Section 7.2</w:t>
      </w:r>
      <w:r>
        <w:rPr>
          <w:rFonts w:ascii="Arial" w:cs="Arial" w:eastAsia="Arial" w:hAnsi="Arial"/>
          <w:sz w:val="18"/>
          <w:szCs w:val="18"/>
          <w:color w:val="auto"/>
        </w:rPr>
        <w:t>, each with respect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480" w:firstLine="419"/>
        <w:spacing w:after="0" w:line="263" w:lineRule="auto"/>
        <w:tabs>
          <w:tab w:leader="none" w:pos="6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20"/>
          </w:cols>
          <w:pgMar w:left="880" w:top="274" w:right="499" w:bottom="1440" w:gutter="0" w:footer="0" w:header="0"/>
        </w:sectPr>
      </w:pPr>
    </w:p>
    <w:bookmarkStart w:id="68" w:name="page69"/>
    <w:bookmarkEnd w:id="68"/>
    <w:p>
      <w:pPr>
        <w:ind w:right="360" w:firstLine="419"/>
        <w:spacing w:after="0" w:line="342" w:lineRule="auto"/>
        <w:tabs>
          <w:tab w:leader="none" w:pos="678"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 w:lineRule="exact"/>
        <w:rPr>
          <w:rFonts w:ascii="Arial" w:cs="Arial" w:eastAsia="Arial" w:hAnsi="Arial"/>
          <w:sz w:val="16"/>
          <w:szCs w:val="16"/>
          <w:color w:val="auto"/>
        </w:rPr>
      </w:pPr>
    </w:p>
    <w:p>
      <w:pPr>
        <w:ind w:right="280" w:firstLine="419"/>
        <w:spacing w:after="0" w:line="263"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75"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62" w:lineRule="exact"/>
        <w:rPr>
          <w:rFonts w:ascii="Arial" w:cs="Arial" w:eastAsia="Arial" w:hAnsi="Arial"/>
          <w:sz w:val="18"/>
          <w:szCs w:val="18"/>
          <w:color w:val="auto"/>
        </w:rPr>
      </w:pPr>
    </w:p>
    <w:p>
      <w:pPr>
        <w:ind w:right="20" w:firstLine="419"/>
        <w:spacing w:after="0" w:line="263"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ind w:firstLine="419"/>
        <w:spacing w:after="0" w:line="311" w:lineRule="auto"/>
        <w:tabs>
          <w:tab w:leader="none" w:pos="6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40" w:lineRule="exact"/>
        <w:rPr>
          <w:rFonts w:ascii="Arial" w:cs="Arial" w:eastAsia="Arial" w:hAnsi="Arial"/>
          <w:sz w:val="16"/>
          <w:szCs w:val="16"/>
          <w:color w:val="auto"/>
        </w:rPr>
      </w:pPr>
    </w:p>
    <w:p>
      <w:pPr>
        <w:ind w:right="440" w:firstLine="419"/>
        <w:spacing w:after="0" w:line="311" w:lineRule="auto"/>
        <w:tabs>
          <w:tab w:leader="none" w:pos="6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0" w:lineRule="exact"/>
        <w:rPr>
          <w:rFonts w:ascii="Arial" w:cs="Arial" w:eastAsia="Arial" w:hAnsi="Arial"/>
          <w:sz w:val="16"/>
          <w:szCs w:val="16"/>
          <w:color w:val="auto"/>
        </w:rPr>
      </w:pPr>
    </w:p>
    <w:p>
      <w:pPr>
        <w:ind w:right="60" w:firstLine="419"/>
        <w:spacing w:after="0" w:line="259" w:lineRule="auto"/>
        <w:tabs>
          <w:tab w:leader="none" w:pos="6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78" w:lineRule="exact"/>
        <w:rPr>
          <w:rFonts w:ascii="Arial" w:cs="Arial" w:eastAsia="Arial" w:hAnsi="Arial"/>
          <w:sz w:val="18"/>
          <w:szCs w:val="18"/>
          <w:color w:val="auto"/>
        </w:rPr>
      </w:pPr>
    </w:p>
    <w:p>
      <w:pPr>
        <w:ind w:right="280" w:firstLine="419"/>
        <w:spacing w:after="0" w:line="263" w:lineRule="auto"/>
        <w:tabs>
          <w:tab w:leader="none" w:pos="63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75" w:lineRule="exact"/>
        <w:rPr>
          <w:rFonts w:ascii="Arial" w:cs="Arial" w:eastAsia="Arial" w:hAnsi="Arial"/>
          <w:sz w:val="18"/>
          <w:szCs w:val="18"/>
          <w:color w:val="auto"/>
        </w:rPr>
      </w:pPr>
    </w:p>
    <w:p>
      <w:pPr>
        <w:ind w:left="640" w:hanging="221"/>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140" w:lineRule="exact"/>
        <w:rPr>
          <w:rFonts w:ascii="Arial" w:cs="Arial" w:eastAsia="Arial" w:hAnsi="Arial"/>
          <w:sz w:val="16"/>
          <w:szCs w:val="16"/>
          <w:color w:val="auto"/>
        </w:rPr>
      </w:pPr>
    </w:p>
    <w:p>
      <w:pPr>
        <w:ind w:left="680" w:hanging="26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bond or surety shall be required with respect to performance of Trustee’s duties and powers.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40"/>
          </w:cols>
          <w:pgMar w:left="880" w:top="274" w:right="479" w:bottom="1440" w:gutter="0" w:footer="0" w:header="0"/>
        </w:sectPr>
      </w:pPr>
    </w:p>
    <w:bookmarkStart w:id="69" w:name="page70"/>
    <w:bookmarkEnd w:id="69"/>
    <w:p>
      <w:pPr>
        <w:ind w:left="1080" w:hanging="221"/>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no circumstances shall the Trustee be liable in its individual capacity for the obligations evidenced by the Securities.</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w:t>
      </w:r>
      <w:r>
        <w:rPr>
          <w:rFonts w:ascii="Arial" w:cs="Arial" w:eastAsia="Arial" w:hAnsi="Arial"/>
          <w:sz w:val="18"/>
          <w:szCs w:val="18"/>
          <w:u w:val="single" w:color="auto"/>
          <w:color w:val="auto"/>
        </w:rPr>
        <w:t>Sections 7.10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7.11</w:t>
      </w:r>
      <w:r>
        <w:rPr>
          <w:rFonts w:ascii="Arial" w:cs="Arial" w:eastAsia="Arial" w:hAnsi="Arial"/>
          <w:sz w:val="18"/>
          <w:szCs w:val="18"/>
          <w:color w:val="auto"/>
        </w:rPr>
        <w:t>.</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shall not be responsible for and makes no representation as to the validity or adequacy of this Indenture or the Securities; the Trustee shall not be accountable for the Company’s use of the proceeds from the Securities, or any money paid to the Company or upon the Company’s direction under any provision of this Indenture; the Trustee shall not be responsible for the use or application of any money received by any Paying Agent other than the Trustee; and the Trustee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9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Notice of Defaults</w:t>
      </w:r>
      <w:r>
        <w:rPr>
          <w:rFonts w:ascii="Arial" w:cs="Arial" w:eastAsia="Arial" w:hAnsi="Arial"/>
          <w:sz w:val="17"/>
          <w:szCs w:val="17"/>
          <w:color w:val="auto"/>
        </w:rPr>
        <w:t>. 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Reports by Trustee to Holders</w:t>
      </w:r>
      <w:r>
        <w:rPr>
          <w:rFonts w:ascii="Arial" w:cs="Arial" w:eastAsia="Arial" w:hAnsi="Arial"/>
          <w:sz w:val="16"/>
          <w:szCs w:val="16"/>
          <w:color w:val="auto"/>
        </w:rPr>
        <w:t>. Within 60 days after each _________, commencing _______, 20____, the Trustee shall transmit by mail to all</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Securityholders, as their names and addresses appear on the register kept by the Registrar, a brief report dated as of such anniversary date, in accordance with, and to the extent required under, TIA § 313.</w:t>
      </w:r>
    </w:p>
    <w:p>
      <w:pPr>
        <w:spacing w:after="0" w:line="18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70" w:name="page71"/>
    <w:bookmarkEnd w:id="70"/>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65"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24"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When the Trustee incurs expenses or renders services after an Event of Default specified in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occurs, the expenses and the compensation for the services are intended to constitute expenses of administration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79" w:lineRule="exact"/>
        <w:rPr>
          <w:sz w:val="20"/>
          <w:szCs w:val="20"/>
          <w:color w:val="auto"/>
        </w:rPr>
      </w:pPr>
    </w:p>
    <w:p>
      <w:pPr>
        <w:ind w:left="1100" w:hanging="241"/>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20" w:right="20" w:hanging="4561"/>
        <w:spacing w:after="0" w:line="449" w:lineRule="auto"/>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 or an order for relief is entered with respect to the Trustee under any Bankruptcy Law; 26</w:t>
      </w:r>
    </w:p>
    <w:p>
      <w:pPr>
        <w:sectPr>
          <w:pgSz w:w="11900" w:h="16838" w:orient="portrait"/>
          <w:cols w:equalWidth="0" w:num="1">
            <w:col w:w="10980"/>
          </w:cols>
          <w:pgMar w:left="440" w:top="274" w:right="479" w:bottom="1440" w:gutter="0" w:footer="0" w:header="0"/>
        </w:sectPr>
      </w:pPr>
    </w:p>
    <w:bookmarkStart w:id="71" w:name="page72"/>
    <w:bookmarkEnd w:id="71"/>
    <w:p>
      <w:pPr>
        <w:ind w:left="1100" w:hanging="241"/>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A successor Trustee shall deliver a written acceptance of its appointment to the retiring Trustee and to the Company. Promptly after such acceptance, the retiring Trustee shall transfer all property held by it as Trustee to the successor Trustee subject to the lien provided for in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the Company’s obligations under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6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 xml:space="preserve">. 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This Indenture always shall have a Trustee who satisfies the requirements of TIA § 310(a) (1), (2) and (5). The Trustee always shall have a combined capital and surplus of at least $50,000,000 as set forth in its most recent published annual report of condition. The Trustee shall comply with TIA § 310(b).</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 The Trustee is subject to TIA § 311(a), excluding any creditor relationship listed in TIA § 311(b). A Trustee who has resigned or been removed shall be subject to TIA § 311(a) to the extent indicated.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either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72" w:name="page73"/>
    <w:bookmarkEnd w:id="72"/>
    <w:p>
      <w:pPr>
        <w:ind w:left="980" w:right="80" w:firstLine="408"/>
        <w:spacing w:after="0" w:line="277" w:lineRule="auto"/>
        <w:tabs>
          <w:tab w:leader="none" w:pos="1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160" w:firstLine="391"/>
        <w:spacing w:after="0" w:line="308" w:lineRule="auto"/>
        <w:tabs>
          <w:tab w:leader="none" w:pos="2058" w:val="left"/>
        </w:tabs>
        <w:numPr>
          <w:ilvl w:val="1"/>
          <w:numId w:val="60"/>
        </w:numPr>
        <w:rPr>
          <w:rFonts w:ascii="Arial" w:cs="Arial" w:eastAsia="Arial" w:hAnsi="Arial"/>
          <w:sz w:val="17"/>
          <w:szCs w:val="17"/>
          <w:color w:val="auto"/>
        </w:rPr>
      </w:pPr>
      <w:r>
        <w:rPr>
          <w:rFonts w:ascii="Arial" w:cs="Arial" w:eastAsia="Arial" w:hAnsi="Arial"/>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38" w:lineRule="exact"/>
        <w:rPr>
          <w:rFonts w:ascii="Arial" w:cs="Arial" w:eastAsia="Arial" w:hAnsi="Arial"/>
          <w:sz w:val="17"/>
          <w:szCs w:val="17"/>
          <w:color w:val="auto"/>
        </w:rPr>
      </w:pPr>
    </w:p>
    <w:p>
      <w:pPr>
        <w:ind w:left="2060" w:hanging="249"/>
        <w:spacing w:after="0"/>
        <w:tabs>
          <w:tab w:leader="none" w:pos="2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are deemed paid and discharged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as applicable;</w:t>
      </w:r>
    </w:p>
    <w:p>
      <w:pPr>
        <w:spacing w:after="0" w:line="117"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9" w:lineRule="exact"/>
        <w:rPr>
          <w:sz w:val="20"/>
          <w:szCs w:val="20"/>
          <w:color w:val="auto"/>
        </w:rPr>
      </w:pPr>
    </w:p>
    <w:p>
      <w:pPr>
        <w:ind w:left="1120" w:hanging="261"/>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440" w:right="420" w:firstLine="419"/>
        <w:spacing w:after="0" w:line="308" w:lineRule="auto"/>
        <w:tabs>
          <w:tab w:leader="none" w:pos="11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Notwithstanding the satisfaction and discharge of this Indenture, the obligations of the Company to the Trustee under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if money shall have been deposited with the Trustee pursuant to clause (a) of this Section, the provisions of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shall survive.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54" w:lineRule="auto"/>
        <w:tabs>
          <w:tab w:leader="none" w:pos="11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all money and U.S. Government Obligations or Foreign Government Obligations deposited with the Trustee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and all money received by the Trustee in respect of U.S. Government Obligations or Foreign Government Obligations deposited with the Trustee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8.4</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73" w:name="page74"/>
    <w:bookmarkEnd w:id="73"/>
    <w:p>
      <w:pPr>
        <w:ind w:left="440" w:firstLine="419"/>
        <w:spacing w:after="0" w:line="263"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pay and shall indemnify the Trustee against any tax, fee or other charge imposed on or assessed against U.S. Government Obligations or Foreign Government Obligations deposited pursuant to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left="440" w:right="40" w:firstLine="419"/>
        <w:spacing w:after="0" w:line="273" w:lineRule="auto"/>
        <w:tabs>
          <w:tab w:leader="none" w:pos="11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Trustee shall deliver or pay to the Company from time to time upon Company Order any U.S. Government Obligations or Foreign Government Obligations or money held by it as provided in </w:t>
      </w:r>
      <w:r>
        <w:rPr>
          <w:rFonts w:ascii="Arial" w:cs="Arial" w:eastAsia="Arial" w:hAnsi="Arial"/>
          <w:sz w:val="17"/>
          <w:szCs w:val="17"/>
          <w:u w:val="single" w:color="auto"/>
          <w:color w:val="auto"/>
        </w:rPr>
        <w:t>Sections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8"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 xml:space="preserve">. Unless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is otherwise specified,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80" w:lineRule="exact"/>
        <w:rPr>
          <w:sz w:val="20"/>
          <w:szCs w:val="20"/>
          <w:color w:val="auto"/>
        </w:rPr>
      </w:pPr>
    </w:p>
    <w:p>
      <w:pPr>
        <w:ind w:left="440" w:right="60" w:firstLine="419"/>
        <w:spacing w:after="0" w:line="301" w:lineRule="auto"/>
        <w:tabs>
          <w:tab w:leader="none" w:pos="11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2.7, 2.8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8.6</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440" w:right="40" w:firstLine="419"/>
        <w:spacing w:after="0" w:line="289" w:lineRule="auto"/>
        <w:tabs>
          <w:tab w:leader="none" w:pos="11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Company shall have irrevocably deposited or caused to be deposited (except as provided in </w:t>
      </w:r>
      <w:r>
        <w:rPr>
          <w:rFonts w:ascii="Arial" w:cs="Arial" w:eastAsia="Arial" w:hAnsi="Arial"/>
          <w:sz w:val="16"/>
          <w:szCs w:val="16"/>
          <w:u w:val="single" w:color="auto"/>
          <w:color w:val="auto"/>
        </w:rPr>
        <w:t>Section 8.2(c)</w:t>
      </w:r>
      <w:r>
        <w:rPr>
          <w:rFonts w:ascii="Arial" w:cs="Arial" w:eastAsia="Arial" w:hAnsi="Arial"/>
          <w:sz w:val="16"/>
          <w:szCs w:val="16"/>
          <w:color w:val="auto"/>
        </w:rPr>
        <w:t>)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74" w:name="page75"/>
    <w:bookmarkEnd w:id="74"/>
    <w:p>
      <w:pPr>
        <w:ind w:left="440" w:right="140" w:firstLine="419"/>
        <w:spacing w:after="0" w:line="277"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0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left="440" w:firstLine="419"/>
        <w:spacing w:after="0" w:line="273" w:lineRule="auto"/>
        <w:tabs>
          <w:tab w:leader="none" w:pos="11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69"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0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xml:space="preserve">. Unless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is otherwise specified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to be inapplicable to Securities of any Series, the Company may omit to comply with respect to the Securities of any Series with any term, provision or condition set forth under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and, unless otherwise specified therein, any additional covenants specified in a supplemental indenture for such Series of Securities or a Board Resolution or an Officer’s Certificate delivered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the failure to comply with any such covenants shall not constitute a Default or Event of Default with respect to such Series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the occurrence of any event specified in a supplemental indenture for such Series of Securities or a Board Resolution or an Officer’s Certificate delivered pursuant to </w:t>
      </w:r>
      <w:r>
        <w:rPr>
          <w:rFonts w:ascii="Arial" w:cs="Arial" w:eastAsia="Arial" w:hAnsi="Arial"/>
          <w:sz w:val="16"/>
          <w:szCs w:val="16"/>
          <w:u w:val="single" w:color="auto"/>
          <w:color w:val="auto"/>
        </w:rPr>
        <w:t>Section 2.2.18</w:t>
      </w:r>
      <w:r>
        <w:rPr>
          <w:rFonts w:ascii="Arial" w:cs="Arial" w:eastAsia="Arial" w:hAnsi="Arial"/>
          <w:sz w:val="16"/>
          <w:szCs w:val="16"/>
          <w:color w:val="auto"/>
        </w:rPr>
        <w:t xml:space="preserve">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57" w:lineRule="exact"/>
        <w:rPr>
          <w:sz w:val="20"/>
          <w:szCs w:val="20"/>
          <w:color w:val="auto"/>
        </w:rPr>
      </w:pPr>
    </w:p>
    <w:p>
      <w:pPr>
        <w:ind w:left="440" w:right="40" w:firstLine="419"/>
        <w:spacing w:after="0" w:line="293" w:lineRule="auto"/>
        <w:tabs>
          <w:tab w:leader="none" w:pos="1108"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with reference to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the Company has irrevocably deposited or caused to be irrevocably deposited (except as provided in </w:t>
      </w:r>
      <w:r>
        <w:rPr>
          <w:rFonts w:ascii="Arial" w:cs="Arial" w:eastAsia="Arial" w:hAnsi="Arial"/>
          <w:sz w:val="16"/>
          <w:szCs w:val="16"/>
          <w:u w:val="single" w:color="auto"/>
          <w:color w:val="auto"/>
        </w:rPr>
        <w:t>Section 8.2(c)</w:t>
      </w:r>
      <w:r>
        <w:rPr>
          <w:rFonts w:ascii="Arial" w:cs="Arial" w:eastAsia="Arial" w:hAnsi="Arial"/>
          <w:sz w:val="16"/>
          <w:szCs w:val="16"/>
          <w:color w:val="auto"/>
        </w:rPr>
        <w:t>)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5" w:name="page76"/>
    <w:bookmarkEnd w:id="75"/>
    <w:p>
      <w:pPr>
        <w:ind w:left="440"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63" w:lineRule="exact"/>
        <w:rPr>
          <w:sz w:val="20"/>
          <w:szCs w:val="20"/>
          <w:color w:val="auto"/>
        </w:rPr>
      </w:pPr>
    </w:p>
    <w:p>
      <w:pPr>
        <w:ind w:left="440" w:right="140" w:firstLine="419"/>
        <w:spacing w:after="0" w:line="277" w:lineRule="auto"/>
        <w:tabs>
          <w:tab w:leader="none" w:pos="11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02" w:lineRule="exact"/>
        <w:rPr>
          <w:rFonts w:ascii="Arial" w:cs="Arial" w:eastAsia="Arial" w:hAnsi="Arial"/>
          <w:sz w:val="16"/>
          <w:szCs w:val="16"/>
          <w:color w:val="auto"/>
        </w:rPr>
      </w:pPr>
    </w:p>
    <w:p>
      <w:pPr>
        <w:ind w:left="440" w:firstLine="419"/>
        <w:spacing w:after="0" w:line="293" w:lineRule="auto"/>
        <w:tabs>
          <w:tab w:leader="none" w:pos="111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56" w:lineRule="exact"/>
        <w:rPr>
          <w:rFonts w:ascii="Arial" w:cs="Arial" w:eastAsia="Arial" w:hAnsi="Arial"/>
          <w:sz w:val="16"/>
          <w:szCs w:val="16"/>
          <w:color w:val="auto"/>
        </w:rPr>
      </w:pPr>
    </w:p>
    <w:p>
      <w:pPr>
        <w:ind w:left="440" w:firstLine="419"/>
        <w:spacing w:after="0" w:line="277"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80" w:firstLine="419"/>
        <w:spacing w:after="0" w:line="308" w:lineRule="auto"/>
        <w:tabs>
          <w:tab w:leader="none" w:pos="108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 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or the Paying Agent is unable to apply any money deposited with respect to Securities of any Series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until such time as the Trustee or the Paying Agent is permitted to apply all such money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 AND WAIVERS</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 The Company and the Trustee may amend or supplement this Indenture or the Securities of one or more Series without the consent of any Securityholder:</w:t>
      </w:r>
    </w:p>
    <w:p>
      <w:pPr>
        <w:spacing w:after="0" w:line="62" w:lineRule="exact"/>
        <w:rPr>
          <w:sz w:val="20"/>
          <w:szCs w:val="20"/>
          <w:color w:val="auto"/>
        </w:rPr>
      </w:pPr>
    </w:p>
    <w:p>
      <w:pPr>
        <w:ind w:left="1100" w:hanging="241"/>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cure any ambiguity, defect or inconsistency as evidenced by an Officer’s Certificate;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ind w:left="440" w:firstLine="419"/>
        <w:spacing w:after="0" w:line="263" w:lineRule="auto"/>
        <w:tabs>
          <w:tab w:leader="none" w:pos="10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117" w:lineRule="exact"/>
        <w:rPr>
          <w:rFonts w:ascii="Arial" w:cs="Arial" w:eastAsia="Arial" w:hAnsi="Arial"/>
          <w:sz w:val="18"/>
          <w:szCs w:val="18"/>
          <w:color w:val="auto"/>
        </w:rPr>
      </w:pPr>
    </w:p>
    <w:p>
      <w:pPr>
        <w:jc w:val="both"/>
        <w:ind w:left="440" w:right="200" w:firstLine="419"/>
        <w:spacing w:after="0" w:line="286" w:lineRule="auto"/>
        <w:tabs>
          <w:tab w:leader="none" w:pos="107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57" w:lineRule="exact"/>
        <w:rPr>
          <w:rFonts w:ascii="Arial" w:cs="Arial" w:eastAsia="Arial" w:hAnsi="Arial"/>
          <w:sz w:val="17"/>
          <w:szCs w:val="17"/>
          <w:color w:val="auto"/>
        </w:rPr>
      </w:pPr>
    </w:p>
    <w:p>
      <w:pPr>
        <w:ind w:left="440" w:right="280" w:firstLine="419"/>
        <w:spacing w:after="0" w:line="277"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conform any provision of this Indenture, insofar as it relates to the Securities of such Series, to the description of the Securities of such Series in the prospectus supplement relating to the offering of the Securities of such Series.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0" w:right="499" w:bottom="1440" w:gutter="0" w:footer="0" w:header="0"/>
        </w:sectPr>
      </w:pPr>
    </w:p>
    <w:bookmarkStart w:id="77" w:name="page78"/>
    <w:bookmarkEnd w:id="77"/>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 </w:t>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 xml:space="preserve">. 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w:t>
      </w:r>
      <w:r>
        <w:rPr>
          <w:rFonts w:ascii="Arial" w:cs="Arial" w:eastAsia="Arial" w:hAnsi="Arial"/>
          <w:sz w:val="16"/>
          <w:szCs w:val="16"/>
          <w:u w:val="single" w:color="auto"/>
          <w:color w:val="auto"/>
        </w:rPr>
        <w:t>Section 6.13</w:t>
      </w:r>
      <w:r>
        <w:rPr>
          <w:rFonts w:ascii="Arial" w:cs="Arial" w:eastAsia="Arial" w:hAnsi="Arial"/>
          <w:sz w:val="16"/>
          <w:szCs w:val="16"/>
          <w:color w:val="auto"/>
        </w:rPr>
        <w:t>,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It shall not be necessary for the consent of the Holders of Securities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Limitations</w:t>
      </w:r>
      <w:r>
        <w:rPr>
          <w:rFonts w:ascii="Arial" w:cs="Arial" w:eastAsia="Arial" w:hAnsi="Arial"/>
          <w:sz w:val="18"/>
          <w:szCs w:val="18"/>
          <w:color w:val="auto"/>
        </w:rPr>
        <w:t>. 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make any change in </w:t>
      </w:r>
      <w:r>
        <w:rPr>
          <w:rFonts w:ascii="Arial" w:cs="Arial" w:eastAsia="Arial" w:hAnsi="Arial"/>
          <w:sz w:val="18"/>
          <w:szCs w:val="18"/>
          <w:u w:val="single" w:color="auto"/>
          <w:color w:val="auto"/>
        </w:rPr>
        <w:t>Sections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(this sentence);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78" w:name="page79"/>
    <w:bookmarkEnd w:id="78"/>
    <w:p>
      <w:pPr>
        <w:ind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 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 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 xml:space="preserve">Any amendment or waiver once effective shall bind every Securityholder of each Series affected by such amendment or waiver unless it is of the type described in any of clauses (a) through (h) of </w:t>
      </w:r>
      <w:r>
        <w:rPr>
          <w:rFonts w:ascii="Arial" w:cs="Arial" w:eastAsia="Arial" w:hAnsi="Arial"/>
          <w:sz w:val="16"/>
          <w:szCs w:val="16"/>
          <w:u w:val="single" w:color="auto"/>
          <w:color w:val="auto"/>
        </w:rPr>
        <w:t>Section 9.3</w:t>
      </w:r>
      <w:r>
        <w:rPr>
          <w:rFonts w:ascii="Arial" w:cs="Arial" w:eastAsia="Arial" w:hAnsi="Arial"/>
          <w:sz w:val="16"/>
          <w:szCs w:val="16"/>
          <w:color w:val="auto"/>
        </w:rPr>
        <w:t>.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Notation on or Exchange of Securities</w:t>
      </w:r>
      <w:r>
        <w:rPr>
          <w:rFonts w:ascii="Arial" w:cs="Arial" w:eastAsia="Arial" w:hAnsi="Arial"/>
          <w:sz w:val="17"/>
          <w:szCs w:val="17"/>
          <w:color w:val="auto"/>
        </w:rPr>
        <w:t xml:space="preserve">. 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new Securities of that Series that reflect the amendment or waiver.</w:t>
      </w:r>
    </w:p>
    <w:p>
      <w:pPr>
        <w:spacing w:after="0" w:line="16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Trustee Protected</w:t>
      </w:r>
      <w:r>
        <w:rPr>
          <w:rFonts w:ascii="Arial" w:cs="Arial" w:eastAsia="Arial" w:hAnsi="Arial"/>
          <w:sz w:val="16"/>
          <w:szCs w:val="16"/>
          <w:color w:val="auto"/>
        </w:rPr>
        <w:t xml:space="preserve">. In executing, or accepting the additional trusts created by, any supplemental indenture permitted by this Article or the modifications thereby of the trusts created by this Indenture, the Trustee shall be entitled to receive, and (subject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fully protected in relying upon, an Officer’s Certificate or an Opinion of Counsel or both complying with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4514 Cole Avenue, Suite 1600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Dallas, Texas 75205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Amanda Coussens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Baker &amp; Hostetler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 Rockefeller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10111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Adam Finerman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177800</wp:posOffset>
            </wp:positionV>
            <wp:extent cx="13709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137096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314960</wp:posOffset>
            </wp:positionV>
            <wp:extent cx="13709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137096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452120</wp:posOffset>
            </wp:positionV>
            <wp:extent cx="13709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-10160</wp:posOffset>
            </wp:positionV>
            <wp:extent cx="8566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9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62"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Company sends a notice or communication to Securityholders, it shall send a copy to the Trustee and each Agent at the same time.</w:t>
      </w:r>
    </w:p>
    <w:p>
      <w:pPr>
        <w:spacing w:after="0" w:line="129"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jc w:val="both"/>
        <w:ind w:right="540" w:firstLine="440"/>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0" w:right="479" w:bottom="1440" w:gutter="0" w:footer="0" w:header="0"/>
        </w:sectPr>
      </w:pPr>
    </w:p>
    <w:bookmarkStart w:id="80" w:name="page81"/>
    <w:bookmarkEnd w:id="80"/>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62" w:lineRule="exact"/>
        <w:rPr>
          <w:sz w:val="20"/>
          <w:szCs w:val="20"/>
          <w:color w:val="auto"/>
        </w:rPr>
      </w:pPr>
    </w:p>
    <w:p>
      <w:pPr>
        <w:ind w:left="440" w:firstLine="419"/>
        <w:spacing w:after="0" w:line="277" w:lineRule="auto"/>
        <w:tabs>
          <w:tab w:leader="none" w:pos="11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jc w:val="both"/>
        <w:ind w:right="120" w:firstLine="440"/>
        <w:spacing w:after="0" w:line="34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 Each certificate or opinion with respect to compliance with a condition or covenant provided for in this Indenture (other than a certificate provided pursuant to TIA § 314(a)(4)) shall comply with the provisions of TIA § 314(e) and shall include:</w:t>
      </w:r>
    </w:p>
    <w:p>
      <w:pPr>
        <w:spacing w:after="0" w:line="16" w:lineRule="exact"/>
        <w:rPr>
          <w:sz w:val="20"/>
          <w:szCs w:val="20"/>
          <w:color w:val="auto"/>
        </w:rPr>
      </w:pPr>
    </w:p>
    <w:p>
      <w:pPr>
        <w:ind w:left="1100" w:hanging="241"/>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 The Trustee may make reasonable rules for action by or a meeting of Securityholders of one or more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Agent may make reasonable rules and set reasonable requirements for its functions.</w:t>
      </w:r>
    </w:p>
    <w:p>
      <w:pPr>
        <w:spacing w:after="0" w:line="211"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Legal Holidays</w:t>
      </w:r>
      <w:r>
        <w:rPr>
          <w:rFonts w:ascii="Arial" w:cs="Arial" w:eastAsia="Arial" w:hAnsi="Arial"/>
          <w:sz w:val="16"/>
          <w:szCs w:val="16"/>
          <w:color w:val="auto"/>
        </w:rPr>
        <w:t>. A “</w:t>
      </w:r>
      <w:r>
        <w:rPr>
          <w:rFonts w:ascii="Arial" w:cs="Arial" w:eastAsia="Arial" w:hAnsi="Arial"/>
          <w:sz w:val="16"/>
          <w:szCs w:val="16"/>
          <w:i w:val="1"/>
          <w:iCs w:val="1"/>
          <w:color w:val="auto"/>
        </w:rPr>
        <w:t>Legal Holiday</w:t>
      </w:r>
      <w:r>
        <w:rPr>
          <w:rFonts w:ascii="Arial" w:cs="Arial" w:eastAsia="Arial" w:hAnsi="Arial"/>
          <w:sz w:val="16"/>
          <w:szCs w:val="16"/>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24"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81" w:name="page82"/>
    <w:bookmarkEnd w:id="81"/>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 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9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This Indenture may not be used to interpret another indenture, loan or debt agreement of the Company or a Subsidiary of the Company. Any such indenture, loan or debt agreement may not be used to interpret this Indenture.</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4"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Securities in a Foreign Currency</w:t>
      </w:r>
      <w:r>
        <w:rPr>
          <w:rFonts w:ascii="Arial" w:cs="Arial" w:eastAsia="Arial" w:hAnsi="Arial"/>
          <w:sz w:val="17"/>
          <w:szCs w:val="17"/>
          <w:color w:val="auto"/>
        </w:rPr>
        <w:t xml:space="preserve">. Unless otherwise specified in a Board Resolution, a supplemental indenture hereto or an Officer’s Certificate delivered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82" w:name="page83"/>
    <w:bookmarkEnd w:id="82"/>
    <w:p>
      <w:pPr>
        <w:ind w:left="4"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designated upon issuance of any particular Series of Securities. Unless otherwise specified in a Board Resolution, a supplemental indenture hereto or an Officer’s Certificate delivered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w:t>
      </w:r>
    </w:p>
    <w:p>
      <w:pPr>
        <w:spacing w:after="0" w:line="2" w:lineRule="exact"/>
        <w:rPr>
          <w:sz w:val="20"/>
          <w:szCs w:val="20"/>
          <w:color w:val="auto"/>
        </w:rPr>
      </w:pPr>
    </w:p>
    <w:p>
      <w:pPr>
        <w:ind w:left="4" w:hanging="4"/>
        <w:spacing w:after="0" w:line="251" w:lineRule="auto"/>
        <w:tabs>
          <w:tab w:leader="none" w:pos="2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8"/>
          <w:szCs w:val="18"/>
          <w:i w:val="1"/>
          <w:iCs w:val="1"/>
          <w:color w:val="auto"/>
        </w:rPr>
        <w:t>New York Banking Day</w:t>
      </w:r>
      <w:r>
        <w:rPr>
          <w:rFonts w:ascii="Arial" w:cs="Arial" w:eastAsia="Arial" w:hAnsi="Arial"/>
          <w:sz w:val="18"/>
          <w:szCs w:val="18"/>
          <w:color w:val="auto"/>
        </w:rPr>
        <w:t>” means any day except a Saturday, Sunday or a Legal Holiday in the City of New York on which banking institutions are authorized or required by law, regulation or executive order to close.</w:t>
      </w:r>
    </w:p>
    <w:p>
      <w:pPr>
        <w:spacing w:after="0" w:line="198"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6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4" w:right="4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any sinking fund for the retirement of the Securities of a Series if so provided by the terms of such Securities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except as otherwise permitted or required by any form of Security of such Series issued pursuant to this Indenture.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11.2</w:t>
      </w:r>
      <w:r>
        <w:rPr>
          <w:rFonts w:ascii="Arial" w:cs="Arial" w:eastAsia="Arial" w:hAnsi="Arial"/>
          <w:sz w:val="18"/>
          <w:szCs w:val="18"/>
          <w:color w:val="auto"/>
        </w:rPr>
        <w:t>.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 xml:space="preserve">. 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76"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xml:space="preserve">. 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w:t>
      </w:r>
      <w:r>
        <w:rPr>
          <w:rFonts w:ascii="Arial" w:cs="Arial" w:eastAsia="Arial" w:hAnsi="Arial"/>
          <w:sz w:val="17"/>
          <w:szCs w:val="17"/>
          <w:u w:val="single" w:color="auto"/>
          <w:color w:val="auto"/>
        </w:rPr>
        <w:t>Section 11.2</w:t>
      </w:r>
      <w:r>
        <w:rPr>
          <w:rFonts w:ascii="Arial" w:cs="Arial" w:eastAsia="Arial" w:hAnsi="Arial"/>
          <w:sz w:val="17"/>
          <w:szCs w:val="17"/>
          <w:color w:val="auto"/>
        </w:rPr>
        <w:t>,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84" w:name="page85"/>
    <w:bookmarkEnd w:id="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redeemed upon such sinking fund payment date will be selected in the manner specified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the Company shall send or cause to be sent a notice of the redemption thereof to be given in the name of and at the expense of the Company in the manner provided in and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Such notice having been duly given, the redemption of such Securities shall be made upon the terms and in the manner stated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3.6</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day and year first above written.</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440" w:top="274" w:right="519" w:bottom="1440" w:gutter="0" w:footer="0" w:header="0"/>
        </w:sectPr>
      </w:pPr>
    </w:p>
    <w:bookmarkStart w:id="85" w:name="page86"/>
    <w:bookmarkEnd w:id="85"/>
    <w:p>
      <w:pPr>
        <w:ind w:left="10220"/>
        <w:spacing w:after="0"/>
        <w:rPr>
          <w:sz w:val="20"/>
          <w:szCs w:val="20"/>
          <w:color w:val="auto"/>
        </w:rPr>
      </w:pPr>
      <w:r>
        <w:rPr>
          <w:rFonts w:ascii="Arial" w:cs="Arial" w:eastAsia="Arial" w:hAnsi="Arial"/>
          <w:sz w:val="17"/>
          <w:szCs w:val="17"/>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179133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791335" cy="240030"/>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570865</wp:posOffset>
            </wp:positionV>
            <wp:extent cx="1208405" cy="8312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1208405" cy="83121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November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4514 Cole Ave.,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We have acted as counsel to P10, Inc., a Delaware corporation (the “Company”), in connection with the filing of the Company’s Registration Statement on Form S-3 (the “Registration Statement”) with the Securities and Exchange Commission (the “Commission”) under the Securities Act of 1933, as amended (the “Act”).</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shares of the Company’s Class A common stock, $0.001 par value per share (the “Common Stock”), shares of the Company’s preferred stock, $0.001 par value per share (the “Preferred Stock”), the Company’s debt securities (the “Debt Securities”), depositary shares (the “Depositary Shares”) of the Company representing a fractional interest in a share of Preferred Stock of the Company, warrants to purchase any of the securities described above (the “Warrants”), subscription rights to purchase the Company’s Common Stock, Preferred Stock, Warrants or Debt Securities or units consisting of some or all of these securities (the “Subscription Rights”), purchase contracts of the Company with respect to the securities of the Company or securities of an unaffiliated entity (the “Purchase Contracts”), and units consisting of any of the securities described above in any combination (the “Units” and together with the Common Stock, the Preferred Stock, the Debt Securities, the Depositary Shares, the Warrants, the Subscription Rights, and the Purchase Contracts are collectively referred to herein as the “Securities”).</w:t>
      </w:r>
    </w:p>
    <w:p>
      <w:pPr>
        <w:spacing w:after="0" w:line="182"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The Securities are to be sold from time to time as set forth in the Registration Statement, the Prospectus contained therein and the Prospectus Supplements. The Debt Securities are to be issued pursuant to a debt securities indenture (the “Indenture”), the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subscription or similar agreement in substantially the form to be filed under a Current Report on Form 8-K. The Debt Securities are to be issued in the forms set forth in the Indenture. The Indenture may be supplemented, as applicable, in connection with the issuance of each such series of Debt Securities, by a supplemental indenture or other appropriate action of the Company creating such series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139065</wp:posOffset>
            </wp:positionV>
            <wp:extent cx="4671695"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4671695" cy="22288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type w:val="continuous"/>
        </w:sectPr>
      </w:pPr>
    </w:p>
    <w:bookmarkStart w:id="86" w:name="page87"/>
    <w:bookmarkEnd w:id="86"/>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and remain effective under the Act at the time of issuance and sale of the Securities; (v) that a Prospectus Supplement will have been filed with the Commission describing the Securities offered thereby; (vi) that the Securities will be issued and sold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with respect to shares of Common Stock or Preferred Stock offered, that there will be sufficient shares of Common Stock or Preferred Stock authorized under the Company’s organizational documents that are not otherwise reserved for issuance; and (x)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such examination, we are of the opinion that:</w:t>
      </w:r>
    </w:p>
    <w:p>
      <w:pPr>
        <w:spacing w:after="0" w:line="117" w:lineRule="exact"/>
        <w:rPr>
          <w:sz w:val="20"/>
          <w:szCs w:val="20"/>
          <w:color w:val="auto"/>
        </w:rPr>
      </w:pPr>
    </w:p>
    <w:p>
      <w:pPr>
        <w:ind w:right="20" w:firstLine="436"/>
        <w:spacing w:after="0" w:line="271" w:lineRule="auto"/>
        <w:tabs>
          <w:tab w:leader="none" w:pos="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With respect to shares of the Common Stock to be sold by the Company,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delivered either (i) in accordance with the applicable definitive purchase, underwriting, subscription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70" w:lineRule="exact"/>
        <w:rPr>
          <w:rFonts w:ascii="Arial" w:cs="Arial" w:eastAsia="Arial" w:hAnsi="Arial"/>
          <w:sz w:val="17"/>
          <w:szCs w:val="17"/>
          <w:color w:val="auto"/>
        </w:rPr>
      </w:pPr>
    </w:p>
    <w:p>
      <w:pPr>
        <w:ind w:right="60" w:firstLine="436"/>
        <w:spacing w:after="0" w:line="255" w:lineRule="auto"/>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General Corporation Law of the State of Delaware (a “Certificate”) and the filing of the Certificate with the Secretary of State of the State of Delaware; and (b) the shares of Preferred Stock have been delivered either (i) in accordance with the applicable definitive purchase, underwriting, subscription or similar agreement approved by the Board, or upon the exercise of Warrants to purchase Preferred Stock,</w:t>
      </w:r>
    </w:p>
    <w:p>
      <w:pPr>
        <w:sectPr>
          <w:pgSz w:w="11900" w:h="16838" w:orient="portrait"/>
          <w:cols w:equalWidth="0" w:num="1">
            <w:col w:w="10980"/>
          </w:cols>
          <w:pgMar w:left="440" w:top="274" w:right="479" w:bottom="1440" w:gutter="0" w:footer="0" w:header="0"/>
        </w:sectPr>
      </w:pPr>
    </w:p>
    <w:bookmarkStart w:id="87" w:name="page88"/>
    <w:bookmarkEnd w:id="87"/>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payment of the consideration therefor (not less than the par value of the Preferred Stock) provided for therein or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57" w:lineRule="exact"/>
        <w:rPr>
          <w:sz w:val="20"/>
          <w:szCs w:val="20"/>
          <w:color w:val="auto"/>
        </w:rPr>
      </w:pPr>
    </w:p>
    <w:p>
      <w:pPr>
        <w:ind w:right="40" w:firstLine="436"/>
        <w:spacing w:after="0" w:line="270" w:lineRule="auto"/>
        <w:tabs>
          <w:tab w:leader="none" w:pos="6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With respect to Debt Securities to be issued under the Indenture, when: (a) the Trustee is qualified to act as Trustee under the Indenture, and the Company has filed respective Forms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subscription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Indenture;</w:t>
      </w:r>
    </w:p>
    <w:p>
      <w:pPr>
        <w:spacing w:after="0" w:line="72" w:lineRule="exact"/>
        <w:rPr>
          <w:rFonts w:ascii="Arial" w:cs="Arial" w:eastAsia="Arial" w:hAnsi="Arial"/>
          <w:sz w:val="17"/>
          <w:szCs w:val="17"/>
          <w:color w:val="auto"/>
        </w:rPr>
      </w:pPr>
    </w:p>
    <w:p>
      <w:pPr>
        <w:ind w:right="100" w:firstLine="436"/>
        <w:spacing w:after="0" w:line="288" w:lineRule="auto"/>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subscription or similar agreement approved by the Board upon payment of the consideration therefor provided for therein, the Depositary Shares will be validly issued, fully paid and nonassessable, and entitled to the rights specified in the Deposit Agreement;</w:t>
      </w:r>
    </w:p>
    <w:p>
      <w:pPr>
        <w:spacing w:after="0" w:line="60" w:lineRule="exact"/>
        <w:rPr>
          <w:rFonts w:ascii="Arial" w:cs="Arial" w:eastAsia="Arial" w:hAnsi="Arial"/>
          <w:sz w:val="16"/>
          <w:szCs w:val="16"/>
          <w:color w:val="auto"/>
        </w:rPr>
      </w:pPr>
    </w:p>
    <w:p>
      <w:pPr>
        <w:ind w:firstLine="436"/>
        <w:spacing w:after="0" w:line="296" w:lineRule="auto"/>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subscription, warrant or similar agreement duly authorized, executed and delivered by the Company and a warrant agent, as applicable,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w:t>
      </w:r>
    </w:p>
    <w:p>
      <w:pPr>
        <w:sectPr>
          <w:pgSz w:w="11900" w:h="16838" w:orient="portrait"/>
          <w:cols w:equalWidth="0" w:num="1">
            <w:col w:w="11000"/>
          </w:cols>
          <w:pgMar w:left="440" w:top="274" w:right="459" w:bottom="1440" w:gutter="0" w:footer="0" w:header="0"/>
        </w:sectPr>
      </w:pPr>
    </w:p>
    <w:bookmarkStart w:id="88" w:name="page89"/>
    <w:bookmarkEnd w:id="88"/>
    <w:p>
      <w:pPr>
        <w:ind w:right="40" w:firstLine="436"/>
        <w:spacing w:after="0" w:line="279" w:lineRule="auto"/>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then the Subscription Rights will be valid and binding obligations of the Company, enforceable against the Company in accordance with their terms;</w:t>
      </w:r>
    </w:p>
    <w:p>
      <w:pPr>
        <w:spacing w:after="0" w:line="63" w:lineRule="exact"/>
        <w:rPr>
          <w:rFonts w:ascii="Arial" w:cs="Arial" w:eastAsia="Arial" w:hAnsi="Arial"/>
          <w:sz w:val="17"/>
          <w:szCs w:val="17"/>
          <w:color w:val="auto"/>
        </w:rPr>
      </w:pPr>
    </w:p>
    <w:p>
      <w:pPr>
        <w:ind w:right="20" w:firstLine="436"/>
        <w:spacing w:after="0" w:line="293" w:lineRule="auto"/>
        <w:tabs>
          <w:tab w:leader="none" w:pos="6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 respect to the Units, when both: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be validly issued and will constitute valid and binding obligations of the Company, enforceable against the Company in accordance with their terms.</w:t>
      </w:r>
    </w:p>
    <w:p>
      <w:pPr>
        <w:spacing w:after="0" w:line="16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Our opinion that any document is legal, valid and binding is qualified as to: (a) limitations imposed by bankruptcy, insolvency, reorganization, arrangement, fraudulent conveyance, moratorium or other laws relating to or affecting the rights of creditors generally; (b) rights to indemnification and contribution, which may be limited by applicable law or equitable principles; and (c)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express no opinion as to the laws of any other jurisdiction, other than the federal laws of the United States of America, the State of New York as to the enforceability of the Debt Securities and the General Corporation Law of the State of Delaware.</w:t>
      </w:r>
    </w:p>
    <w:p>
      <w:pPr>
        <w:spacing w:after="0" w:line="17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We hereby consent to the filing of this letter as Exhibit 5.1 to the Registration Statement. In giving such consent, we do not hereby admit that we are in the category of persons whose consent is required under Section 7 of the Act or the rules and regulations of the Commission.</w:t>
      </w:r>
    </w:p>
    <w:p>
      <w:pPr>
        <w:spacing w:after="0" w:line="1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Baker &amp; Hostetler, LLP</w:t>
      </w:r>
    </w:p>
    <w:p>
      <w:pPr>
        <w:sectPr>
          <w:pgSz w:w="11900" w:h="16838" w:orient="portrait"/>
          <w:cols w:equalWidth="0" w:num="1">
            <w:col w:w="10940"/>
          </w:cols>
          <w:pgMar w:left="440" w:top="274" w:right="5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consent to the use of our report dated March 18, 2022, with respect to the consolidated financial statements of P10, Inc., incorporated herein by reference and to the reference to our firm under the heading “Experts” in the prospectus.</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2022</w:t>
      </w:r>
    </w:p>
    <w:p>
      <w:pPr>
        <w:sectPr>
          <w:pgSz w:w="11900" w:h="16838" w:orient="portrait"/>
          <w:cols w:equalWidth="0" w:num="1">
            <w:col w:w="11020"/>
          </w:cols>
          <w:pgMar w:left="440" w:top="121" w:right="4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32" w:lineRule="exact"/>
        <w:rPr>
          <w:sz w:val="20"/>
          <w:szCs w:val="20"/>
          <w:color w:val="auto"/>
        </w:rPr>
      </w:pPr>
    </w:p>
    <w:p>
      <w:pPr>
        <w:ind w:left="4044"/>
        <w:spacing w:after="0"/>
        <w:rPr>
          <w:sz w:val="20"/>
          <w:szCs w:val="20"/>
          <w:color w:val="auto"/>
        </w:rPr>
      </w:pPr>
      <w:r>
        <w:rPr>
          <w:rFonts w:ascii="Arial" w:cs="Arial" w:eastAsia="Arial" w:hAnsi="Arial"/>
          <w:sz w:val="22"/>
          <w:szCs w:val="22"/>
          <w:b w:val="1"/>
          <w:bCs w:val="1"/>
          <w:color w:val="auto"/>
        </w:rPr>
        <w:t>Calculation of Filing Fee Tables</w:t>
      </w:r>
    </w:p>
    <w:p>
      <w:pPr>
        <w:spacing w:after="0" w:line="206" w:lineRule="exact"/>
        <w:rPr>
          <w:sz w:val="20"/>
          <w:szCs w:val="20"/>
          <w:color w:val="auto"/>
        </w:rPr>
      </w:pPr>
    </w:p>
    <w:p>
      <w:pPr>
        <w:ind w:left="5064"/>
        <w:spacing w:after="0"/>
        <w:rPr>
          <w:sz w:val="20"/>
          <w:szCs w:val="20"/>
          <w:color w:val="auto"/>
        </w:rPr>
      </w:pPr>
      <w:r>
        <w:rPr>
          <w:rFonts w:ascii="Arial" w:cs="Arial" w:eastAsia="Arial" w:hAnsi="Arial"/>
          <w:sz w:val="22"/>
          <w:szCs w:val="22"/>
          <w:b w:val="1"/>
          <w:bCs w:val="1"/>
          <w:u w:val="single" w:color="auto"/>
          <w:color w:val="auto"/>
        </w:rPr>
        <w:t>Form S-3</w:t>
      </w:r>
    </w:p>
    <w:p>
      <w:pPr>
        <w:spacing w:after="0" w:line="14"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(Form Type)</w:t>
      </w:r>
    </w:p>
    <w:p>
      <w:pPr>
        <w:spacing w:after="0" w:line="182" w:lineRule="exact"/>
        <w:rPr>
          <w:sz w:val="20"/>
          <w:szCs w:val="20"/>
          <w:color w:val="auto"/>
        </w:rPr>
      </w:pPr>
    </w:p>
    <w:p>
      <w:pPr>
        <w:ind w:left="5104"/>
        <w:spacing w:after="0"/>
        <w:rPr>
          <w:sz w:val="20"/>
          <w:szCs w:val="20"/>
          <w:color w:val="auto"/>
        </w:rPr>
      </w:pPr>
      <w:r>
        <w:rPr>
          <w:rFonts w:ascii="Arial" w:cs="Arial" w:eastAsia="Arial" w:hAnsi="Arial"/>
          <w:sz w:val="22"/>
          <w:szCs w:val="22"/>
          <w:b w:val="1"/>
          <w:bCs w:val="1"/>
          <w:u w:val="single" w:color="auto"/>
          <w:color w:val="auto"/>
        </w:rPr>
        <w:t>P10, Inc.</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(Exact Name of Registrant as Specified in its Charter)</w:t>
      </w:r>
    </w:p>
    <w:p>
      <w:pPr>
        <w:spacing w:after="0" w:line="1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1460" w:type="dxa"/>
            <w:vAlign w:val="bottom"/>
            <w:tcBorders>
              <w:top w:val="single" w:sz="8" w:color="auto"/>
              <w:left w:val="single" w:sz="8" w:color="auto"/>
            </w:tcBorders>
          </w:tcPr>
          <w:p>
            <w:pPr>
              <w:spacing w:after="0"/>
              <w:rPr>
                <w:sz w:val="12"/>
                <w:szCs w:val="12"/>
                <w:color w:val="auto"/>
              </w:rPr>
            </w:pPr>
          </w:p>
        </w:tc>
        <w:tc>
          <w:tcPr>
            <w:tcW w:w="4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Proposed</w:t>
            </w:r>
          </w:p>
        </w:tc>
        <w:tc>
          <w:tcPr>
            <w:tcW w:w="9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1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9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2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87"/>
              </w:rPr>
              <w:t>Amount to be</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9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Title of Securities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82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w w:val="98"/>
              </w:rPr>
              <w:t>Registered</w:t>
            </w:r>
          </w:p>
        </w:tc>
        <w:tc>
          <w:tcPr>
            <w:tcW w:w="680" w:type="dxa"/>
            <w:vAlign w:val="bottom"/>
            <w:tcBorders>
              <w:right w:val="single" w:sz="8" w:color="auto"/>
            </w:tcBorders>
          </w:tcPr>
          <w:p>
            <w:pPr>
              <w:ind w:left="220"/>
              <w:spacing w:after="0" w:line="135" w:lineRule="exact"/>
              <w:rPr>
                <w:sz w:val="20"/>
                <w:szCs w:val="20"/>
                <w:color w:val="auto"/>
              </w:rPr>
            </w:pPr>
            <w:r>
              <w:rPr>
                <w:rFonts w:ascii="Arial" w:cs="Arial" w:eastAsia="Arial" w:hAnsi="Arial"/>
                <w:sz w:val="13"/>
                <w:szCs w:val="13"/>
                <w:color w:val="auto"/>
              </w:rPr>
              <w:t>Share</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900" w:type="dxa"/>
            <w:vAlign w:val="bottom"/>
            <w:tcBorders>
              <w:right w:val="single" w:sz="8" w:color="auto"/>
            </w:tcBorders>
          </w:tcPr>
          <w:p>
            <w:pPr>
              <w:ind w:left="380"/>
              <w:spacing w:after="0" w:line="135" w:lineRule="exact"/>
              <w:rPr>
                <w:sz w:val="20"/>
                <w:szCs w:val="20"/>
                <w:color w:val="auto"/>
              </w:rPr>
            </w:pPr>
            <w:r>
              <w:rPr>
                <w:rFonts w:ascii="Arial" w:cs="Arial" w:eastAsia="Arial" w:hAnsi="Arial"/>
                <w:sz w:val="13"/>
                <w:szCs w:val="13"/>
                <w:color w:val="auto"/>
              </w:rPr>
              <w:t>Fee</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bottom w:val="single" w:sz="8" w:color="auto"/>
            </w:tcBorders>
          </w:tcPr>
          <w:p>
            <w:pPr>
              <w:jc w:val="center"/>
              <w:ind w:left="552"/>
              <w:spacing w:after="0"/>
              <w:rPr>
                <w:sz w:val="20"/>
                <w:szCs w:val="20"/>
                <w:color w:val="auto"/>
              </w:rPr>
            </w:pPr>
            <w:r>
              <w:rPr>
                <w:rFonts w:ascii="Arial" w:cs="Arial" w:eastAsia="Arial" w:hAnsi="Arial"/>
                <w:sz w:val="13"/>
                <w:szCs w:val="13"/>
                <w:color w:val="auto"/>
                <w:w w:val="88"/>
              </w:rPr>
              <w:t>Security Type</w:t>
            </w:r>
          </w:p>
        </w:tc>
        <w:tc>
          <w:tcPr>
            <w:tcW w:w="4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to be Registered</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Rule</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(2)(3)</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(2)(4)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Price (4)(5)</w:t>
            </w:r>
          </w:p>
        </w:tc>
        <w:tc>
          <w:tcPr>
            <w:tcW w:w="9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10"/>
        </w:trPr>
        <w:tc>
          <w:tcPr>
            <w:tcW w:w="1460" w:type="dxa"/>
            <w:vAlign w:val="bottom"/>
            <w:tcBorders>
              <w:left w:val="single" w:sz="8" w:color="auto"/>
            </w:tcBorders>
          </w:tcPr>
          <w:p>
            <w:pPr>
              <w:jc w:val="center"/>
              <w:ind w:left="552"/>
              <w:spacing w:after="0"/>
              <w:rPr>
                <w:sz w:val="20"/>
                <w:szCs w:val="20"/>
                <w:color w:val="auto"/>
              </w:rPr>
            </w:pPr>
            <w:r>
              <w:rPr>
                <w:rFonts w:ascii="Arial" w:cs="Arial" w:eastAsia="Arial" w:hAnsi="Arial"/>
                <w:sz w:val="18"/>
                <w:szCs w:val="18"/>
                <w:color w:val="auto"/>
                <w:w w:val="96"/>
              </w:rPr>
              <w:t>Equity (1)</w:t>
            </w: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Class A</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par</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value $0.001</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460" w:type="dxa"/>
            <w:vAlign w:val="bottom"/>
            <w:tcBorders>
              <w:left w:val="single" w:sz="8" w:color="auto"/>
            </w:tcBorders>
          </w:tcPr>
          <w:p>
            <w:pPr>
              <w:jc w:val="center"/>
              <w:ind w:left="552"/>
              <w:spacing w:after="0"/>
              <w:rPr>
                <w:sz w:val="20"/>
                <w:szCs w:val="20"/>
                <w:color w:val="auto"/>
              </w:rPr>
            </w:pPr>
            <w:r>
              <w:rPr>
                <w:rFonts w:ascii="Arial" w:cs="Arial" w:eastAsia="Arial" w:hAnsi="Arial"/>
                <w:sz w:val="18"/>
                <w:szCs w:val="18"/>
                <w:color w:val="auto"/>
                <w:w w:val="96"/>
              </w:rPr>
              <w:t>Equity (1)</w:t>
            </w: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Preferred</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par</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value $0.001</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460" w:type="dxa"/>
            <w:vAlign w:val="bottom"/>
            <w:tcBorders>
              <w:left w:val="single" w:sz="8" w:color="auto"/>
            </w:tcBorders>
          </w:tcPr>
          <w:p>
            <w:pPr>
              <w:jc w:val="center"/>
              <w:ind w:left="552"/>
              <w:spacing w:after="0"/>
              <w:rPr>
                <w:sz w:val="20"/>
                <w:szCs w:val="20"/>
                <w:color w:val="auto"/>
              </w:rPr>
            </w:pPr>
            <w:r>
              <w:rPr>
                <w:rFonts w:ascii="Arial" w:cs="Arial" w:eastAsia="Arial" w:hAnsi="Arial"/>
                <w:sz w:val="18"/>
                <w:szCs w:val="18"/>
                <w:color w:val="auto"/>
                <w:w w:val="96"/>
              </w:rPr>
              <w:t>Equity (1)</w:t>
            </w: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Depositary</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7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60" w:type="dxa"/>
            <w:vAlign w:val="bottom"/>
            <w:tcBorders>
              <w:left w:val="single" w:sz="8" w:color="auto"/>
            </w:tcBorders>
          </w:tcPr>
          <w:p>
            <w:pPr>
              <w:jc w:val="center"/>
              <w:ind w:left="532"/>
              <w:spacing w:after="0"/>
              <w:rPr>
                <w:sz w:val="20"/>
                <w:szCs w:val="20"/>
                <w:color w:val="auto"/>
              </w:rPr>
            </w:pPr>
            <w:r>
              <w:rPr>
                <w:rFonts w:ascii="Arial" w:cs="Arial" w:eastAsia="Arial" w:hAnsi="Arial"/>
                <w:sz w:val="18"/>
                <w:szCs w:val="18"/>
                <w:color w:val="auto"/>
                <w:w w:val="92"/>
              </w:rPr>
              <w:t>Debt (1)</w:t>
            </w: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jc w:val="center"/>
              <w:ind w:left="552"/>
              <w:spacing w:after="0"/>
              <w:rPr>
                <w:sz w:val="20"/>
                <w:szCs w:val="20"/>
                <w:color w:val="auto"/>
              </w:rPr>
            </w:pPr>
            <w:r>
              <w:rPr>
                <w:rFonts w:ascii="Arial" w:cs="Arial" w:eastAsia="Arial" w:hAnsi="Arial"/>
                <w:sz w:val="18"/>
                <w:szCs w:val="18"/>
                <w:color w:val="auto"/>
                <w:w w:val="91"/>
              </w:rPr>
              <w:t>Other (1)</w:t>
            </w: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Warrants</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460" w:type="dxa"/>
            <w:vAlign w:val="bottom"/>
            <w:tcBorders>
              <w:left w:val="single" w:sz="8" w:color="auto"/>
            </w:tcBorders>
          </w:tcPr>
          <w:p>
            <w:pPr>
              <w:jc w:val="center"/>
              <w:ind w:left="552"/>
              <w:spacing w:after="0"/>
              <w:rPr>
                <w:sz w:val="20"/>
                <w:szCs w:val="20"/>
                <w:color w:val="auto"/>
              </w:rPr>
            </w:pPr>
            <w:r>
              <w:rPr>
                <w:rFonts w:ascii="Arial" w:cs="Arial" w:eastAsia="Arial" w:hAnsi="Arial"/>
                <w:sz w:val="18"/>
                <w:szCs w:val="18"/>
                <w:color w:val="auto"/>
                <w:w w:val="91"/>
              </w:rPr>
              <w:t>Other (1)</w:t>
            </w: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Subscription</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Rights</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460" w:type="dxa"/>
            <w:vAlign w:val="bottom"/>
            <w:tcBorders>
              <w:left w:val="single" w:sz="8" w:color="auto"/>
            </w:tcBorders>
          </w:tcPr>
          <w:p>
            <w:pPr>
              <w:jc w:val="center"/>
              <w:ind w:left="552"/>
              <w:spacing w:after="0"/>
              <w:rPr>
                <w:sz w:val="20"/>
                <w:szCs w:val="20"/>
                <w:color w:val="auto"/>
              </w:rPr>
            </w:pPr>
            <w:r>
              <w:rPr>
                <w:rFonts w:ascii="Arial" w:cs="Arial" w:eastAsia="Arial" w:hAnsi="Arial"/>
                <w:sz w:val="18"/>
                <w:szCs w:val="18"/>
                <w:color w:val="auto"/>
                <w:w w:val="91"/>
              </w:rPr>
              <w:t>Other (1)</w:t>
            </w:r>
          </w:p>
        </w:tc>
        <w:tc>
          <w:tcPr>
            <w:tcW w:w="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Purchase</w:t>
            </w: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Contracts</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jc w:val="center"/>
              <w:ind w:left="552"/>
              <w:spacing w:after="0"/>
              <w:rPr>
                <w:sz w:val="20"/>
                <w:szCs w:val="20"/>
                <w:color w:val="auto"/>
              </w:rPr>
            </w:pPr>
            <w:r>
              <w:rPr>
                <w:rFonts w:ascii="Arial" w:cs="Arial" w:eastAsia="Arial" w:hAnsi="Arial"/>
                <w:sz w:val="18"/>
                <w:szCs w:val="18"/>
                <w:color w:val="auto"/>
                <w:w w:val="91"/>
              </w:rPr>
              <w:t>Other (1)</w:t>
            </w: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Units</w:t>
            </w:r>
          </w:p>
        </w:tc>
        <w:tc>
          <w:tcPr>
            <w:tcW w:w="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gridSpan w:val="2"/>
          </w:tcPr>
          <w:p>
            <w:pPr>
              <w:jc w:val="center"/>
              <w:ind w:left="52"/>
              <w:spacing w:after="0"/>
              <w:rPr>
                <w:sz w:val="20"/>
                <w:szCs w:val="20"/>
                <w:color w:val="auto"/>
              </w:rPr>
            </w:pPr>
            <w:r>
              <w:rPr>
                <w:rFonts w:ascii="Arial" w:cs="Arial" w:eastAsia="Arial" w:hAnsi="Arial"/>
                <w:sz w:val="18"/>
                <w:szCs w:val="18"/>
                <w:color w:val="auto"/>
                <w:w w:val="91"/>
              </w:rPr>
              <w:t>Unallocated Universal</w:t>
            </w:r>
          </w:p>
        </w:tc>
        <w:tc>
          <w:tcPr>
            <w:tcW w:w="11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jc w:val="center"/>
              <w:ind w:left="532"/>
              <w:spacing w:after="0"/>
              <w:rPr>
                <w:sz w:val="20"/>
                <w:szCs w:val="20"/>
                <w:color w:val="auto"/>
              </w:rPr>
            </w:pPr>
            <w:r>
              <w:rPr>
                <w:rFonts w:ascii="Arial" w:cs="Arial" w:eastAsia="Arial" w:hAnsi="Arial"/>
                <w:sz w:val="18"/>
                <w:szCs w:val="18"/>
                <w:color w:val="auto"/>
                <w:w w:val="94"/>
              </w:rPr>
              <w:t>Shelf (1)</w:t>
            </w:r>
          </w:p>
        </w:tc>
        <w:tc>
          <w:tcPr>
            <w:tcW w:w="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$300,000,000</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89"/>
              </w:rPr>
              <w:t>0.0001102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$33,060.00</w:t>
            </w: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right="417"/>
              <w:spacing w:after="0"/>
              <w:rPr>
                <w:sz w:val="20"/>
                <w:szCs w:val="20"/>
                <w:color w:val="auto"/>
              </w:rPr>
            </w:pPr>
            <w:r>
              <w:rPr>
                <w:rFonts w:ascii="Arial" w:cs="Arial" w:eastAsia="Arial" w:hAnsi="Arial"/>
                <w:sz w:val="18"/>
                <w:szCs w:val="18"/>
                <w:color w:val="auto"/>
                <w:w w:val="93"/>
              </w:rPr>
              <w:t>Total Offering Amounts</w:t>
            </w:r>
          </w:p>
        </w:tc>
        <w:tc>
          <w:tcPr>
            <w:tcW w:w="8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$300,000,000</w:t>
            </w: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$33,060.00</w:t>
            </w:r>
          </w:p>
        </w:tc>
        <w:tc>
          <w:tcPr>
            <w:tcW w:w="0" w:type="dxa"/>
            <w:vAlign w:val="bottom"/>
          </w:tcPr>
          <w:p>
            <w:pPr>
              <w:spacing w:after="0"/>
              <w:rPr>
                <w:sz w:val="1"/>
                <w:szCs w:val="1"/>
                <w:color w:val="auto"/>
              </w:rPr>
            </w:pPr>
          </w:p>
        </w:tc>
      </w:tr>
      <w:tr>
        <w:trPr>
          <w:trHeight w:val="236"/>
        </w:trPr>
        <w:tc>
          <w:tcPr>
            <w:tcW w:w="1460" w:type="dxa"/>
            <w:vAlign w:val="bottom"/>
            <w:tcBorders>
              <w:left w:val="single" w:sz="8" w:color="auto"/>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8"/>
              </w:rPr>
              <w:t>Total Fee Offsets</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8"/>
              </w:rPr>
              <w:t>Net Fee Due</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$33,060.00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securities that may be offered and sold from time to time in one or more offerings by P10, Inc. (the “Registrant”).</w:t>
      </w:r>
    </w:p>
    <w:p>
      <w:pPr>
        <w:spacing w:after="0" w:line="130" w:lineRule="exact"/>
        <w:rPr>
          <w:rFonts w:ascii="Arial" w:cs="Arial" w:eastAsia="Arial" w:hAnsi="Arial"/>
          <w:sz w:val="18"/>
          <w:szCs w:val="18"/>
          <w:color w:val="auto"/>
        </w:rPr>
      </w:pPr>
    </w:p>
    <w:p>
      <w:pPr>
        <w:jc w:val="both"/>
        <w:ind w:left="424" w:hanging="424"/>
        <w:spacing w:after="0" w:line="273" w:lineRule="auto"/>
        <w:tabs>
          <w:tab w:leader="none" w:pos="42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securities registered hereunder include an indeterminate number of (i) shares of common stock, (ii) shares of preferred stock, (iii) depositary shares, (iv) debt securities, (v) warrants to purchase common stock, preferred stock or debt securities, (vi) subscription rights to purchase common stock, preferred stock, warrants, debt securities, or units; (vii) purchase contracts, and (viii) units, which together shall have an aggregate initial offering price not to exceed $300,000,000. Any securities registered hereunder may be sold separately or as units with other securities registered hereunder. There are also being registered hereunder an indeterminate number of shares of common stock and preferred stock as shall be issuable upon conversion, exchange or exercise of any securities that provide for such issuance.</w:t>
      </w:r>
    </w:p>
    <w:p>
      <w:pPr>
        <w:sectPr>
          <w:pgSz w:w="11900" w:h="16838" w:orient="portrait"/>
          <w:cols w:equalWidth="0" w:num="1">
            <w:col w:w="11024"/>
          </w:cols>
          <w:pgMar w:left="436" w:top="121" w:right="439" w:bottom="1440" w:gutter="0" w:footer="0" w:header="0"/>
        </w:sectPr>
      </w:pPr>
    </w:p>
    <w:bookmarkStart w:id="91" w:name="page92"/>
    <w:bookmarkEnd w:id="91"/>
    <w:p>
      <w:pPr>
        <w:ind w:left="424" w:right="20" w:hanging="424"/>
        <w:spacing w:after="0" w:line="308" w:lineRule="auto"/>
        <w:tabs>
          <w:tab w:leader="none" w:pos="424"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51" w:lineRule="exact"/>
        <w:rPr>
          <w:rFonts w:ascii="Arial" w:cs="Arial" w:eastAsia="Arial" w:hAnsi="Arial"/>
          <w:sz w:val="17"/>
          <w:szCs w:val="17"/>
          <w:color w:val="auto"/>
        </w:rPr>
      </w:pPr>
    </w:p>
    <w:p>
      <w:pPr>
        <w:jc w:val="both"/>
        <w:ind w:left="424" w:right="20" w:hanging="424"/>
        <w:spacing w:after="0" w:line="263"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Subject to Rule 462(b) under the Securities Act, the aggregate maximum offering price of all securities issued by the Registrant pursuant to this registration statement will not exceed $300,000,000.</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decimal"/>
      <w:start w:val="1"/>
    </w:lvl>
    <w:lvl w:ilvl="1">
      <w:lvlJc w:val="left"/>
      <w:lvlText w:val="(%2)"/>
      <w:numFmt w:val="lowerRoman"/>
      <w:start w:val="1"/>
    </w:lvl>
  </w:abstractNum>
  <w:abstractNum w:abstractNumId="33">
    <w:nsid w:val="275AC794"/>
    <w:multiLevelType w:val="hybridMultilevel"/>
    <w:lvl w:ilvl="0">
      <w:lvlJc w:val="left"/>
      <w:lvlText w:val="(%1)"/>
      <w:numFmt w:val="decimal"/>
      <w:start w:val="2"/>
    </w:lvl>
    <w:lvl w:ilvl="1">
      <w:lvlJc w:val="left"/>
      <w:lvlText w:val="(%2)"/>
      <w:numFmt w:val="lowerRoman"/>
      <w:start w:val="1"/>
    </w:lvl>
  </w:abstractNum>
  <w:abstractNum w:abstractNumId="34">
    <w:nsid w:val="39386575"/>
    <w:multiLevelType w:val="hybridMultilevel"/>
    <w:lvl w:ilvl="0">
      <w:lvlJc w:val="left"/>
      <w:lvlText w:val="(%1)"/>
      <w:numFmt w:val="decimal"/>
      <w:start w:val="5"/>
    </w:lvl>
    <w:lvl w:ilvl="1">
      <w:lvlJc w:val="left"/>
      <w:lvlText w:val="(%2)"/>
      <w:numFmt w:val="lowerRoman"/>
      <w:start w:val="1"/>
    </w:lvl>
  </w:abstractNum>
  <w:abstractNum w:abstractNumId="35">
    <w:nsid w:val="1CF10FD8"/>
    <w:multiLevelType w:val="hybridMultilevel"/>
    <w:lvl w:ilvl="0">
      <w:lvlJc w:val="left"/>
      <w:lvlText w:val="%1"/>
      <w:numFmt w:val="decimal"/>
      <w:start w:val="1"/>
    </w:lvl>
    <w:lvl w:ilvl="1">
      <w:lvlJc w:val="left"/>
      <w:lvlText w:val="(%2)"/>
      <w:numFmt w:val="lowerRoman"/>
      <w:start w:val="2"/>
    </w:lvl>
  </w:abstractNum>
  <w:abstractNum w:abstractNumId="36">
    <w:nsid w:val="180115BE"/>
    <w:multiLevelType w:val="hybridMultilevel"/>
    <w:lvl w:ilvl="0">
      <w:lvlJc w:val="left"/>
      <w:lvlText w:val="(%1)"/>
      <w:numFmt w:val="decimal"/>
      <w:start w:val="9"/>
    </w:lvl>
    <w:lvl w:ilvl="1">
      <w:lvlJc w:val="left"/>
      <w:lvlText w:val="%2"/>
      <w:numFmt w:val="lowerRoman"/>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Roman"/>
      <w:start w:val="2"/>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Roman"/>
      <w:start w:val="1"/>
    </w:lvl>
    <w:lvl w:ilvl="1">
      <w:lvlJc w:val="left"/>
      <w:lvlText w:val="(%2)"/>
      <w:numFmt w:val="lowerLetter"/>
      <w:start w:val="2"/>
    </w:lvl>
  </w:abstractNum>
  <w:abstractNum w:abstractNumId="45">
    <w:nsid w:val="61574095"/>
    <w:multiLevelType w:val="hybridMultilevel"/>
    <w:lvl w:ilvl="0">
      <w:lvlJc w:val="left"/>
      <w:lvlText w:val="(%1)"/>
      <w:numFmt w:val="lowerRoman"/>
      <w:start w:val="4"/>
    </w:lvl>
    <w:lvl w:ilvl="1">
      <w:lvlJc w:val="left"/>
      <w:lvlText w:val="(%2)"/>
      <w:numFmt w:val="lowerLetter"/>
      <w:start w:val="5"/>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3"/>
    </w:lvl>
  </w:abstractNum>
  <w:abstractNum w:abstractNumId="49">
    <w:nsid w:val="310C50B3"/>
    <w:multiLevelType w:val="hybridMultilevel"/>
    <w:lvl w:ilvl="0">
      <w:lvlJc w:val="left"/>
      <w:lvlText w:val="(%1)"/>
      <w:numFmt w:val="lowerLetter"/>
      <w:start w:val="1"/>
    </w:lvl>
    <w:lvl w:ilvl="1">
      <w:lvlJc w:val="left"/>
      <w:lvlText w:val="(%2)"/>
      <w:numFmt w:val="lowerLetter"/>
      <w:start w:val="9"/>
    </w:lvl>
  </w:abstractNum>
  <w:abstractNum w:abstractNumId="50">
    <w:nsid w:val="5FF87E05"/>
    <w:multiLevelType w:val="hybridMultilevel"/>
    <w:lvl w:ilvl="0">
      <w:lvlJc w:val="left"/>
      <w:lvlText w:val="%1"/>
      <w:numFmt w:val="lowerLetter"/>
      <w:start w:val="1"/>
    </w:lvl>
    <w:lvl w:ilvl="1">
      <w:lvlJc w:val="left"/>
      <w:lvlText w:val="(%2)"/>
      <w:numFmt w:val="lowerLetter"/>
      <w:start w:val="35"/>
    </w:lvl>
  </w:abstractNum>
  <w:abstractNum w:abstractNumId="51">
    <w:nsid w:val="2F305DEF"/>
    <w:multiLevelType w:val="hybridMultilevel"/>
    <w:lvl w:ilvl="0">
      <w:lvlJc w:val="left"/>
      <w:lvlText w:val="(%1)"/>
      <w:numFmt w:val="lowerLetter"/>
      <w:start w:val="3"/>
    </w:lvl>
    <w:lvl w:ilvl="1">
      <w:lvlJc w:val="left"/>
      <w:lvlText w:val="(%2)"/>
      <w:numFmt w:val="lowerLetter"/>
      <w:start w:val="9"/>
    </w:lvl>
  </w:abstractNum>
  <w:abstractNum w:abstractNumId="52">
    <w:nsid w:val="25A70BF7"/>
    <w:multiLevelType w:val="hybridMultilevel"/>
    <w:lvl w:ilvl="0">
      <w:lvlJc w:val="left"/>
      <w:lvlText w:val="%1"/>
      <w:numFmt w:val="lowerLetter"/>
      <w:start w:val="1"/>
    </w:lvl>
    <w:lvl w:ilvl="1">
      <w:lvlJc w:val="left"/>
      <w:lvlText w:val="(%2)"/>
      <w:numFmt w:val="lowerRoman"/>
      <w:start w:val="2"/>
    </w:lvl>
  </w:abstractNum>
  <w:abstractNum w:abstractNumId="53">
    <w:nsid w:val="1DBABF00"/>
    <w:multiLevelType w:val="hybridMultilevel"/>
    <w:lvl w:ilvl="0">
      <w:lvlJc w:val="left"/>
      <w:lvlText w:val="(%1)"/>
      <w:numFmt w:val="lowerLetter"/>
      <w:start w:val="4"/>
    </w:lvl>
    <w:lvl w:ilvl="1">
      <w:lvlJc w:val="left"/>
      <w:lvlText w:val="%2"/>
      <w:numFmt w:val="lowerRoman"/>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2"/>
    </w:lvl>
  </w:abstractNum>
  <w:abstractNum w:abstractNumId="56">
    <w:nsid w:val="1381823A"/>
    <w:multiLevelType w:val="hybridMultilevel"/>
    <w:lvl w:ilvl="0">
      <w:lvlJc w:val="left"/>
      <w:lvlText w:val="(%1)"/>
      <w:numFmt w:val="lowerLetter"/>
      <w:start w:val="12"/>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3"/>
    </w:lvl>
  </w:abstractNum>
  <w:abstractNum w:abstractNumId="59">
    <w:nsid w:val="6590700B"/>
    <w:multiLevelType w:val="hybridMultilevel"/>
    <w:lvl w:ilvl="0">
      <w:lvlJc w:val="left"/>
      <w:lvlText w:val="(%1)"/>
      <w:numFmt w:val="lowerRoman"/>
      <w:start w:val="1"/>
    </w:lvl>
    <w:lvl w:ilvl="1">
      <w:lvlJc w:val="left"/>
      <w:lvlText w:val="(%2)"/>
      <w:numFmt w:val="decimal"/>
      <w:start w:val="1"/>
    </w:lvl>
  </w:abstractNum>
  <w:abstractNum w:abstractNumId="60">
    <w:nsid w:val="15014ACB"/>
    <w:multiLevelType w:val="hybridMultilevel"/>
    <w:lvl w:ilvl="0">
      <w:lvlJc w:val="left"/>
      <w:lvlText w:val="(%1)"/>
      <w:numFmt w:val="lowerLetter"/>
      <w:start w:val="2"/>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2"/>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4"/>
    </w:lvl>
  </w:abstractNum>
  <w:abstractNum w:abstractNumId="65">
    <w:nsid w:val="42C296BD"/>
    <w:multiLevelType w:val="hybridMultilevel"/>
    <w:lvl w:ilvl="0">
      <w:lvlJc w:val="left"/>
      <w:lvlText w:val="(%1)"/>
      <w:numFmt w:val="lowerLetter"/>
      <w:start w:val="5"/>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2"/>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2"/>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3"/>
    </w:lvl>
  </w:abstractNum>
  <w:abstractNum w:abstractNumId="75">
    <w:nsid w:val="11447B73"/>
    <w:multiLevelType w:val="hybridMultilevel"/>
    <w:lvl w:ilvl="0">
      <w:lvlJc w:val="left"/>
      <w:lvlText w:val="%1."/>
      <w:numFmt w:val="decimal"/>
      <w:start w:val="6"/>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jpeg"/><Relationship Id="rId144" Type="http://schemas.openxmlformats.org/officeDocument/2006/relationships/image" Target="media/image124.jpeg"/><Relationship Id="rId145" Type="http://schemas.openxmlformats.org/officeDocument/2006/relationships/image" Target="media/image125.jpe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52" Type="http://schemas.openxmlformats.org/officeDocument/2006/relationships/hyperlink" Target="http://www.sec.gov/ix?doc=/Archives/edgar/data/1841968/000095017022004180/px-20211231.htm" TargetMode="External"/><Relationship Id="rId53" Type="http://schemas.openxmlformats.org/officeDocument/2006/relationships/hyperlink" Target="http://www.sec.gov/ix?doc=/Archives/edgar/data/1841968/000095017022009867/px-20220331.htm" TargetMode="External"/><Relationship Id="rId54" Type="http://schemas.openxmlformats.org/officeDocument/2006/relationships/hyperlink" Target="http://www.sec.gov/ix?doc=/Archives/edgar/data/1841968/000095017022017336/px-20220630.htm" TargetMode="External"/><Relationship Id="rId55" Type="http://schemas.openxmlformats.org/officeDocument/2006/relationships/hyperlink" Target="http://www.sec.gov/ix?doc=/Archives/edgar/data/1841968/000119312522066167/d200532d8k.htm" TargetMode="External"/><Relationship Id="rId56" Type="http://schemas.openxmlformats.org/officeDocument/2006/relationships/hyperlink" Target="http://www.sec.gov/ix?doc=/Archives/edgar/data/1841968/000138713122007188/px-8k_061722.htm" TargetMode="External"/><Relationship Id="rId57" Type="http://schemas.openxmlformats.org/officeDocument/2006/relationships/hyperlink" Target="http://www.sec.gov/ix?doc=/Archives/edgar/data/1841968/000119312522192005/d383551d8k.htm" TargetMode="External"/><Relationship Id="rId58" Type="http://schemas.openxmlformats.org/officeDocument/2006/relationships/hyperlink" Target="http://www.sec.gov/ix?doc=/Archives/edgar/data/1841968/000119312522230601/d273626d8k.htm" TargetMode="External"/><Relationship Id="rId59" Type="http://schemas.openxmlformats.org/officeDocument/2006/relationships/hyperlink" Target="http://www.sec.gov/ix?doc=/Archives/edgar/data/1841968/000119312522262228/d413045d8k.htm" TargetMode="External"/><Relationship Id="rId60" Type="http://schemas.openxmlformats.org/officeDocument/2006/relationships/hyperlink" Target="http://www.sec.gov/Archives/edgar/data/1841968/000119312522133567/d301592ddef14a.htm" TargetMode="External"/><Relationship Id="rId61" Type="http://schemas.openxmlformats.org/officeDocument/2006/relationships/hyperlink" Target="http://www.sec.gov/Archives/edgar/data/1841968/000119312521305414/d118332d424b4.htm" TargetMode="External"/><Relationship Id="rId62" Type="http://schemas.openxmlformats.org/officeDocument/2006/relationships/hyperlink" Target="http://www.sec.gov/Archives/edgar/data/1841968/000119312521302126/d197268d8a12b.htm" TargetMode="External"/><Relationship Id="rId73" Type="http://schemas.openxmlformats.org/officeDocument/2006/relationships/hyperlink" Target="http://www.sec.gov/Archives/edgar/data/1841968/000119312521308150/d247132dex31.htm" TargetMode="External"/><Relationship Id="rId74" Type="http://schemas.openxmlformats.org/officeDocument/2006/relationships/hyperlink" Target="http://www.sec.gov/Archives/edgar/data/1841968/000119312521308150/d2471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2022-11-09T18:19:01Z</dcterms:created>
  <dcterms:modified xsi:type="dcterms:W3CDTF">2022-11-09T18:19:01Z</dcterms:modified>
</cp:coreProperties>
</file>