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34" w:lineRule="exact"/>
        <w:rPr>
          <w:rFonts w:ascii="MS PGothic" w:cs="MS PGothic" w:eastAsia="MS PGothic" w:hAnsi="MS PGothic"/>
          <w:sz w:val="18"/>
          <w:szCs w:val="18"/>
          <w:color w:val="auto"/>
          <w:highlight w:val="black"/>
        </w:rPr>
      </w:pPr>
    </w:p>
    <w:p>
      <w:pPr>
        <w:ind w:left="38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quarterly period ended June 30, 2023</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34"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001-40937</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8" w:lineRule="exact"/>
        <w:rPr>
          <w:sz w:val="24"/>
          <w:szCs w:val="24"/>
          <w:color w:val="auto"/>
        </w:rPr>
      </w:pPr>
    </w:p>
    <w:tbl>
      <w:tblPr>
        <w:tblLayout w:type="fixed"/>
        <w:tblInd w:w="1620" w:type="dxa"/>
        <w:tblCellMar>
          <w:top w:w="0" w:type="dxa"/>
          <w:left w:w="0" w:type="dxa"/>
          <w:bottom w:w="0" w:type="dxa"/>
          <w:right w:w="0" w:type="dxa"/>
        </w:tblCellMar>
      </w:tblPr>
      <w:tr>
        <w:trPr>
          <w:trHeight w:val="162"/>
        </w:trPr>
        <w:tc>
          <w:tcPr>
            <w:tcW w:w="6160" w:type="dxa"/>
            <w:vAlign w:val="bottom"/>
          </w:tcPr>
          <w:p>
            <w:pPr>
              <w:jc w:val="center"/>
              <w:ind w:right="3708"/>
              <w:spacing w:after="0"/>
              <w:rPr>
                <w:sz w:val="20"/>
                <w:szCs w:val="20"/>
                <w:color w:val="auto"/>
              </w:rPr>
            </w:pPr>
            <w:r>
              <w:rPr>
                <w:rFonts w:ascii="Arial" w:cs="Arial" w:eastAsia="Arial" w:hAnsi="Arial"/>
                <w:sz w:val="14"/>
                <w:szCs w:val="14"/>
                <w:b w:val="1"/>
                <w:bCs w:val="1"/>
                <w:color w:val="auto"/>
                <w:w w:val="94"/>
              </w:rPr>
              <w:t>Delaware</w:t>
            </w:r>
          </w:p>
        </w:tc>
        <w:tc>
          <w:tcPr>
            <w:tcW w:w="1220" w:type="dxa"/>
            <w:vAlign w:val="bottom"/>
          </w:tcPr>
          <w:p>
            <w:pPr>
              <w:jc w:val="right"/>
              <w:ind w:right="148"/>
              <w:spacing w:after="0"/>
              <w:rPr>
                <w:sz w:val="20"/>
                <w:szCs w:val="20"/>
                <w:color w:val="auto"/>
              </w:rPr>
            </w:pPr>
            <w:r>
              <w:rPr>
                <w:rFonts w:ascii="Arial" w:cs="Arial" w:eastAsia="Arial" w:hAnsi="Arial"/>
                <w:sz w:val="14"/>
                <w:szCs w:val="14"/>
                <w:b w:val="1"/>
                <w:bCs w:val="1"/>
                <w:color w:val="auto"/>
              </w:rPr>
              <w:t>87-2908160</w:t>
            </w:r>
          </w:p>
        </w:tc>
      </w:tr>
      <w:tr>
        <w:trPr>
          <w:trHeight w:val="148"/>
        </w:trPr>
        <w:tc>
          <w:tcPr>
            <w:tcW w:w="6160" w:type="dxa"/>
            <w:vAlign w:val="bottom"/>
          </w:tcPr>
          <w:p>
            <w:pPr>
              <w:jc w:val="center"/>
              <w:ind w:right="368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122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62"/>
        </w:trPr>
        <w:tc>
          <w:tcPr>
            <w:tcW w:w="6160" w:type="dxa"/>
            <w:vAlign w:val="bottom"/>
          </w:tcPr>
          <w:p>
            <w:pPr>
              <w:jc w:val="center"/>
              <w:ind w:right="3688"/>
              <w:spacing w:after="0"/>
              <w:rPr>
                <w:sz w:val="20"/>
                <w:szCs w:val="20"/>
                <w:color w:val="auto"/>
              </w:rPr>
            </w:pPr>
            <w:r>
              <w:rPr>
                <w:rFonts w:ascii="Arial" w:cs="Arial" w:eastAsia="Arial" w:hAnsi="Arial"/>
                <w:sz w:val="14"/>
                <w:szCs w:val="14"/>
                <w:b w:val="1"/>
                <w:bCs w:val="1"/>
                <w:color w:val="auto"/>
                <w:w w:val="94"/>
              </w:rPr>
              <w:t>incorporation or organization)</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Identification No.)</w:t>
            </w:r>
          </w:p>
        </w:tc>
      </w:tr>
      <w:tr>
        <w:trPr>
          <w:trHeight w:val="149"/>
        </w:trPr>
        <w:tc>
          <w:tcPr>
            <w:tcW w:w="6160" w:type="dxa"/>
            <w:vAlign w:val="bottom"/>
          </w:tcPr>
          <w:p>
            <w:pPr>
              <w:jc w:val="center"/>
              <w:ind w:right="3708"/>
              <w:spacing w:after="0" w:line="149" w:lineRule="exact"/>
              <w:rPr>
                <w:sz w:val="20"/>
                <w:szCs w:val="20"/>
                <w:color w:val="auto"/>
              </w:rPr>
            </w:pPr>
            <w:r>
              <w:rPr>
                <w:rFonts w:ascii="Arial" w:cs="Arial" w:eastAsia="Arial" w:hAnsi="Arial"/>
                <w:sz w:val="14"/>
                <w:szCs w:val="14"/>
                <w:b w:val="1"/>
                <w:bCs w:val="1"/>
                <w:color w:val="auto"/>
                <w:w w:val="91"/>
              </w:rPr>
              <w:t>4514 Cole Ave, Suite 1600</w:t>
            </w:r>
          </w:p>
        </w:tc>
        <w:tc>
          <w:tcPr>
            <w:tcW w:w="12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75205</w:t>
            </w:r>
          </w:p>
        </w:tc>
      </w:tr>
      <w:tr>
        <w:trPr>
          <w:trHeight w:val="162"/>
        </w:trPr>
        <w:tc>
          <w:tcPr>
            <w:tcW w:w="6160" w:type="dxa"/>
            <w:vAlign w:val="bottom"/>
          </w:tcPr>
          <w:p>
            <w:pPr>
              <w:jc w:val="center"/>
              <w:ind w:right="3708"/>
              <w:spacing w:after="0"/>
              <w:rPr>
                <w:sz w:val="20"/>
                <w:szCs w:val="20"/>
                <w:color w:val="auto"/>
              </w:rPr>
            </w:pPr>
            <w:r>
              <w:rPr>
                <w:rFonts w:ascii="Arial" w:cs="Arial" w:eastAsia="Arial" w:hAnsi="Arial"/>
                <w:sz w:val="14"/>
                <w:szCs w:val="14"/>
                <w:b w:val="1"/>
                <w:bCs w:val="1"/>
                <w:color w:val="auto"/>
                <w:w w:val="98"/>
              </w:rPr>
              <w:t>Dallas, TX</w:t>
            </w:r>
          </w:p>
        </w:tc>
        <w:tc>
          <w:tcPr>
            <w:tcW w:w="1220" w:type="dxa"/>
            <w:vAlign w:val="bottom"/>
          </w:tcPr>
          <w:p>
            <w:pPr>
              <w:spacing w:after="0"/>
              <w:rPr>
                <w:sz w:val="14"/>
                <w:szCs w:val="14"/>
                <w:color w:val="auto"/>
              </w:rPr>
            </w:pPr>
          </w:p>
        </w:tc>
      </w:tr>
      <w:tr>
        <w:trPr>
          <w:trHeight w:val="162"/>
        </w:trPr>
        <w:tc>
          <w:tcPr>
            <w:tcW w:w="6160" w:type="dxa"/>
            <w:vAlign w:val="bottom"/>
          </w:tcPr>
          <w:p>
            <w:pPr>
              <w:jc w:val="center"/>
              <w:ind w:right="37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20" w:type="dxa"/>
            <w:vAlign w:val="bottom"/>
          </w:tcPr>
          <w:p>
            <w:pPr>
              <w:jc w:val="center"/>
              <w:ind w:left="8"/>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6160" w:type="dxa"/>
            <w:vAlign w:val="bottom"/>
          </w:tcPr>
          <w:p>
            <w:pPr>
              <w:ind w:left="1940"/>
              <w:spacing w:after="0"/>
              <w:rPr>
                <w:sz w:val="20"/>
                <w:szCs w:val="20"/>
                <w:color w:val="auto"/>
              </w:rPr>
            </w:pPr>
            <w:r>
              <w:rPr>
                <w:rFonts w:ascii="Arial" w:cs="Arial" w:eastAsia="Arial" w:hAnsi="Arial"/>
                <w:sz w:val="14"/>
                <w:szCs w:val="14"/>
                <w:b w:val="1"/>
                <w:bCs w:val="1"/>
                <w:color w:val="auto"/>
                <w:w w:val="93"/>
              </w:rPr>
              <w:t>Registrant’s telephone number, including area code: (214) 865-7998</w:t>
            </w:r>
          </w:p>
        </w:tc>
        <w:tc>
          <w:tcPr>
            <w:tcW w:w="1220" w:type="dxa"/>
            <w:vAlign w:val="bottom"/>
          </w:tcPr>
          <w:p>
            <w:pPr>
              <w:spacing w:after="0"/>
              <w:rPr>
                <w:sz w:val="16"/>
                <w:szCs w:val="16"/>
                <w:color w:val="auto"/>
              </w:rPr>
            </w:pPr>
          </w:p>
        </w:tc>
      </w:tr>
    </w:tbl>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ind w:left="19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220" w:type="dxa"/>
            <w:vAlign w:val="bottom"/>
          </w:tcPr>
          <w:p>
            <w:pPr>
              <w:spacing w:after="0"/>
              <w:rPr>
                <w:sz w:val="14"/>
                <w:szCs w:val="14"/>
                <w:color w:val="auto"/>
              </w:rPr>
            </w:pPr>
          </w:p>
        </w:tc>
        <w:tc>
          <w:tcPr>
            <w:tcW w:w="48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5"/>
        </w:trPr>
        <w:tc>
          <w:tcPr>
            <w:tcW w:w="4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20" w:type="dxa"/>
            <w:vAlign w:val="bottom"/>
          </w:tcPr>
          <w:p>
            <w:pPr>
              <w:spacing w:after="0"/>
              <w:rPr>
                <w:sz w:val="16"/>
                <w:szCs w:val="16"/>
                <w:color w:val="auto"/>
              </w:rPr>
            </w:pPr>
          </w:p>
        </w:tc>
        <w:tc>
          <w:tcPr>
            <w:tcW w:w="4820" w:type="dxa"/>
            <w:vAlign w:val="bottom"/>
            <w:tcBorders>
              <w:bottom w:val="single" w:sz="8" w:color="auto"/>
            </w:tcBorders>
          </w:tcPr>
          <w:p>
            <w:pPr>
              <w:spacing w:after="0"/>
              <w:rPr>
                <w:sz w:val="16"/>
                <w:szCs w:val="16"/>
                <w:color w:val="auto"/>
              </w:rPr>
            </w:pPr>
          </w:p>
        </w:tc>
      </w:tr>
      <w:tr>
        <w:trPr>
          <w:trHeight w:val="123"/>
        </w:trPr>
        <w:tc>
          <w:tcPr>
            <w:tcW w:w="4960" w:type="dxa"/>
            <w:vAlign w:val="bottom"/>
          </w:tcPr>
          <w:p>
            <w:pPr>
              <w:ind w:left="60"/>
              <w:spacing w:after="0" w:line="123" w:lineRule="exact"/>
              <w:rPr>
                <w:sz w:val="20"/>
                <w:szCs w:val="20"/>
                <w:color w:val="auto"/>
              </w:rPr>
            </w:pPr>
            <w:r>
              <w:rPr>
                <w:rFonts w:ascii="Arial" w:cs="Arial" w:eastAsia="Arial" w:hAnsi="Arial"/>
                <w:sz w:val="14"/>
                <w:szCs w:val="14"/>
                <w:color w:val="auto"/>
              </w:rPr>
              <w:t>Class A Common Stock, $0.001 par value per share</w:t>
            </w:r>
          </w:p>
        </w:tc>
        <w:tc>
          <w:tcPr>
            <w:tcW w:w="120" w:type="dxa"/>
            <w:vAlign w:val="bottom"/>
          </w:tcPr>
          <w:p>
            <w:pPr>
              <w:spacing w:after="0"/>
              <w:rPr>
                <w:sz w:val="10"/>
                <w:szCs w:val="10"/>
                <w:color w:val="auto"/>
              </w:rPr>
            </w:pPr>
          </w:p>
        </w:tc>
        <w:tc>
          <w:tcPr>
            <w:tcW w:w="1120" w:type="dxa"/>
            <w:vAlign w:val="bottom"/>
          </w:tcPr>
          <w:p>
            <w:pPr>
              <w:jc w:val="center"/>
              <w:spacing w:after="0" w:line="123" w:lineRule="exact"/>
              <w:rPr>
                <w:sz w:val="20"/>
                <w:szCs w:val="20"/>
                <w:color w:val="auto"/>
              </w:rPr>
            </w:pPr>
            <w:r>
              <w:rPr>
                <w:rFonts w:ascii="Arial" w:cs="Arial" w:eastAsia="Arial" w:hAnsi="Arial"/>
                <w:sz w:val="14"/>
                <w:szCs w:val="14"/>
                <w:color w:val="auto"/>
                <w:w w:val="96"/>
              </w:rPr>
              <w:t>PX</w:t>
            </w:r>
          </w:p>
        </w:tc>
        <w:tc>
          <w:tcPr>
            <w:tcW w:w="220" w:type="dxa"/>
            <w:vAlign w:val="bottom"/>
          </w:tcPr>
          <w:p>
            <w:pPr>
              <w:spacing w:after="0"/>
              <w:rPr>
                <w:sz w:val="10"/>
                <w:szCs w:val="10"/>
                <w:color w:val="auto"/>
              </w:rPr>
            </w:pPr>
          </w:p>
        </w:tc>
        <w:tc>
          <w:tcPr>
            <w:tcW w:w="4820" w:type="dxa"/>
            <w:vAlign w:val="bottom"/>
          </w:tcPr>
          <w:p>
            <w:pPr>
              <w:jc w:val="center"/>
              <w:spacing w:after="0" w:line="123" w:lineRule="exact"/>
              <w:rPr>
                <w:sz w:val="20"/>
                <w:szCs w:val="20"/>
                <w:color w:val="auto"/>
              </w:rPr>
            </w:pPr>
            <w:r>
              <w:rPr>
                <w:rFonts w:ascii="Arial" w:cs="Arial" w:eastAsia="Arial" w:hAnsi="Arial"/>
                <w:sz w:val="14"/>
                <w:szCs w:val="14"/>
                <w:color w:val="auto"/>
                <w:w w:val="99"/>
              </w:rPr>
              <w:t>NYSE</w:t>
            </w:r>
          </w:p>
        </w:tc>
      </w:tr>
      <w:tr>
        <w:trPr>
          <w:trHeight w:val="182"/>
        </w:trPr>
        <w:tc>
          <w:tcPr>
            <w:tcW w:w="4960" w:type="dxa"/>
            <w:vAlign w:val="bottom"/>
          </w:tcPr>
          <w:p>
            <w:pPr>
              <w:ind w:left="60"/>
              <w:spacing w:after="0"/>
              <w:rPr>
                <w:sz w:val="20"/>
                <w:szCs w:val="20"/>
                <w:color w:val="auto"/>
              </w:rPr>
            </w:pPr>
            <w:r>
              <w:rPr>
                <w:rFonts w:ascii="Arial" w:cs="Arial" w:eastAsia="Arial" w:hAnsi="Arial"/>
                <w:sz w:val="14"/>
                <w:szCs w:val="14"/>
                <w:color w:val="auto"/>
              </w:rPr>
              <w:t>Series A Junior Participating Preferred Stock Purchase Rights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tcPr>
          <w:p>
            <w:pPr>
              <w:spacing w:after="0"/>
              <w:rPr>
                <w:sz w:val="15"/>
                <w:szCs w:val="15"/>
                <w:color w:val="auto"/>
              </w:rPr>
            </w:pPr>
          </w:p>
        </w:tc>
      </w:tr>
    </w:tbl>
    <w:p>
      <w:pPr>
        <w:spacing w:after="0" w:line="128" w:lineRule="exact"/>
        <w:rPr>
          <w:sz w:val="24"/>
          <w:szCs w:val="24"/>
          <w:color w:val="auto"/>
        </w:rPr>
      </w:pPr>
    </w:p>
    <w:p>
      <w:pPr>
        <w:ind w:right="220"/>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 chapter)</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540" w:type="dxa"/>
            <w:vAlign w:val="bottom"/>
            <w:gridSpan w:val="2"/>
          </w:tcPr>
          <w:p>
            <w:pPr>
              <w:spacing w:after="0"/>
              <w:rPr>
                <w:sz w:val="20"/>
                <w:szCs w:val="20"/>
                <w:color w:val="auto"/>
              </w:rPr>
            </w:pPr>
            <w:r>
              <w:rPr>
                <w:rFonts w:ascii="Arial" w:cs="Arial" w:eastAsia="Arial" w:hAnsi="Arial"/>
                <w:sz w:val="14"/>
                <w:szCs w:val="14"/>
                <w:color w:val="auto"/>
                <w:w w:val="94"/>
              </w:rPr>
              <w:t>during the preceding 12 months (or for such shorter period that the registrant was required to submit such files).</w:t>
            </w:r>
          </w:p>
        </w:tc>
        <w:tc>
          <w:tcPr>
            <w:tcW w:w="43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300" w:type="dxa"/>
            <w:vAlign w:val="bottom"/>
          </w:tcPr>
          <w:p>
            <w:pPr>
              <w:spacing w:after="0"/>
              <w:rPr>
                <w:sz w:val="14"/>
                <w:szCs w:val="14"/>
                <w:color w:val="auto"/>
              </w:rPr>
            </w:pPr>
          </w:p>
        </w:tc>
      </w:tr>
      <w:tr>
        <w:trPr>
          <w:trHeight w:val="148"/>
        </w:trPr>
        <w:tc>
          <w:tcPr>
            <w:tcW w:w="10860" w:type="dxa"/>
            <w:vAlign w:val="bottom"/>
            <w:gridSpan w:val="3"/>
          </w:tcPr>
          <w:p>
            <w:pPr>
              <w:spacing w:after="0" w:line="149" w:lineRule="exact"/>
              <w:rPr>
                <w:sz w:val="20"/>
                <w:szCs w:val="20"/>
                <w:color w:val="auto"/>
              </w:rPr>
            </w:pPr>
            <w:r>
              <w:rPr>
                <w:rFonts w:ascii="Arial" w:cs="Arial" w:eastAsia="Arial" w:hAnsi="Arial"/>
                <w:sz w:val="14"/>
                <w:szCs w:val="14"/>
                <w:color w:val="auto"/>
                <w:w w:val="93"/>
              </w:rPr>
              <w:t>Indicate by check mark whether the registrant is a large accelerated filer, an accelerated filer, a non-accelerated filer, smaller reporting company, or an emerging growth company. See the</w:t>
            </w:r>
          </w:p>
        </w:tc>
        <w:tc>
          <w:tcPr>
            <w:tcW w:w="300" w:type="dxa"/>
            <w:vAlign w:val="bottom"/>
          </w:tcPr>
          <w:p>
            <w:pPr>
              <w:spacing w:after="0"/>
              <w:rPr>
                <w:sz w:val="12"/>
                <w:szCs w:val="12"/>
                <w:color w:val="auto"/>
              </w:rPr>
            </w:pPr>
          </w:p>
        </w:tc>
      </w:tr>
      <w:tr>
        <w:trPr>
          <w:trHeight w:val="182"/>
        </w:trPr>
        <w:tc>
          <w:tcPr>
            <w:tcW w:w="10860" w:type="dxa"/>
            <w:vAlign w:val="bottom"/>
            <w:gridSpan w:val="3"/>
          </w:tcPr>
          <w:p>
            <w:pPr>
              <w:spacing w:after="0"/>
              <w:rPr>
                <w:sz w:val="20"/>
                <w:szCs w:val="20"/>
                <w:color w:val="auto"/>
              </w:rPr>
            </w:pPr>
            <w:r>
              <w:rPr>
                <w:rFonts w:ascii="Arial" w:cs="Arial" w:eastAsia="Arial" w:hAnsi="Arial"/>
                <w:sz w:val="14"/>
                <w:szCs w:val="14"/>
                <w:color w:val="auto"/>
              </w:rPr>
              <w:t>definitions of “large accelerated filer,” “accelerated filer,” “smaller reporting company,” and “emerging growth company” in Rule 12b-2 of the Exchange Act.</w:t>
            </w:r>
          </w:p>
        </w:tc>
        <w:tc>
          <w:tcPr>
            <w:tcW w:w="300" w:type="dxa"/>
            <w:vAlign w:val="bottom"/>
          </w:tcPr>
          <w:p>
            <w:pPr>
              <w:spacing w:after="0"/>
              <w:rPr>
                <w:sz w:val="15"/>
                <w:szCs w:val="15"/>
                <w:color w:val="auto"/>
              </w:rPr>
            </w:pPr>
          </w:p>
        </w:tc>
      </w:tr>
      <w:tr>
        <w:trPr>
          <w:trHeight w:val="267"/>
        </w:trPr>
        <w:tc>
          <w:tcPr>
            <w:tcW w:w="222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4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66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222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4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66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2220" w:type="dxa"/>
            <w:vAlign w:val="bottom"/>
          </w:tcPr>
          <w:p>
            <w:pPr>
              <w:ind w:left="20"/>
              <w:spacing w:after="0"/>
              <w:rPr>
                <w:sz w:val="20"/>
                <w:szCs w:val="20"/>
                <w:color w:val="auto"/>
              </w:rPr>
            </w:pPr>
            <w:r>
              <w:rPr>
                <w:rFonts w:ascii="Arial" w:cs="Arial" w:eastAsia="Arial" w:hAnsi="Arial"/>
                <w:sz w:val="14"/>
                <w:szCs w:val="14"/>
                <w:color w:val="auto"/>
              </w:rPr>
              <w:t>Emerging growth company</w:t>
            </w:r>
          </w:p>
        </w:tc>
        <w:tc>
          <w:tcPr>
            <w:tcW w:w="432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50" w:lineRule="exact"/>
        <w:rPr>
          <w:sz w:val="24"/>
          <w:szCs w:val="24"/>
          <w:color w:val="auto"/>
        </w:rPr>
      </w:pPr>
    </w:p>
    <w:p>
      <w:pPr>
        <w:ind w:right="560"/>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7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4"/>
          <w:szCs w:val="14"/>
          <w:color w:val="auto"/>
        </w:rPr>
        <w:t>As of August 7, 2023, there were 43,834,735 shares of the registrant's Class A common stock and 72,370,464 shares of the Registrant's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0" w:type="dxa"/>
            <w:vAlign w:val="bottom"/>
            <w:gridSpan w:val="7"/>
          </w:tcPr>
          <w:p>
            <w:pPr>
              <w:ind w:left="88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r>
      <w:tr>
        <w:trPr>
          <w:trHeight w:val="412"/>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176"/>
        </w:trPr>
        <w:tc>
          <w:tcPr>
            <w:tcW w:w="20" w:type="dxa"/>
            <w:vAlign w:val="bottom"/>
          </w:tcPr>
          <w:p>
            <w:pPr>
              <w:spacing w:after="0"/>
              <w:rPr>
                <w:sz w:val="15"/>
                <w:szCs w:val="15"/>
                <w:color w:val="auto"/>
              </w:rPr>
            </w:pPr>
          </w:p>
        </w:tc>
        <w:tc>
          <w:tcPr>
            <w:tcW w:w="1140" w:type="dxa"/>
            <w:vAlign w:val="bottom"/>
            <w:gridSpan w:val="4"/>
          </w:tcPr>
          <w:p>
            <w:pPr>
              <w:spacing w:after="0" w:line="176" w:lineRule="exact"/>
              <w:rPr>
                <w:sz w:val="20"/>
                <w:szCs w:val="20"/>
                <w:color w:val="auto"/>
              </w:rPr>
            </w:pPr>
            <w:r>
              <w:rPr>
                <w:rFonts w:ascii="Arial" w:cs="Arial" w:eastAsia="Arial" w:hAnsi="Arial"/>
                <w:sz w:val="18"/>
                <w:szCs w:val="18"/>
                <w:b w:val="1"/>
                <w:bCs w:val="1"/>
                <w:color w:val="0000FF"/>
              </w:rPr>
              <w:t>PART I</w:t>
            </w:r>
          </w:p>
        </w:tc>
        <w:tc>
          <w:tcPr>
            <w:tcW w:w="9300" w:type="dxa"/>
            <w:vAlign w:val="bottom"/>
            <w:gridSpan w:val="21"/>
          </w:tcPr>
          <w:p>
            <w:pPr>
              <w:ind w:left="60"/>
              <w:spacing w:after="0" w:line="176" w:lineRule="exact"/>
              <w:rPr>
                <w:sz w:val="20"/>
                <w:szCs w:val="20"/>
                <w:color w:val="auto"/>
              </w:rPr>
            </w:pPr>
            <w:r>
              <w:rPr>
                <w:rFonts w:ascii="Arial" w:cs="Arial" w:eastAsia="Arial" w:hAnsi="Arial"/>
                <w:sz w:val="18"/>
                <w:szCs w:val="18"/>
                <w:color w:val="auto"/>
              </w:rPr>
              <w:t>FINANCIAL INFORMATION</w:t>
            </w:r>
          </w:p>
        </w:tc>
        <w:tc>
          <w:tcPr>
            <w:tcW w:w="780" w:type="dxa"/>
            <w:vAlign w:val="bottom"/>
          </w:tcPr>
          <w:p>
            <w:pPr>
              <w:spacing w:after="0"/>
              <w:rPr>
                <w:sz w:val="15"/>
                <w:szCs w:val="15"/>
                <w:color w:val="auto"/>
              </w:rPr>
            </w:pPr>
          </w:p>
        </w:tc>
      </w:tr>
      <w:tr>
        <w:trPr>
          <w:trHeight w:val="209"/>
        </w:trPr>
        <w:tc>
          <w:tcPr>
            <w:tcW w:w="20" w:type="dxa"/>
            <w:vAlign w:val="bottom"/>
          </w:tcPr>
          <w:p>
            <w:pPr>
              <w:spacing w:after="0"/>
              <w:rPr>
                <w:sz w:val="18"/>
                <w:szCs w:val="18"/>
                <w:color w:val="auto"/>
              </w:rPr>
            </w:pPr>
          </w:p>
        </w:tc>
        <w:tc>
          <w:tcPr>
            <w:tcW w:w="5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560" w:type="dxa"/>
            <w:vAlign w:val="bottom"/>
            <w:gridSpan w:val="3"/>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Financial Statements (Unaudited)</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8"/>
              </w:rPr>
              <w:t>Consolidated Balance Sheets</w:t>
            </w:r>
          </w:p>
        </w:tc>
        <w:tc>
          <w:tcPr>
            <w:tcW w:w="20" w:type="dxa"/>
            <w:vAlign w:val="bottom"/>
            <w:tcBorders>
              <w:top w:val="single" w:sz="8" w:color="0000FF"/>
              <w:bottom w:val="single" w:sz="8" w:color="0000EE"/>
            </w:tcBorders>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68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1"/>
          </w:tcPr>
          <w:p>
            <w:pPr>
              <w:spacing w:after="0"/>
              <w:rPr>
                <w:sz w:val="20"/>
                <w:szCs w:val="20"/>
                <w:color w:val="auto"/>
              </w:rPr>
            </w:pPr>
            <w:r>
              <w:rPr>
                <w:rFonts w:ascii="Arial" w:cs="Arial" w:eastAsia="Arial" w:hAnsi="Arial"/>
                <w:sz w:val="18"/>
                <w:szCs w:val="18"/>
                <w:color w:val="0000FF"/>
              </w:rPr>
              <w:t>Consolidated Statements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Consolidated Statements of Changes in Stockholders' Equity</w:t>
            </w:r>
          </w:p>
        </w:tc>
        <w:tc>
          <w:tcPr>
            <w:tcW w:w="49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0"/>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89"/>
              </w:rPr>
              <w:t>Consolidated Statements of Cash Flows</w:t>
            </w:r>
          </w:p>
        </w:tc>
        <w:tc>
          <w:tcPr>
            <w:tcW w:w="20" w:type="dxa"/>
            <w:vAlign w:val="bottom"/>
            <w:tcBorders>
              <w:bottom w:val="single" w:sz="8" w:color="0000EE"/>
            </w:tcBorders>
          </w:tcPr>
          <w:p>
            <w:pPr>
              <w:spacing w:after="0"/>
              <w:rPr>
                <w:sz w:val="18"/>
                <w:szCs w:val="18"/>
                <w:color w:val="auto"/>
              </w:rPr>
            </w:pPr>
          </w:p>
        </w:tc>
        <w:tc>
          <w:tcPr>
            <w:tcW w:w="640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0"/>
              </w:rPr>
              <w:t>Notes to Unaudited Consolidated Financial Statements</w:t>
            </w:r>
          </w:p>
        </w:tc>
        <w:tc>
          <w:tcPr>
            <w:tcW w:w="20" w:type="dxa"/>
            <w:vAlign w:val="bottom"/>
            <w:tcBorders>
              <w:bottom w:val="single" w:sz="8" w:color="0000EE"/>
            </w:tcBorders>
          </w:tcPr>
          <w:p>
            <w:pPr>
              <w:spacing w:after="0"/>
              <w:rPr>
                <w:sz w:val="18"/>
                <w:szCs w:val="18"/>
                <w:color w:val="auto"/>
              </w:rPr>
            </w:pPr>
          </w:p>
        </w:tc>
        <w:tc>
          <w:tcPr>
            <w:tcW w:w="532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21"/>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8"/>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2060" w:type="dxa"/>
            <w:vAlign w:val="bottom"/>
            <w:tcBorders>
              <w:top w:val="single" w:sz="8" w:color="0000FF"/>
            </w:tcBorders>
            <w:gridSpan w:val="2"/>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9"/>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480" w:type="dxa"/>
            <w:vAlign w:val="bottom"/>
            <w:gridSpan w:val="2"/>
          </w:tcPr>
          <w:p>
            <w:pPr>
              <w:spacing w:after="0"/>
              <w:rPr>
                <w:sz w:val="24"/>
                <w:szCs w:val="24"/>
                <w:color w:val="auto"/>
              </w:rPr>
            </w:pPr>
          </w:p>
        </w:tc>
        <w:tc>
          <w:tcPr>
            <w:tcW w:w="9300" w:type="dxa"/>
            <w:vAlign w:val="bottom"/>
            <w:gridSpan w:val="21"/>
          </w:tcPr>
          <w:p>
            <w:pPr>
              <w:ind w:left="60"/>
              <w:spacing w:after="0"/>
              <w:rPr>
                <w:sz w:val="20"/>
                <w:szCs w:val="20"/>
                <w:color w:val="auto"/>
              </w:rPr>
            </w:pPr>
            <w:r>
              <w:rPr>
                <w:rFonts w:ascii="Arial" w:cs="Arial" w:eastAsia="Arial" w:hAnsi="Arial"/>
                <w:sz w:val="18"/>
                <w:szCs w:val="18"/>
                <w:color w:val="auto"/>
              </w:rPr>
              <w:t>OTHER INFORMATION</w:t>
            </w:r>
          </w:p>
        </w:tc>
        <w:tc>
          <w:tcPr>
            <w:tcW w:w="78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0"/>
              </w:rPr>
              <w:t>Defaults Upon Senior Securities</w:t>
            </w:r>
          </w:p>
        </w:tc>
        <w:tc>
          <w:tcPr>
            <w:tcW w:w="696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75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0"/>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798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09"/>
        </w:trPr>
        <w:tc>
          <w:tcPr>
            <w:tcW w:w="20" w:type="dxa"/>
            <w:vAlign w:val="bottom"/>
          </w:tcPr>
          <w:p>
            <w:pPr>
              <w:spacing w:after="0"/>
              <w:rPr>
                <w:sz w:val="18"/>
                <w:szCs w:val="18"/>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581"/>
        </w:trPr>
        <w:tc>
          <w:tcPr>
            <w:tcW w:w="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r>
      <w:tr>
        <w:trPr>
          <w:trHeight w:val="175"/>
        </w:trPr>
        <w:tc>
          <w:tcPr>
            <w:tcW w:w="6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As of June 30,</w:t>
            </w:r>
          </w:p>
        </w:tc>
        <w:tc>
          <w:tcPr>
            <w:tcW w:w="240" w:type="dxa"/>
            <w:vAlign w:val="bottom"/>
          </w:tcPr>
          <w:p>
            <w:pPr>
              <w:spacing w:after="0"/>
              <w:rPr>
                <w:sz w:val="15"/>
                <w:szCs w:val="15"/>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6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2023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r>
      <w:tr>
        <w:trPr>
          <w:trHeight w:val="169"/>
        </w:trPr>
        <w:tc>
          <w:tcPr>
            <w:tcW w:w="6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center"/>
              <w:ind w:right="152"/>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23,361</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20,021</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9,471</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19,299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16,551</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 receivable</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4,231</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Due from related parties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44,877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36,538</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 unconsolidated subsidiaries</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2,321</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5,001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2,878</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Right-of-use assets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17,888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15,923</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payments to customers</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13,629</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Deferred tax assets, net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40,790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41,275</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Intangibles, net</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137,852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151,795</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Goodwill</w:t>
            </w:r>
          </w:p>
        </w:tc>
        <w:tc>
          <w:tcPr>
            <w:tcW w:w="1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506,038</w:t>
            </w:r>
          </w:p>
        </w:tc>
        <w:tc>
          <w:tcPr>
            <w:tcW w:w="3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506,638</w:t>
            </w:r>
          </w:p>
        </w:tc>
        <w:tc>
          <w:tcPr>
            <w:tcW w:w="100" w:type="dxa"/>
            <w:vAlign w:val="bottom"/>
            <w:tcBorders>
              <w:bottom w:val="single" w:sz="8" w:color="CFF0FC"/>
            </w:tcBorders>
          </w:tcPr>
          <w:p>
            <w:pPr>
              <w:spacing w:after="0"/>
              <w:rPr>
                <w:sz w:val="20"/>
                <w:szCs w:val="20"/>
                <w:color w:val="auto"/>
              </w:rPr>
            </w:pPr>
          </w:p>
        </w:tc>
      </w:tr>
      <w:tr>
        <w:trPr>
          <w:trHeight w:val="276"/>
        </w:trPr>
        <w:tc>
          <w:tcPr>
            <w:tcW w:w="64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1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819,741</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826,360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2,744</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8,052</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35,278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18,900</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Due to related parties</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2,157</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8,715</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Accrued contingent liabilities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14,305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14,305</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revenues</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12,651</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Lease liabilities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21,219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18,558</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Debt obligations</w:t>
            </w:r>
          </w:p>
        </w:tc>
        <w:tc>
          <w:tcPr>
            <w:tcW w:w="114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271,735</w:t>
            </w:r>
          </w:p>
        </w:tc>
        <w:tc>
          <w:tcPr>
            <w:tcW w:w="300" w:type="dxa"/>
            <w:vAlign w:val="bottom"/>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289,224</w:t>
            </w:r>
          </w:p>
        </w:tc>
        <w:tc>
          <w:tcPr>
            <w:tcW w:w="100" w:type="dxa"/>
            <w:vAlign w:val="bottom"/>
            <w:shd w:val="clear" w:color="auto" w:fill="CFF0FC"/>
          </w:tcPr>
          <w:p>
            <w:pPr>
              <w:spacing w:after="0"/>
              <w:rPr>
                <w:sz w:val="21"/>
                <w:szCs w:val="21"/>
                <w:color w:val="auto"/>
              </w:rPr>
            </w:pPr>
          </w:p>
        </w:tc>
      </w:tr>
      <w:tr>
        <w:trPr>
          <w:trHeight w:val="230"/>
        </w:trPr>
        <w:tc>
          <w:tcPr>
            <w:tcW w:w="64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384,665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392,477</w:t>
            </w:r>
          </w:p>
        </w:tc>
        <w:tc>
          <w:tcPr>
            <w:tcW w:w="100" w:type="dxa"/>
            <w:vAlign w:val="bottom"/>
          </w:tcPr>
          <w:p>
            <w:pPr>
              <w:spacing w:after="0"/>
              <w:rPr>
                <w:sz w:val="20"/>
                <w:szCs w:val="20"/>
                <w:color w:val="auto"/>
              </w:rPr>
            </w:pPr>
          </w:p>
        </w:tc>
      </w:tr>
      <w:tr>
        <w:trPr>
          <w:trHeight w:val="24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6440" w:type="dxa"/>
            <w:vAlign w:val="bottom"/>
          </w:tcPr>
          <w:p>
            <w:pPr>
              <w:ind w:left="200"/>
              <w:spacing w:after="0"/>
              <w:rPr>
                <w:sz w:val="20"/>
                <w:szCs w:val="20"/>
                <w:color w:val="auto"/>
              </w:rPr>
            </w:pPr>
            <w:r>
              <w:rPr>
                <w:rFonts w:ascii="Arial" w:cs="Arial" w:eastAsia="Arial" w:hAnsi="Arial"/>
                <w:sz w:val="18"/>
                <w:szCs w:val="18"/>
                <w:color w:val="auto"/>
                <w:w w:val="90"/>
              </w:rPr>
              <w:t>Class A common stock, $0.001 par value; 510,000,000 shares authorized; 44,761,247</w:t>
            </w:r>
          </w:p>
        </w:tc>
        <w:tc>
          <w:tcPr>
            <w:tcW w:w="1380" w:type="dxa"/>
            <w:vAlign w:val="bottom"/>
            <w:gridSpan w:val="2"/>
          </w:tcPr>
          <w:p>
            <w:pPr>
              <w:jc w:val="right"/>
              <w:ind w:right="490"/>
              <w:spacing w:after="0"/>
              <w:rPr>
                <w:sz w:val="20"/>
                <w:szCs w:val="20"/>
                <w:color w:val="auto"/>
              </w:rPr>
            </w:pPr>
            <w:r>
              <w:rPr>
                <w:rFonts w:ascii="Arial" w:cs="Arial" w:eastAsia="Arial" w:hAnsi="Arial"/>
                <w:sz w:val="18"/>
                <w:szCs w:val="18"/>
                <w:color w:val="auto"/>
                <w:w w:val="89"/>
              </w:rPr>
              <w:t>issued and</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gridSpan w:val="3"/>
          </w:tcPr>
          <w:p>
            <w:pPr>
              <w:ind w:left="200"/>
              <w:spacing w:after="0"/>
              <w:rPr>
                <w:sz w:val="20"/>
                <w:szCs w:val="20"/>
                <w:color w:val="auto"/>
              </w:rPr>
            </w:pPr>
            <w:r>
              <w:rPr>
                <w:rFonts w:ascii="Arial" w:cs="Arial" w:eastAsia="Arial" w:hAnsi="Arial"/>
                <w:sz w:val="18"/>
                <w:szCs w:val="18"/>
                <w:color w:val="auto"/>
                <w:w w:val="95"/>
              </w:rPr>
              <w:t>43,823,473 outstanding as of June 30, 2023, and 43,303,040 issued and 42,365,266 outstanding as</w:t>
            </w: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of December 31, 2022, respectively</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r>
      <w:tr>
        <w:trPr>
          <w:trHeight w:val="222"/>
        </w:trPr>
        <w:tc>
          <w:tcPr>
            <w:tcW w:w="78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Class B common stock, $0.001 par value; 180,000,000 shares authorized; 72,505,177 shares</w:t>
            </w: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82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w w:val="96"/>
              </w:rPr>
              <w:t>issued and 72,381,726 shares outstanding as of June 30, 2023, and 73,131,826 shares issued and</w:t>
            </w: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73,008,374 shares outstanding as of December 31, 2022, respectively</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(9,926 )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(9,926 )</w:t>
            </w:r>
          </w:p>
        </w:tc>
      </w:tr>
      <w:tr>
        <w:trPr>
          <w:trHeight w:val="249"/>
        </w:trPr>
        <w:tc>
          <w:tcPr>
            <w:tcW w:w="6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paid-in-capital</w:t>
            </w:r>
          </w:p>
        </w:tc>
        <w:tc>
          <w:tcPr>
            <w:tcW w:w="1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627,420</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628,828</w:t>
            </w:r>
          </w:p>
        </w:tc>
        <w:tc>
          <w:tcPr>
            <w:tcW w:w="100" w:type="dxa"/>
            <w:vAlign w:val="bottom"/>
            <w:shd w:val="clear" w:color="auto" w:fill="CFF0FC"/>
          </w:tcPr>
          <w:p>
            <w:pPr>
              <w:spacing w:after="0"/>
              <w:rPr>
                <w:sz w:val="21"/>
                <w:szCs w:val="21"/>
                <w:color w:val="auto"/>
              </w:rPr>
            </w:pPr>
          </w:p>
        </w:tc>
      </w:tr>
      <w:tr>
        <w:trPr>
          <w:trHeight w:val="237"/>
        </w:trPr>
        <w:tc>
          <w:tcPr>
            <w:tcW w:w="64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(223,511 )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(225,879 )</w:t>
            </w:r>
          </w:p>
        </w:tc>
      </w:tr>
      <w:tr>
        <w:trPr>
          <w:trHeight w:val="243"/>
        </w:trPr>
        <w:tc>
          <w:tcPr>
            <w:tcW w:w="6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Noncontrolling interest</w:t>
            </w:r>
          </w:p>
        </w:tc>
        <w:tc>
          <w:tcPr>
            <w:tcW w:w="1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40,977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40,745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44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1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435,076</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433,883</w:t>
            </w:r>
          </w:p>
        </w:tc>
        <w:tc>
          <w:tcPr>
            <w:tcW w:w="100" w:type="dxa"/>
            <w:vAlign w:val="bottom"/>
          </w:tcPr>
          <w:p>
            <w:pPr>
              <w:spacing w:after="0"/>
              <w:rPr>
                <w:sz w:val="20"/>
                <w:szCs w:val="20"/>
                <w:color w:val="auto"/>
              </w:rPr>
            </w:pPr>
          </w:p>
        </w:tc>
      </w:tr>
      <w:tr>
        <w:trPr>
          <w:trHeight w:val="279"/>
        </w:trPr>
        <w:tc>
          <w:tcPr>
            <w:tcW w:w="6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819,741</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826,360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-4182745</wp:posOffset>
            </wp:positionV>
            <wp:extent cx="127698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6985" cy="34290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-351155</wp:posOffset>
            </wp:positionV>
            <wp:extent cx="685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490"/>
              <w:spacing w:after="0"/>
              <w:rPr>
                <w:sz w:val="20"/>
                <w:szCs w:val="20"/>
                <w:color w:val="auto"/>
              </w:rPr>
            </w:pPr>
            <w:r>
              <w:rPr>
                <w:rFonts w:ascii="Arial" w:cs="Arial" w:eastAsia="Arial" w:hAnsi="Arial"/>
                <w:sz w:val="14"/>
                <w:szCs w:val="14"/>
                <w:b w:val="1"/>
                <w:bCs w:val="1"/>
                <w:color w:val="auto"/>
              </w:rPr>
              <w:t>For the Three Months</w:t>
            </w:r>
          </w:p>
        </w:tc>
        <w:tc>
          <w:tcPr>
            <w:tcW w:w="160" w:type="dxa"/>
            <w:vAlign w:val="bottom"/>
          </w:tcPr>
          <w:p>
            <w:pPr>
              <w:spacing w:after="0"/>
              <w:rPr>
                <w:sz w:val="14"/>
                <w:szCs w:val="14"/>
                <w:color w:val="auto"/>
              </w:rPr>
            </w:pPr>
          </w:p>
        </w:tc>
        <w:tc>
          <w:tcPr>
            <w:tcW w:w="1920" w:type="dxa"/>
            <w:vAlign w:val="bottom"/>
            <w:gridSpan w:val="6"/>
          </w:tcPr>
          <w:p>
            <w:pPr>
              <w:jc w:val="right"/>
              <w:ind w:right="421"/>
              <w:spacing w:after="0"/>
              <w:rPr>
                <w:sz w:val="20"/>
                <w:szCs w:val="20"/>
                <w:color w:val="auto"/>
              </w:rPr>
            </w:pPr>
            <w:r>
              <w:rPr>
                <w:rFonts w:ascii="Arial" w:cs="Arial" w:eastAsia="Arial" w:hAnsi="Arial"/>
                <w:sz w:val="14"/>
                <w:szCs w:val="14"/>
                <w:b w:val="1"/>
                <w:bCs w:val="1"/>
                <w:color w:val="auto"/>
              </w:rPr>
              <w:t>For the Six Months</w:t>
            </w:r>
          </w:p>
        </w:tc>
      </w:tr>
      <w:tr>
        <w:trPr>
          <w:trHeight w:val="186"/>
        </w:trPr>
        <w:tc>
          <w:tcPr>
            <w:tcW w:w="6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6"/>
          </w:tcPr>
          <w:p>
            <w:pPr>
              <w:jc w:val="right"/>
              <w:ind w:right="690"/>
              <w:spacing w:after="0"/>
              <w:rPr>
                <w:sz w:val="20"/>
                <w:szCs w:val="20"/>
                <w:color w:val="auto"/>
              </w:rPr>
            </w:pPr>
            <w:r>
              <w:rPr>
                <w:rFonts w:ascii="Arial" w:cs="Arial" w:eastAsia="Arial" w:hAnsi="Arial"/>
                <w:sz w:val="14"/>
                <w:szCs w:val="14"/>
                <w:b w:val="1"/>
                <w:bCs w:val="1"/>
                <w:color w:val="auto"/>
              </w:rPr>
              <w:t>Ended June 30,</w:t>
            </w:r>
          </w:p>
        </w:tc>
        <w:tc>
          <w:tcPr>
            <w:tcW w:w="160" w:type="dxa"/>
            <w:vAlign w:val="bottom"/>
          </w:tcPr>
          <w:p>
            <w:pPr>
              <w:spacing w:after="0"/>
              <w:rPr>
                <w:sz w:val="16"/>
                <w:szCs w:val="16"/>
                <w:color w:val="auto"/>
              </w:rPr>
            </w:pPr>
          </w:p>
        </w:tc>
        <w:tc>
          <w:tcPr>
            <w:tcW w:w="1920" w:type="dxa"/>
            <w:vAlign w:val="bottom"/>
            <w:gridSpan w:val="6"/>
          </w:tcPr>
          <w:p>
            <w:pPr>
              <w:jc w:val="right"/>
              <w:ind w:right="541"/>
              <w:spacing w:after="0"/>
              <w:rPr>
                <w:sz w:val="20"/>
                <w:szCs w:val="20"/>
                <w:color w:val="auto"/>
              </w:rPr>
            </w:pPr>
            <w:r>
              <w:rPr>
                <w:rFonts w:ascii="Arial" w:cs="Arial" w:eastAsia="Arial" w:hAnsi="Arial"/>
                <w:sz w:val="14"/>
                <w:szCs w:val="14"/>
                <w:b w:val="1"/>
                <w:bCs w:val="1"/>
                <w:color w:val="auto"/>
              </w:rPr>
              <w:t>Ended June 30,</w:t>
            </w:r>
          </w:p>
        </w:tc>
      </w:tr>
      <w:tr>
        <w:trPr>
          <w:trHeight w:val="174"/>
        </w:trPr>
        <w:tc>
          <w:tcPr>
            <w:tcW w:w="69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0"/>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940" w:type="dxa"/>
            <w:vAlign w:val="bottom"/>
          </w:tcPr>
          <w:p>
            <w:pPr>
              <w:ind w:left="200"/>
              <w:spacing w:after="0"/>
              <w:rPr>
                <w:sz w:val="20"/>
                <w:szCs w:val="20"/>
                <w:color w:val="auto"/>
              </w:rPr>
            </w:pPr>
            <w:r>
              <w:rPr>
                <w:rFonts w:ascii="Arial" w:cs="Arial" w:eastAsia="Arial" w:hAnsi="Arial"/>
                <w:sz w:val="18"/>
                <w:szCs w:val="18"/>
                <w:color w:val="auto"/>
              </w:rPr>
              <w:t>Management and advisory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61,657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46,451</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118,244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89,478</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62,472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46,738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119,725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90,019</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36,311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17,815</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71,953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36,309</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2,740</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6,834</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5,352</w:t>
            </w:r>
          </w:p>
        </w:tc>
        <w:tc>
          <w:tcPr>
            <w:tcW w:w="100" w:type="dxa"/>
            <w:vAlign w:val="bottom"/>
            <w:shd w:val="clear" w:color="auto" w:fill="CFF0FC"/>
          </w:tcPr>
          <w:p>
            <w:pPr>
              <w:spacing w:after="0"/>
              <w:rPr>
                <w:sz w:val="21"/>
                <w:szCs w:val="21"/>
                <w:color w:val="auto"/>
              </w:rPr>
            </w:pPr>
          </w:p>
        </w:tc>
      </w:tr>
      <w:tr>
        <w:trPr>
          <w:trHeight w:val="237"/>
        </w:trPr>
        <w:tc>
          <w:tcPr>
            <w:tcW w:w="6940" w:type="dxa"/>
            <w:vAlign w:val="bottom"/>
          </w:tcPr>
          <w:p>
            <w:pPr>
              <w:ind w:left="200"/>
              <w:spacing w:after="0"/>
              <w:rPr>
                <w:sz w:val="20"/>
                <w:szCs w:val="20"/>
                <w:color w:val="auto"/>
              </w:rPr>
            </w:pPr>
            <w:r>
              <w:rPr>
                <w:rFonts w:ascii="Arial" w:cs="Arial" w:eastAsia="Arial" w:hAnsi="Arial"/>
                <w:sz w:val="18"/>
                <w:szCs w:val="18"/>
                <w:color w:val="auto"/>
              </w:rPr>
              <w:t>General, administrative and other</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5,037</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4,250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8,362</w:t>
            </w:r>
          </w:p>
        </w:tc>
        <w:tc>
          <w:tcPr>
            <w:tcW w:w="100" w:type="dxa"/>
            <w:vAlign w:val="bottom"/>
          </w:tcPr>
          <w:p>
            <w:pPr>
              <w:spacing w:after="0"/>
              <w:rPr>
                <w:sz w:val="20"/>
                <w:szCs w:val="20"/>
                <w:color w:val="auto"/>
              </w:rPr>
            </w:pPr>
          </w:p>
        </w:tc>
      </w:tr>
      <w:tr>
        <w:trPr>
          <w:trHeight w:val="249"/>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 expense</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(140 )</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(13 )</w:t>
            </w:r>
          </w:p>
        </w:tc>
      </w:tr>
      <w:tr>
        <w:trPr>
          <w:trHeight w:val="237"/>
        </w:trPr>
        <w:tc>
          <w:tcPr>
            <w:tcW w:w="694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7,326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6,153</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12,334</w:t>
            </w:r>
          </w:p>
        </w:tc>
        <w:tc>
          <w:tcPr>
            <w:tcW w:w="100" w:type="dxa"/>
            <w:vAlign w:val="bottom"/>
          </w:tcPr>
          <w:p>
            <w:pPr>
              <w:spacing w:after="0"/>
              <w:rPr>
                <w:sz w:val="20"/>
                <w:szCs w:val="20"/>
                <w:color w:val="auto"/>
              </w:rPr>
            </w:pPr>
          </w:p>
        </w:tc>
      </w:tr>
      <w:tr>
        <w:trPr>
          <w:trHeight w:val="243"/>
        </w:trPr>
        <w:tc>
          <w:tcPr>
            <w:tcW w:w="6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Strategic alliance expense</w:t>
            </w: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52,148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30,971</w:t>
            </w: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104,530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62,649</w:t>
            </w:r>
          </w:p>
        </w:tc>
        <w:tc>
          <w:tcPr>
            <w:tcW w:w="100" w:type="dxa"/>
            <w:vAlign w:val="bottom"/>
          </w:tcPr>
          <w:p>
            <w:pPr>
              <w:spacing w:after="0"/>
              <w:rPr>
                <w:sz w:val="20"/>
                <w:szCs w:val="20"/>
                <w:color w:val="auto"/>
              </w:rPr>
            </w:pPr>
          </w:p>
        </w:tc>
      </w:tr>
      <w:tr>
        <w:trPr>
          <w:trHeight w:val="24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10,324</w:t>
            </w:r>
          </w:p>
        </w:tc>
        <w:tc>
          <w:tcPr>
            <w:tcW w:w="1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15,767</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15,195</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27,370</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OTHER (EXPENSE)/INCOME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(5,426 )</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(1,525 )</w:t>
            </w: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(10,598 )</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(2,910 )</w:t>
            </w:r>
          </w:p>
        </w:tc>
      </w:tr>
      <w:tr>
        <w:trPr>
          <w:trHeight w:val="243"/>
        </w:trPr>
        <w:tc>
          <w:tcPr>
            <w:tcW w:w="6940" w:type="dxa"/>
            <w:vAlign w:val="bottom"/>
          </w:tcPr>
          <w:p>
            <w:pPr>
              <w:ind w:left="200"/>
              <w:spacing w:after="0"/>
              <w:rPr>
                <w:sz w:val="20"/>
                <w:szCs w:val="20"/>
                <w:color w:val="auto"/>
              </w:rPr>
            </w:pPr>
            <w:r>
              <w:rPr>
                <w:rFonts w:ascii="Arial" w:cs="Arial" w:eastAsia="Arial" w:hAnsi="Arial"/>
                <w:sz w:val="18"/>
                <w:szCs w:val="18"/>
                <w:color w:val="auto"/>
              </w:rPr>
              <w:t>Other (expense)/income</w:t>
            </w:r>
          </w:p>
        </w:tc>
        <w:tc>
          <w:tcPr>
            <w:tcW w:w="12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(832 )</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791</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(719 )</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1"/>
                <w:szCs w:val="21"/>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r>
      <w:tr>
        <w:trPr>
          <w:trHeight w:val="224"/>
        </w:trPr>
        <w:tc>
          <w:tcPr>
            <w:tcW w:w="69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(expense)</w:t>
            </w: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(6,258</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300" w:type="dxa"/>
            <w:vAlign w:val="bottom"/>
            <w:tcBorders>
              <w:top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7"/>
              </w:rPr>
              <w:t>(11,317 )</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69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Net income before income taxes</w:t>
            </w: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4,066</w:t>
            </w:r>
          </w:p>
        </w:tc>
        <w:tc>
          <w:tcPr>
            <w:tcW w:w="140" w:type="dxa"/>
            <w:vAlign w:val="bottom"/>
            <w:tcBorders>
              <w:top w:val="single" w:sz="8" w:color="CFF0FC"/>
            </w:tcBorders>
          </w:tcPr>
          <w:p>
            <w:pPr>
              <w:spacing w:after="0"/>
              <w:rPr>
                <w:sz w:val="21"/>
                <w:szCs w:val="21"/>
                <w:color w:val="auto"/>
              </w:rPr>
            </w:pPr>
          </w:p>
        </w:tc>
        <w:tc>
          <w:tcPr>
            <w:tcW w:w="30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15,033</w:t>
            </w:r>
          </w:p>
        </w:tc>
        <w:tc>
          <w:tcPr>
            <w:tcW w:w="3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3,878</w:t>
            </w:r>
          </w:p>
        </w:tc>
        <w:tc>
          <w:tcPr>
            <w:tcW w:w="100" w:type="dxa"/>
            <w:vAlign w:val="bottom"/>
            <w:tcBorders>
              <w:top w:val="single" w:sz="8" w:color="CFF0FC"/>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Borders>
              <w:top w:val="single" w:sz="8" w:color="CFF0FC"/>
            </w:tcBorders>
          </w:tcPr>
          <w:p>
            <w:pPr>
              <w:spacing w:after="0"/>
              <w:rPr>
                <w:sz w:val="21"/>
                <w:szCs w:val="21"/>
                <w:color w:val="auto"/>
              </w:rPr>
            </w:pPr>
          </w:p>
        </w:tc>
      </w:tr>
      <w:tr>
        <w:trPr>
          <w:trHeight w:val="270"/>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FF0FC"/>
          </w:tcPr>
          <w:p>
            <w:pPr>
              <w:spacing w:after="0"/>
              <w:rPr>
                <w:sz w:val="23"/>
                <w:szCs w:val="23"/>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(1,964 )</w:t>
            </w:r>
          </w:p>
        </w:tc>
        <w:tc>
          <w:tcPr>
            <w:tcW w:w="3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9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(3,879 )</w:t>
            </w:r>
          </w:p>
        </w:tc>
        <w:tc>
          <w:tcPr>
            <w:tcW w:w="160" w:type="dxa"/>
            <w:vAlign w:val="bottom"/>
            <w:shd w:val="clear" w:color="auto" w:fill="CFF0FC"/>
          </w:tcPr>
          <w:p>
            <w:pPr>
              <w:spacing w:after="0"/>
              <w:rPr>
                <w:sz w:val="23"/>
                <w:szCs w:val="23"/>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(1,007 )</w:t>
            </w:r>
          </w:p>
        </w:tc>
        <w:tc>
          <w:tcPr>
            <w:tcW w:w="2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(6,634 )</w:t>
            </w:r>
          </w:p>
        </w:tc>
      </w:tr>
      <w:tr>
        <w:trPr>
          <w:trHeight w:val="224"/>
        </w:trPr>
        <w:tc>
          <w:tcPr>
            <w:tcW w:w="69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4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11,154</w:t>
            </w:r>
          </w:p>
        </w:tc>
        <w:tc>
          <w:tcPr>
            <w:tcW w:w="30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0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18,946</w:t>
            </w:r>
          </w:p>
        </w:tc>
        <w:tc>
          <w:tcPr>
            <w:tcW w:w="100" w:type="dxa"/>
            <w:vAlign w:val="bottom"/>
            <w:tcBorders>
              <w:top w:val="single" w:sz="8" w:color="CFF0FC"/>
            </w:tcBorders>
          </w:tcPr>
          <w:p>
            <w:pPr>
              <w:spacing w:after="0"/>
              <w:rPr>
                <w:sz w:val="19"/>
                <w:szCs w:val="19"/>
                <w:color w:val="auto"/>
              </w:rPr>
            </w:pPr>
          </w:p>
        </w:tc>
      </w:tr>
      <w:tr>
        <w:trPr>
          <w:trHeight w:val="256"/>
        </w:trPr>
        <w:tc>
          <w:tcPr>
            <w:tcW w:w="6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net income attributable to noncontrolling interest in P10 Intermediate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(339 )</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(503 )</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NET INCOME ATTRIBUTABLE TO P10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40" w:type="dxa"/>
            <w:vAlign w:val="bottom"/>
            <w:tcBorders>
              <w:top w:val="single" w:sz="8" w:color="CFF0FC"/>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11,154</w:t>
            </w:r>
          </w:p>
        </w:tc>
        <w:tc>
          <w:tcPr>
            <w:tcW w:w="30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18,946</w:t>
            </w:r>
          </w:p>
        </w:tc>
        <w:tc>
          <w:tcPr>
            <w:tcW w:w="100" w:type="dxa"/>
            <w:vAlign w:val="bottom"/>
            <w:tcBorders>
              <w:top w:val="single" w:sz="8" w:color="CFF0FC"/>
            </w:tcBorders>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940" w:type="dxa"/>
            <w:vAlign w:val="bottom"/>
          </w:tcPr>
          <w:p>
            <w:pPr>
              <w:ind w:left="200"/>
              <w:spacing w:after="0"/>
              <w:rPr>
                <w:sz w:val="20"/>
                <w:szCs w:val="20"/>
                <w:color w:val="auto"/>
              </w:rPr>
            </w:pPr>
            <w:r>
              <w:rPr>
                <w:rFonts w:ascii="Arial" w:cs="Arial" w:eastAsia="Arial" w:hAnsi="Arial"/>
                <w:sz w:val="18"/>
                <w:szCs w:val="18"/>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r>
      <w:tr>
        <w:trPr>
          <w:trHeight w:val="26"/>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6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940" w:type="dxa"/>
            <w:vAlign w:val="bottom"/>
          </w:tcPr>
          <w:p>
            <w:pPr>
              <w:ind w:left="200"/>
              <w:spacing w:after="0"/>
              <w:rPr>
                <w:sz w:val="20"/>
                <w:szCs w:val="20"/>
                <w:color w:val="auto"/>
              </w:rPr>
            </w:pPr>
            <w:r>
              <w:rPr>
                <w:rFonts w:ascii="Arial" w:cs="Arial" w:eastAsia="Arial" w:hAnsi="Arial"/>
                <w:sz w:val="18"/>
                <w:szCs w:val="18"/>
                <w:color w:val="auto"/>
              </w:rPr>
              <w:t>Dividends paid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3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p>
        </w:tc>
      </w:tr>
      <w:tr>
        <w:trPr>
          <w:trHeight w:val="26"/>
        </w:trPr>
        <w:tc>
          <w:tcPr>
            <w:tcW w:w="6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2"/>
              </w:rPr>
              <w:t>116,168</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2"/>
              </w:rPr>
              <w:t>117,193</w:t>
            </w:r>
          </w:p>
        </w:tc>
        <w:tc>
          <w:tcPr>
            <w:tcW w:w="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2"/>
              </w:rPr>
              <w:t>116,063</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2"/>
              </w:rPr>
              <w:t>117,193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0"/>
        </w:trPr>
        <w:tc>
          <w:tcPr>
            <w:tcW w:w="6940" w:type="dxa"/>
            <w:vAlign w:val="bottom"/>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123,874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120,981</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123,918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121,259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-4337685</wp:posOffset>
            </wp:positionV>
            <wp:extent cx="7747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-4337685</wp:posOffset>
            </wp:positionV>
            <wp:extent cx="68580"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-4337685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-4337685</wp:posOffset>
            </wp:positionV>
            <wp:extent cx="6858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-3094355</wp:posOffset>
            </wp:positionV>
            <wp:extent cx="7747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-3094355</wp:posOffset>
            </wp:positionV>
            <wp:extent cx="685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-3094355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-3094355</wp:posOffset>
            </wp:positionV>
            <wp:extent cx="685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-2310130</wp:posOffset>
            </wp:positionV>
            <wp:extent cx="7145020" cy="3473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5020" cy="3473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-1812925</wp:posOffset>
            </wp:positionV>
            <wp:extent cx="2849880" cy="3467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49880" cy="34671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-1311275</wp:posOffset>
            </wp:positionV>
            <wp:extent cx="77470" cy="3517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3517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-1311275</wp:posOffset>
            </wp:positionV>
            <wp:extent cx="68580" cy="3517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3517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-1311275</wp:posOffset>
            </wp:positionV>
            <wp:extent cx="68580" cy="351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3517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-1311275</wp:posOffset>
            </wp:positionV>
            <wp:extent cx="68580" cy="351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3517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14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89"/>
              </w:rPr>
              <w:t>Common Stock - Class A</w:t>
            </w:r>
          </w:p>
        </w:tc>
        <w:tc>
          <w:tcPr>
            <w:tcW w:w="240" w:type="dxa"/>
            <w:vAlign w:val="bottom"/>
          </w:tcPr>
          <w:p>
            <w:pPr>
              <w:spacing w:after="0"/>
              <w:rPr>
                <w:sz w:val="13"/>
                <w:szCs w:val="13"/>
                <w:color w:val="auto"/>
              </w:rPr>
            </w:pPr>
          </w:p>
        </w:tc>
        <w:tc>
          <w:tcPr>
            <w:tcW w:w="1620" w:type="dxa"/>
            <w:vAlign w:val="bottom"/>
            <w:gridSpan w:val="5"/>
            <w:vMerge w:val="restart"/>
          </w:tcPr>
          <w:p>
            <w:pPr>
              <w:jc w:val="right"/>
              <w:ind w:right="260"/>
              <w:spacing w:after="0"/>
              <w:rPr>
                <w:sz w:val="20"/>
                <w:szCs w:val="20"/>
                <w:color w:val="auto"/>
              </w:rPr>
            </w:pPr>
            <w:r>
              <w:rPr>
                <w:rFonts w:ascii="Arial" w:cs="Arial" w:eastAsia="Arial" w:hAnsi="Arial"/>
                <w:sz w:val="13"/>
                <w:szCs w:val="13"/>
                <w:b w:val="1"/>
                <w:bCs w:val="1"/>
                <w:color w:val="auto"/>
                <w:w w:val="86"/>
              </w:rPr>
              <w:t>Common Stock - Class B</w:t>
            </w:r>
          </w:p>
        </w:tc>
        <w:tc>
          <w:tcPr>
            <w:tcW w:w="1580" w:type="dxa"/>
            <w:vAlign w:val="bottom"/>
            <w:gridSpan w:val="5"/>
            <w:vMerge w:val="restart"/>
          </w:tcPr>
          <w:p>
            <w:pPr>
              <w:jc w:val="right"/>
              <w:ind w:right="397"/>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Non</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5"/>
            <w:vMerge w:val="continue"/>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900" w:type="dxa"/>
            <w:vAlign w:val="bottom"/>
            <w:gridSpan w:val="3"/>
          </w:tcPr>
          <w:p>
            <w:pPr>
              <w:jc w:val="center"/>
              <w:ind w:right="37"/>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Controlling</w:t>
            </w:r>
          </w:p>
        </w:tc>
        <w:tc>
          <w:tcPr>
            <w:tcW w:w="9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24"/>
        </w:trPr>
        <w:tc>
          <w:tcPr>
            <w:tcW w:w="27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7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5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7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3"/>
              </w:rPr>
              <w:t>Amount</w:t>
            </w: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4"/>
                <w:szCs w:val="14"/>
                <w:color w:val="auto"/>
              </w:rPr>
            </w:pPr>
          </w:p>
        </w:tc>
        <w:tc>
          <w:tcPr>
            <w:tcW w:w="760" w:type="dxa"/>
            <w:vAlign w:val="bottom"/>
            <w:gridSpan w:val="2"/>
          </w:tcPr>
          <w:p>
            <w:pPr>
              <w:jc w:val="center"/>
              <w:ind w:right="177"/>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7"/>
        </w:trPr>
        <w:tc>
          <w:tcPr>
            <w:tcW w:w="27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34,464</w:t>
            </w:r>
          </w:p>
        </w:tc>
        <w:tc>
          <w:tcPr>
            <w:tcW w:w="240" w:type="dxa"/>
            <w:vAlign w:val="bottom"/>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jc w:val="right"/>
              <w:ind w:right="11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240" w:type="dxa"/>
            <w:vAlign w:val="bottom"/>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82,727</w:t>
            </w:r>
          </w:p>
        </w:tc>
        <w:tc>
          <w:tcPr>
            <w:tcW w:w="220" w:type="dxa"/>
            <w:vAlign w:val="bottom"/>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83</w:t>
            </w:r>
          </w:p>
        </w:tc>
        <w:tc>
          <w:tcPr>
            <w:tcW w:w="220" w:type="dxa"/>
            <w:vAlign w:val="bottom"/>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650,405</w:t>
            </w: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(255,085</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395,164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Deferred offering costs</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(70 )</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(70 )</w:t>
            </w: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Net income attributable to P10</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7,792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w w:val="90"/>
              </w:rPr>
              <w:t>Exchange of Class B common stock for Class A</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1,222</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(1,220 )</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(1 )</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Settlement of stock options</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(12,466 )</w:t>
            </w:r>
          </w:p>
        </w:tc>
        <w:tc>
          <w:tcPr>
            <w:tcW w:w="14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(12,466 )</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35,686</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24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81,507</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82</w:t>
            </w:r>
          </w:p>
        </w:tc>
        <w:tc>
          <w:tcPr>
            <w:tcW w:w="2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639,384</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(247,293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391,935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700" w:type="dxa"/>
            <w:vAlign w:val="bottom"/>
          </w:tcPr>
          <w:p>
            <w:pPr>
              <w:ind w:left="200"/>
              <w:spacing w:after="0" w:line="142" w:lineRule="exact"/>
              <w:rPr>
                <w:sz w:val="20"/>
                <w:szCs w:val="20"/>
                <w:color w:val="auto"/>
              </w:rPr>
            </w:pPr>
            <w:r>
              <w:rPr>
                <w:rFonts w:ascii="Arial" w:cs="Arial" w:eastAsia="Arial" w:hAnsi="Arial"/>
                <w:sz w:val="13"/>
                <w:szCs w:val="13"/>
                <w:color w:val="auto"/>
              </w:rPr>
              <w:t>Stock-based compensation</w:t>
            </w: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6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520" w:type="dxa"/>
            <w:vAlign w:val="bottom"/>
            <w:gridSpan w:val="2"/>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2,717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2,717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income attributable to P10</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11,154</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00" w:type="dxa"/>
            <w:vAlign w:val="bottom"/>
          </w:tcPr>
          <w:p>
            <w:pPr>
              <w:ind w:left="200"/>
              <w:spacing w:after="0" w:line="134" w:lineRule="exact"/>
              <w:rPr>
                <w:sz w:val="20"/>
                <w:szCs w:val="20"/>
                <w:color w:val="auto"/>
              </w:rPr>
            </w:pPr>
            <w:r>
              <w:rPr>
                <w:rFonts w:ascii="Arial" w:cs="Arial" w:eastAsia="Arial" w:hAnsi="Arial"/>
                <w:sz w:val="13"/>
                <w:szCs w:val="13"/>
                <w:color w:val="auto"/>
                <w:w w:val="90"/>
              </w:rPr>
              <w:t>Exchange of Class B common stock for Class A</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common stock</w:t>
            </w:r>
          </w:p>
        </w:tc>
        <w:tc>
          <w:tcPr>
            <w:tcW w:w="640" w:type="dxa"/>
            <w:vAlign w:val="bottom"/>
          </w:tcPr>
          <w:p>
            <w:pPr>
              <w:jc w:val="right"/>
              <w:spacing w:after="0"/>
              <w:rPr>
                <w:sz w:val="20"/>
                <w:szCs w:val="20"/>
                <w:color w:val="auto"/>
              </w:rPr>
            </w:pPr>
            <w:r>
              <w:rPr>
                <w:rFonts w:ascii="Arial" w:cs="Arial" w:eastAsia="Arial" w:hAnsi="Arial"/>
                <w:sz w:val="13"/>
                <w:szCs w:val="13"/>
                <w:color w:val="auto"/>
              </w:rPr>
              <w:t>1,622</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(1,622 )</w:t>
            </w:r>
          </w:p>
        </w:tc>
        <w:tc>
          <w:tcPr>
            <w:tcW w:w="24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(2 )</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declared</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(1 )</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Dividends paid</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(3,515 )</w:t>
            </w:r>
          </w:p>
        </w:tc>
        <w:tc>
          <w:tcPr>
            <w:tcW w:w="14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(3,515 )</w:t>
            </w:r>
          </w:p>
        </w:tc>
        <w:tc>
          <w:tcPr>
            <w:tcW w:w="0" w:type="dxa"/>
            <w:vAlign w:val="bottom"/>
          </w:tcPr>
          <w:p>
            <w:pPr>
              <w:spacing w:after="0"/>
              <w:rPr>
                <w:sz w:val="1"/>
                <w:szCs w:val="1"/>
                <w:color w:val="auto"/>
              </w:rPr>
            </w:pPr>
          </w:p>
        </w:tc>
      </w:tr>
      <w:tr>
        <w:trPr>
          <w:trHeight w:val="195"/>
        </w:trPr>
        <w:tc>
          <w:tcPr>
            <w:tcW w:w="2700" w:type="dxa"/>
            <w:vAlign w:val="bottom"/>
            <w:tcBorders>
              <w:top w:val="single" w:sz="8" w:color="CFF0FC"/>
              <w:bottom w:val="single" w:sz="8" w:color="CFF0FC"/>
            </w:tcBorders>
            <w:shd w:val="clear" w:color="auto" w:fill="CFF0FC"/>
          </w:tcPr>
          <w:p>
            <w:pPr>
              <w:ind w:left="20"/>
              <w:spacing w:after="0" w:line="145" w:lineRule="exact"/>
              <w:rPr>
                <w:sz w:val="20"/>
                <w:szCs w:val="20"/>
                <w:color w:val="auto"/>
              </w:rPr>
            </w:pPr>
            <w:r>
              <w:rPr>
                <w:rFonts w:ascii="Arial" w:cs="Arial" w:eastAsia="Arial" w:hAnsi="Arial"/>
                <w:sz w:val="13"/>
                <w:szCs w:val="13"/>
                <w:b w:val="1"/>
                <w:bCs w:val="1"/>
                <w:color w:val="auto"/>
              </w:rPr>
              <w:t>Balance at June 30, 2022</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37,308</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17"/>
              <w:spacing w:after="0"/>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79,885</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9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(273</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638,585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(236,139</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402,290</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36"/>
        </w:trPr>
        <w:tc>
          <w:tcPr>
            <w:tcW w:w="2700" w:type="dxa"/>
            <w:vAlign w:val="bottom"/>
          </w:tcPr>
          <w:p>
            <w:pPr>
              <w:spacing w:after="0"/>
              <w:rPr>
                <w:sz w:val="24"/>
                <w:szCs w:val="24"/>
                <w:color w:val="auto"/>
              </w:rPr>
            </w:pPr>
          </w:p>
        </w:tc>
        <w:tc>
          <w:tcPr>
            <w:tcW w:w="14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w w:val="89"/>
              </w:rPr>
              <w:t>Common Stock - Class A</w:t>
            </w:r>
          </w:p>
        </w:tc>
        <w:tc>
          <w:tcPr>
            <w:tcW w:w="240" w:type="dxa"/>
            <w:vAlign w:val="bottom"/>
          </w:tcPr>
          <w:p>
            <w:pPr>
              <w:spacing w:after="0"/>
              <w:rPr>
                <w:sz w:val="24"/>
                <w:szCs w:val="24"/>
                <w:color w:val="auto"/>
              </w:rPr>
            </w:pPr>
          </w:p>
        </w:tc>
        <w:tc>
          <w:tcPr>
            <w:tcW w:w="1620" w:type="dxa"/>
            <w:vAlign w:val="bottom"/>
            <w:gridSpan w:val="5"/>
            <w:vMerge w:val="restart"/>
          </w:tcPr>
          <w:p>
            <w:pPr>
              <w:jc w:val="right"/>
              <w:ind w:right="260"/>
              <w:spacing w:after="0"/>
              <w:rPr>
                <w:sz w:val="20"/>
                <w:szCs w:val="20"/>
                <w:color w:val="auto"/>
              </w:rPr>
            </w:pPr>
            <w:r>
              <w:rPr>
                <w:rFonts w:ascii="Arial" w:cs="Arial" w:eastAsia="Arial" w:hAnsi="Arial"/>
                <w:sz w:val="13"/>
                <w:szCs w:val="13"/>
                <w:b w:val="1"/>
                <w:bCs w:val="1"/>
                <w:color w:val="auto"/>
                <w:w w:val="86"/>
              </w:rPr>
              <w:t>Common Stock - Class B</w:t>
            </w:r>
          </w:p>
        </w:tc>
        <w:tc>
          <w:tcPr>
            <w:tcW w:w="1580" w:type="dxa"/>
            <w:vAlign w:val="bottom"/>
            <w:gridSpan w:val="5"/>
            <w:vMerge w:val="restart"/>
          </w:tcPr>
          <w:p>
            <w:pPr>
              <w:jc w:val="right"/>
              <w:ind w:right="397"/>
              <w:spacing w:after="0"/>
              <w:rPr>
                <w:sz w:val="20"/>
                <w:szCs w:val="20"/>
                <w:color w:val="auto"/>
              </w:rPr>
            </w:pPr>
            <w:r>
              <w:rPr>
                <w:rFonts w:ascii="Arial" w:cs="Arial" w:eastAsia="Arial" w:hAnsi="Arial"/>
                <w:sz w:val="13"/>
                <w:szCs w:val="13"/>
                <w:b w:val="1"/>
                <w:bCs w:val="1"/>
                <w:color w:val="auto"/>
              </w:rPr>
              <w:t>Treasury stock</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Non</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5"/>
            <w:vMerge w:val="continue"/>
          </w:tcPr>
          <w:p>
            <w:pPr>
              <w:spacing w:after="0"/>
              <w:rPr>
                <w:sz w:val="13"/>
                <w:szCs w:val="13"/>
                <w:color w:val="auto"/>
              </w:rPr>
            </w:pPr>
          </w:p>
        </w:tc>
        <w:tc>
          <w:tcPr>
            <w:tcW w:w="158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Additional</w:t>
            </w:r>
          </w:p>
        </w:tc>
        <w:tc>
          <w:tcPr>
            <w:tcW w:w="900" w:type="dxa"/>
            <w:vAlign w:val="bottom"/>
            <w:gridSpan w:val="3"/>
          </w:tcPr>
          <w:p>
            <w:pPr>
              <w:jc w:val="center"/>
              <w:ind w:right="37"/>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Controlling</w:t>
            </w:r>
          </w:p>
        </w:tc>
        <w:tc>
          <w:tcPr>
            <w:tcW w:w="9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4"/>
              </w:rPr>
              <w:t>Stockholders'</w:t>
            </w:r>
          </w:p>
        </w:tc>
        <w:tc>
          <w:tcPr>
            <w:tcW w:w="0" w:type="dxa"/>
            <w:vAlign w:val="bottom"/>
          </w:tcPr>
          <w:p>
            <w:pPr>
              <w:spacing w:after="0"/>
              <w:rPr>
                <w:sz w:val="1"/>
                <w:szCs w:val="1"/>
                <w:color w:val="auto"/>
              </w:rPr>
            </w:pPr>
          </w:p>
        </w:tc>
      </w:tr>
      <w:tr>
        <w:trPr>
          <w:trHeight w:val="124"/>
        </w:trPr>
        <w:tc>
          <w:tcPr>
            <w:tcW w:w="27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700" w:type="dxa"/>
            <w:vAlign w:val="bottom"/>
          </w:tcPr>
          <w:p>
            <w:pPr>
              <w:spacing w:after="0"/>
              <w:rPr>
                <w:sz w:val="14"/>
                <w:szCs w:val="14"/>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4"/>
                <w:szCs w:val="14"/>
                <w:color w:val="auto"/>
              </w:rPr>
            </w:pPr>
          </w:p>
        </w:tc>
        <w:tc>
          <w:tcPr>
            <w:tcW w:w="5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7"/>
              </w:rPr>
              <w:t>Amount</w:t>
            </w:r>
          </w:p>
        </w:tc>
        <w:tc>
          <w:tcPr>
            <w:tcW w:w="24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7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93"/>
              </w:rPr>
              <w:t>Amount</w:t>
            </w: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capital</w:t>
            </w:r>
          </w:p>
        </w:tc>
        <w:tc>
          <w:tcPr>
            <w:tcW w:w="140" w:type="dxa"/>
            <w:vAlign w:val="bottom"/>
          </w:tcPr>
          <w:p>
            <w:pPr>
              <w:spacing w:after="0"/>
              <w:rPr>
                <w:sz w:val="14"/>
                <w:szCs w:val="14"/>
                <w:color w:val="auto"/>
              </w:rPr>
            </w:pPr>
          </w:p>
        </w:tc>
        <w:tc>
          <w:tcPr>
            <w:tcW w:w="760" w:type="dxa"/>
            <w:vAlign w:val="bottom"/>
            <w:gridSpan w:val="2"/>
          </w:tcPr>
          <w:p>
            <w:pPr>
              <w:jc w:val="center"/>
              <w:ind w:right="177"/>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Interest</w:t>
            </w:r>
          </w:p>
        </w:tc>
        <w:tc>
          <w:tcPr>
            <w:tcW w:w="16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7"/>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42,365</w:t>
            </w:r>
          </w:p>
        </w:tc>
        <w:tc>
          <w:tcPr>
            <w:tcW w:w="2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w:t>
            </w:r>
          </w:p>
        </w:tc>
        <w:tc>
          <w:tcPr>
            <w:tcW w:w="240" w:type="dxa"/>
            <w:vAlign w:val="bottom"/>
          </w:tcPr>
          <w:p>
            <w:pPr>
              <w:spacing w:after="0"/>
              <w:rPr>
                <w:sz w:val="13"/>
                <w:szCs w:val="13"/>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73,008</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22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1,061</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(9,926</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628,828</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(225,879</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40,745</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433,883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700" w:type="dxa"/>
            <w:vAlign w:val="bottom"/>
          </w:tcPr>
          <w:p>
            <w:pPr>
              <w:ind w:left="200"/>
              <w:spacing w:after="0" w:line="134" w:lineRule="exact"/>
              <w:rPr>
                <w:sz w:val="20"/>
                <w:szCs w:val="20"/>
                <w:color w:val="auto"/>
              </w:rPr>
            </w:pPr>
            <w:r>
              <w:rPr>
                <w:rFonts w:ascii="Arial" w:cs="Arial" w:eastAsia="Arial" w:hAnsi="Arial"/>
                <w:sz w:val="13"/>
                <w:szCs w:val="13"/>
                <w:color w:val="auto"/>
                <w:w w:val="92"/>
              </w:rPr>
              <w:t>Net income attributable to P10 and net income</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attributable to non controlling interest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605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769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shd w:val="clear" w:color="auto" w:fill="CFF0FC"/>
          </w:tcPr>
          <w:p>
            <w:pPr>
              <w:ind w:left="200"/>
              <w:spacing w:after="0" w:line="136" w:lineRule="exact"/>
              <w:rPr>
                <w:sz w:val="20"/>
                <w:szCs w:val="20"/>
                <w:color w:val="auto"/>
              </w:rPr>
            </w:pPr>
            <w:r>
              <w:rPr>
                <w:rFonts w:ascii="Arial" w:cs="Arial" w:eastAsia="Arial" w:hAnsi="Arial"/>
                <w:sz w:val="13"/>
                <w:szCs w:val="13"/>
                <w:color w:val="auto"/>
                <w:w w:val="90"/>
              </w:rPr>
              <w:t>Exchange of Class B common stock for Class A</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(76 )</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Exercise of stock options (net of tax)</w:t>
            </w:r>
          </w:p>
        </w:tc>
        <w:tc>
          <w:tcPr>
            <w:tcW w:w="640" w:type="dxa"/>
            <w:vAlign w:val="bottom"/>
          </w:tcPr>
          <w:p>
            <w:pPr>
              <w:jc w:val="right"/>
              <w:spacing w:after="0"/>
              <w:rPr>
                <w:sz w:val="20"/>
                <w:szCs w:val="20"/>
                <w:color w:val="auto"/>
              </w:rPr>
            </w:pPr>
            <w:r>
              <w:rPr>
                <w:rFonts w:ascii="Arial" w:cs="Arial" w:eastAsia="Arial" w:hAnsi="Arial"/>
                <w:sz w:val="13"/>
                <w:szCs w:val="13"/>
                <w:color w:val="auto"/>
              </w:rPr>
              <w:t>294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Distributions to non-controlling interests</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(122 )</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(122 )</w:t>
            </w: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Issuance of restricted stock units</w:t>
            </w:r>
          </w:p>
        </w:tc>
        <w:tc>
          <w:tcPr>
            <w:tcW w:w="640" w:type="dxa"/>
            <w:vAlign w:val="bottom"/>
          </w:tcPr>
          <w:p>
            <w:pPr>
              <w:jc w:val="right"/>
              <w:spacing w:after="0"/>
              <w:rPr>
                <w:sz w:val="20"/>
                <w:szCs w:val="20"/>
                <w:color w:val="auto"/>
              </w:rPr>
            </w:pPr>
            <w:r>
              <w:rPr>
                <w:rFonts w:ascii="Arial" w:cs="Arial" w:eastAsia="Arial" w:hAnsi="Arial"/>
                <w:sz w:val="13"/>
                <w:szCs w:val="13"/>
                <w:color w:val="auto"/>
              </w:rPr>
              <w:t>354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2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w w:val="91"/>
              </w:rPr>
              <w:t>Repurchase of common stock for employee tax</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witholding</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(3,038 )</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(3,038 )</w:t>
            </w: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Stock repurchase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(100 )</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(851 )</w:t>
            </w:r>
          </w:p>
        </w:tc>
        <w:tc>
          <w:tcPr>
            <w:tcW w:w="14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(851 )</w:t>
            </w: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w w:val="99"/>
              </w:rPr>
              <w:t>Accrual for excise tax associated with stock</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repurchases</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(7 )</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Dividends declared</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(1 )</w:t>
            </w:r>
          </w:p>
        </w:tc>
        <w:tc>
          <w:tcPr>
            <w:tcW w:w="14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paid</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(3,477 )</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(3,477 )</w:t>
            </w:r>
          </w:p>
        </w:tc>
        <w:tc>
          <w:tcPr>
            <w:tcW w:w="0" w:type="dxa"/>
            <w:vAlign w:val="bottom"/>
          </w:tcPr>
          <w:p>
            <w:pPr>
              <w:spacing w:after="0"/>
              <w:rPr>
                <w:sz w:val="1"/>
                <w:szCs w:val="1"/>
                <w:color w:val="auto"/>
              </w:rPr>
            </w:pPr>
          </w:p>
        </w:tc>
      </w:tr>
      <w:tr>
        <w:trPr>
          <w:trHeight w:val="155"/>
        </w:trPr>
        <w:tc>
          <w:tcPr>
            <w:tcW w:w="270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Balance at March 31, 2023</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43,089</w:t>
            </w:r>
          </w:p>
        </w:tc>
        <w:tc>
          <w:tcPr>
            <w:tcW w:w="2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w:t>
            </w:r>
          </w:p>
        </w:tc>
        <w:tc>
          <w:tcPr>
            <w:tcW w:w="2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72,832</w:t>
            </w:r>
          </w:p>
        </w:tc>
        <w:tc>
          <w:tcPr>
            <w:tcW w:w="2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w:t>
            </w:r>
          </w:p>
        </w:tc>
        <w:tc>
          <w:tcPr>
            <w:tcW w:w="22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1,061</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(9,926</w:t>
            </w:r>
          </w:p>
        </w:tc>
        <w:tc>
          <w:tcPr>
            <w:tcW w:w="12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624,706</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(225,274</w:t>
            </w:r>
          </w:p>
        </w:tc>
        <w:tc>
          <w:tcPr>
            <w:tcW w:w="1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40,787</w:t>
            </w: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430,409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00" w:type="dxa"/>
            <w:vAlign w:val="bottom"/>
            <w:shd w:val="clear" w:color="auto" w:fill="CFF0FC"/>
          </w:tcPr>
          <w:p>
            <w:pPr>
              <w:ind w:left="200"/>
              <w:spacing w:after="0" w:line="144" w:lineRule="exact"/>
              <w:rPr>
                <w:sz w:val="20"/>
                <w:szCs w:val="20"/>
                <w:color w:val="auto"/>
              </w:rPr>
            </w:pPr>
            <w:r>
              <w:rPr>
                <w:rFonts w:ascii="Arial" w:cs="Arial" w:eastAsia="Arial" w:hAnsi="Arial"/>
                <w:sz w:val="13"/>
                <w:szCs w:val="13"/>
                <w:color w:val="auto"/>
              </w:rPr>
              <w:t>Stock-based compensation</w:t>
            </w:r>
          </w:p>
        </w:tc>
        <w:tc>
          <w:tcPr>
            <w:tcW w:w="64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4,162</w:t>
            </w:r>
          </w:p>
        </w:tc>
        <w:tc>
          <w:tcPr>
            <w:tcW w:w="10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4,162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700" w:type="dxa"/>
            <w:vAlign w:val="bottom"/>
          </w:tcPr>
          <w:p>
            <w:pPr>
              <w:ind w:left="200"/>
              <w:spacing w:after="0" w:line="134" w:lineRule="exact"/>
              <w:rPr>
                <w:sz w:val="20"/>
                <w:szCs w:val="20"/>
                <w:color w:val="auto"/>
              </w:rPr>
            </w:pPr>
            <w:r>
              <w:rPr>
                <w:rFonts w:ascii="Arial" w:cs="Arial" w:eastAsia="Arial" w:hAnsi="Arial"/>
                <w:sz w:val="13"/>
                <w:szCs w:val="13"/>
                <w:color w:val="auto"/>
                <w:w w:val="92"/>
              </w:rPr>
              <w:t>Net income attributable to P10 and net income</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attributable to non controlling interest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1,763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339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2,102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700" w:type="dxa"/>
            <w:vAlign w:val="bottom"/>
            <w:shd w:val="clear" w:color="auto" w:fill="CFF0FC"/>
          </w:tcPr>
          <w:p>
            <w:pPr>
              <w:ind w:left="200"/>
              <w:spacing w:after="0" w:line="136" w:lineRule="exact"/>
              <w:rPr>
                <w:sz w:val="20"/>
                <w:szCs w:val="20"/>
                <w:color w:val="auto"/>
              </w:rPr>
            </w:pPr>
            <w:r>
              <w:rPr>
                <w:rFonts w:ascii="Arial" w:cs="Arial" w:eastAsia="Arial" w:hAnsi="Arial"/>
                <w:sz w:val="13"/>
                <w:szCs w:val="13"/>
                <w:color w:val="auto"/>
                <w:w w:val="90"/>
              </w:rPr>
              <w:t>Exchange of Class B common stock for Class A</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common stock</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110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(451 )</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(1 )</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Exercise of stock options (net of tax)</w:t>
            </w:r>
          </w:p>
        </w:tc>
        <w:tc>
          <w:tcPr>
            <w:tcW w:w="640" w:type="dxa"/>
            <w:vAlign w:val="bottom"/>
          </w:tcPr>
          <w:p>
            <w:pPr>
              <w:jc w:val="right"/>
              <w:spacing w:after="0"/>
              <w:rPr>
                <w:sz w:val="20"/>
                <w:szCs w:val="20"/>
                <w:color w:val="auto"/>
              </w:rPr>
            </w:pPr>
            <w:r>
              <w:rPr>
                <w:rFonts w:ascii="Arial" w:cs="Arial" w:eastAsia="Arial" w:hAnsi="Arial"/>
                <w:sz w:val="13"/>
                <w:szCs w:val="13"/>
                <w:color w:val="auto"/>
              </w:rPr>
              <w:t>54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Distributions to non-controlling interests</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(149 )</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(149 )</w:t>
            </w: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Issuance of restricted stock units</w:t>
            </w:r>
          </w:p>
        </w:tc>
        <w:tc>
          <w:tcPr>
            <w:tcW w:w="640" w:type="dxa"/>
            <w:vAlign w:val="bottom"/>
          </w:tcPr>
          <w:p>
            <w:pPr>
              <w:jc w:val="right"/>
              <w:spacing w:after="0"/>
              <w:rPr>
                <w:sz w:val="20"/>
                <w:szCs w:val="20"/>
                <w:color w:val="auto"/>
              </w:rPr>
            </w:pPr>
            <w:r>
              <w:rPr>
                <w:rFonts w:ascii="Arial" w:cs="Arial" w:eastAsia="Arial" w:hAnsi="Arial"/>
                <w:sz w:val="13"/>
                <w:szCs w:val="13"/>
                <w:color w:val="auto"/>
              </w:rPr>
              <w:t>230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700" w:type="dxa"/>
            <w:vAlign w:val="bottom"/>
            <w:shd w:val="clear" w:color="auto" w:fill="CFF0FC"/>
          </w:tcPr>
          <w:p>
            <w:pPr>
              <w:ind w:left="200"/>
              <w:spacing w:after="0" w:line="135" w:lineRule="exact"/>
              <w:rPr>
                <w:sz w:val="20"/>
                <w:szCs w:val="20"/>
                <w:color w:val="auto"/>
              </w:rPr>
            </w:pPr>
            <w:r>
              <w:rPr>
                <w:rFonts w:ascii="Arial" w:cs="Arial" w:eastAsia="Arial" w:hAnsi="Arial"/>
                <w:sz w:val="13"/>
                <w:szCs w:val="13"/>
                <w:color w:val="auto"/>
                <w:w w:val="91"/>
              </w:rPr>
              <w:t>Repurchase of common stock for employee tax</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witholding</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(1,958 )</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(1,958 )</w:t>
            </w:r>
          </w:p>
        </w:tc>
        <w:tc>
          <w:tcPr>
            <w:tcW w:w="0" w:type="dxa"/>
            <w:vAlign w:val="bottom"/>
          </w:tcPr>
          <w:p>
            <w:pPr>
              <w:spacing w:after="0"/>
              <w:rPr>
                <w:sz w:val="1"/>
                <w:szCs w:val="1"/>
                <w:color w:val="auto"/>
              </w:rPr>
            </w:pPr>
          </w:p>
        </w:tc>
      </w:tr>
      <w:tr>
        <w:trPr>
          <w:trHeight w:val="161"/>
        </w:trPr>
        <w:tc>
          <w:tcPr>
            <w:tcW w:w="2700" w:type="dxa"/>
            <w:vAlign w:val="bottom"/>
          </w:tcPr>
          <w:p>
            <w:pPr>
              <w:ind w:left="200"/>
              <w:spacing w:after="0"/>
              <w:rPr>
                <w:sz w:val="20"/>
                <w:szCs w:val="20"/>
                <w:color w:val="auto"/>
              </w:rPr>
            </w:pPr>
            <w:r>
              <w:rPr>
                <w:rFonts w:ascii="Arial" w:cs="Arial" w:eastAsia="Arial" w:hAnsi="Arial"/>
                <w:sz w:val="13"/>
                <w:szCs w:val="13"/>
                <w:color w:val="auto"/>
              </w:rPr>
              <w:t>Dividends declared</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(1 )</w:t>
            </w:r>
          </w:p>
        </w:tc>
        <w:tc>
          <w:tcPr>
            <w:tcW w:w="140" w:type="dxa"/>
            <w:vAlign w:val="bottom"/>
          </w:tcPr>
          <w:p>
            <w:pPr>
              <w:spacing w:after="0"/>
              <w:rPr>
                <w:sz w:val="14"/>
                <w:szCs w:val="14"/>
                <w:color w:val="auto"/>
              </w:rPr>
            </w:pPr>
          </w:p>
        </w:tc>
        <w:tc>
          <w:tcPr>
            <w:tcW w:w="7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62"/>
        </w:trPr>
        <w:tc>
          <w:tcPr>
            <w:tcW w:w="27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Dividends paid</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(3,774 )</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(3,774 )</w:t>
            </w:r>
          </w:p>
        </w:tc>
        <w:tc>
          <w:tcPr>
            <w:tcW w:w="0" w:type="dxa"/>
            <w:vAlign w:val="bottom"/>
          </w:tcPr>
          <w:p>
            <w:pPr>
              <w:spacing w:after="0"/>
              <w:rPr>
                <w:sz w:val="1"/>
                <w:szCs w:val="1"/>
                <w:color w:val="auto"/>
              </w:rPr>
            </w:pPr>
          </w:p>
        </w:tc>
      </w:tr>
      <w:tr>
        <w:trPr>
          <w:trHeight w:val="20"/>
        </w:trPr>
        <w:tc>
          <w:tcPr>
            <w:tcW w:w="27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70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2023</w:t>
            </w:r>
          </w:p>
        </w:tc>
        <w:tc>
          <w:tcPr>
            <w:tcW w:w="640" w:type="dxa"/>
            <w:vAlign w:val="bottom"/>
          </w:tcPr>
          <w:p>
            <w:pPr>
              <w:jc w:val="right"/>
              <w:spacing w:after="0"/>
              <w:rPr>
                <w:sz w:val="20"/>
                <w:szCs w:val="20"/>
                <w:color w:val="auto"/>
              </w:rPr>
            </w:pPr>
            <w:r>
              <w:rPr>
                <w:rFonts w:ascii="Arial" w:cs="Arial" w:eastAsia="Arial" w:hAnsi="Arial"/>
                <w:sz w:val="13"/>
                <w:szCs w:val="13"/>
                <w:color w:val="auto"/>
              </w:rPr>
              <w:t>43,824</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44</w:t>
            </w:r>
          </w:p>
        </w:tc>
        <w:tc>
          <w:tcPr>
            <w:tcW w:w="2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72,381</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72</w:t>
            </w:r>
          </w:p>
        </w:tc>
        <w:tc>
          <w:tcPr>
            <w:tcW w:w="2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1,061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(9,926 )</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627,420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(223,511 )</w:t>
            </w: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40,977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435,076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-4388485</wp:posOffset>
            </wp:positionV>
            <wp:extent cx="501459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14595" cy="12890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-3762375</wp:posOffset>
            </wp:positionV>
            <wp:extent cx="5014595" cy="8312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14595" cy="83121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-136525</wp:posOffset>
            </wp:positionV>
            <wp:extent cx="7683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-136525</wp:posOffset>
            </wp:positionV>
            <wp:extent cx="7747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-136525</wp:posOffset>
            </wp:positionV>
            <wp:extent cx="6858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-136525</wp:posOffset>
            </wp:positionV>
            <wp:extent cx="6858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-136525</wp:posOffset>
            </wp:positionV>
            <wp:extent cx="6858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-136525</wp:posOffset>
            </wp:positionV>
            <wp:extent cx="6858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-136525</wp:posOffset>
            </wp:positionV>
            <wp:extent cx="6858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-136525</wp:posOffset>
            </wp:positionV>
            <wp:extent cx="6858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-136525</wp:posOffset>
            </wp:positionV>
            <wp:extent cx="6858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right="1100" w:hanging="179"/>
        <w:spacing w:after="0" w:line="263" w:lineRule="auto"/>
        <w:rPr>
          <w:sz w:val="20"/>
          <w:szCs w:val="20"/>
          <w:color w:val="auto"/>
        </w:rPr>
      </w:pPr>
      <w:r>
        <w:rPr>
          <w:rFonts w:ascii="Arial" w:cs="Arial" w:eastAsia="Arial" w:hAnsi="Arial"/>
          <w:sz w:val="13"/>
          <w:szCs w:val="13"/>
          <w:b w:val="1"/>
          <w:bCs w:val="1"/>
          <w:color w:val="auto"/>
        </w:rPr>
        <w:t xml:space="preserve">CASH FLOWS FROM OPERATING ACTIVITIES </w:t>
      </w:r>
      <w:r>
        <w:rPr>
          <w:rFonts w:ascii="Arial" w:cs="Arial" w:eastAsia="Arial" w:hAnsi="Arial"/>
          <w:sz w:val="13"/>
          <w:szCs w:val="13"/>
          <w:color w:val="auto"/>
        </w:rPr>
        <w:t>Net income</w:t>
      </w:r>
    </w:p>
    <w:p>
      <w:pPr>
        <w:ind w:left="480" w:hanging="93"/>
        <w:spacing w:after="0" w:line="236" w:lineRule="auto"/>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Stock-based compensation</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Depreciation expense</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Amortization of intangibles</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Amortization of debt issuance costs and debt discount</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Income from unconsolidated subsidiaries</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Deferred tax expense</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Amortization of contingent payment to customers</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Remeasurement of contingent consideration</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Post close purchase price adjustment</w:t>
      </w:r>
    </w:p>
    <w:p>
      <w:pPr>
        <w:spacing w:after="0" w:line="13"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Change in operating assets and liabilities: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Accounts receivable</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Due from related parties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Prepaid expenses and other assets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Right-of-use assets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Accounts payable</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Accrued expenses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Accrued compensation and benefits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Due to related parties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Other liabilities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Deferred revenues</w:t>
      </w:r>
    </w:p>
    <w:p>
      <w:pPr>
        <w:spacing w:after="0" w:line="1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Lease liabilities</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Net cash provided by operating activities</w:t>
      </w:r>
    </w:p>
    <w:p>
      <w:pPr>
        <w:spacing w:after="0" w:line="11" w:lineRule="exact"/>
        <w:rPr>
          <w:sz w:val="20"/>
          <w:szCs w:val="20"/>
          <w:color w:val="auto"/>
        </w:rPr>
      </w:pPr>
    </w:p>
    <w:p>
      <w:pPr>
        <w:ind w:left="200" w:right="940" w:hanging="179"/>
        <w:spacing w:after="0" w:line="261" w:lineRule="auto"/>
        <w:rPr>
          <w:sz w:val="20"/>
          <w:szCs w:val="20"/>
          <w:color w:val="auto"/>
        </w:rPr>
      </w:pPr>
      <w:r>
        <w:rPr>
          <w:rFonts w:ascii="Arial" w:cs="Arial" w:eastAsia="Arial" w:hAnsi="Arial"/>
          <w:sz w:val="13"/>
          <w:szCs w:val="13"/>
          <w:b w:val="1"/>
          <w:bCs w:val="1"/>
          <w:color w:val="auto"/>
        </w:rPr>
        <w:t xml:space="preserve">CASH FLOWS (USED IN) INVESTING ACTIVITIES </w:t>
      </w:r>
      <w:r>
        <w:rPr>
          <w:rFonts w:ascii="Arial" w:cs="Arial" w:eastAsia="Arial" w:hAnsi="Arial"/>
          <w:sz w:val="13"/>
          <w:szCs w:val="13"/>
          <w:color w:val="auto"/>
        </w:rPr>
        <w:t>Purchase of intangible assets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Draw on note receivable</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Proceeds from note receivable</w:t>
      </w:r>
    </w:p>
    <w:p>
      <w:pPr>
        <w:spacing w:after="0" w:line="13" w:lineRule="exact"/>
        <w:rPr>
          <w:sz w:val="20"/>
          <w:szCs w:val="20"/>
          <w:color w:val="auto"/>
        </w:rPr>
      </w:pPr>
    </w:p>
    <w:p>
      <w:pPr>
        <w:ind w:left="200" w:right="820"/>
        <w:spacing w:after="0" w:line="260" w:lineRule="auto"/>
        <w:rPr>
          <w:sz w:val="20"/>
          <w:szCs w:val="20"/>
          <w:color w:val="auto"/>
        </w:rPr>
      </w:pPr>
      <w:r>
        <w:rPr>
          <w:rFonts w:ascii="Arial" w:cs="Arial" w:eastAsia="Arial" w:hAnsi="Arial"/>
          <w:sz w:val="13"/>
          <w:szCs w:val="13"/>
          <w:color w:val="auto"/>
        </w:rPr>
        <w:t>Proceeds from investments in unconsolidated subsidiaries Software capitalization</w:t>
      </w:r>
    </w:p>
    <w:p>
      <w:pPr>
        <w:ind w:left="200"/>
        <w:spacing w:after="0"/>
        <w:rPr>
          <w:sz w:val="20"/>
          <w:szCs w:val="20"/>
          <w:color w:val="auto"/>
        </w:rPr>
      </w:pPr>
      <w:r>
        <w:rPr>
          <w:rFonts w:ascii="Arial" w:cs="Arial" w:eastAsia="Arial" w:hAnsi="Arial"/>
          <w:sz w:val="13"/>
          <w:szCs w:val="13"/>
          <w:color w:val="auto"/>
        </w:rPr>
        <w:t>Purchases of property and equipment</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Net cash (used in) investing activities</w:t>
      </w:r>
    </w:p>
    <w:p>
      <w:pPr>
        <w:spacing w:after="0" w:line="11" w:lineRule="exact"/>
        <w:rPr>
          <w:sz w:val="20"/>
          <w:szCs w:val="20"/>
          <w:color w:val="auto"/>
        </w:rPr>
      </w:pPr>
    </w:p>
    <w:p>
      <w:pPr>
        <w:ind w:left="200" w:right="920" w:hanging="179"/>
        <w:spacing w:after="0" w:line="261" w:lineRule="auto"/>
        <w:rPr>
          <w:sz w:val="20"/>
          <w:szCs w:val="20"/>
          <w:color w:val="auto"/>
        </w:rPr>
      </w:pPr>
      <w:r>
        <w:rPr>
          <w:rFonts w:ascii="Arial" w:cs="Arial" w:eastAsia="Arial" w:hAnsi="Arial"/>
          <w:sz w:val="13"/>
          <w:szCs w:val="13"/>
          <w:b w:val="1"/>
          <w:bCs w:val="1"/>
          <w:color w:val="auto"/>
        </w:rPr>
        <w:t xml:space="preserve">CASH FLOWS (USED IN) FINANCING ACTIVITIES </w:t>
      </w:r>
      <w:r>
        <w:rPr>
          <w:rFonts w:ascii="Arial" w:cs="Arial" w:eastAsia="Arial" w:hAnsi="Arial"/>
          <w:sz w:val="13"/>
          <w:szCs w:val="13"/>
          <w:color w:val="auto"/>
        </w:rPr>
        <w:t>Borrowings on debt obligations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Repayments on debt obligations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2"/>
          <w:szCs w:val="12"/>
          <w:color w:val="auto"/>
        </w:rPr>
        <w:t>Repurchase of Class A common stock for employee tax withholding</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3"/>
          <w:szCs w:val="13"/>
          <w:color w:val="auto"/>
        </w:rPr>
        <w:t>Repurchase of Class B common stock</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Payment of contingent consideration</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Cash settlement of stock options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Dividends paid</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Distributions to partners</w:t>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Debt issuance costs</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3"/>
          <w:szCs w:val="13"/>
          <w:color w:val="auto"/>
        </w:rPr>
        <w:t>Net cash (used in) financing activities</w:t>
      </w:r>
    </w:p>
    <w:p>
      <w:pPr>
        <w:spacing w:after="0" w:line="26" w:lineRule="exact"/>
        <w:rPr>
          <w:sz w:val="20"/>
          <w:szCs w:val="20"/>
          <w:color w:val="auto"/>
        </w:rPr>
      </w:pPr>
    </w:p>
    <w:p>
      <w:pPr>
        <w:ind w:left="740"/>
        <w:spacing w:after="0"/>
        <w:rPr>
          <w:sz w:val="20"/>
          <w:szCs w:val="20"/>
          <w:color w:val="auto"/>
        </w:rPr>
      </w:pPr>
      <w:r>
        <w:rPr>
          <w:rFonts w:ascii="Arial" w:cs="Arial" w:eastAsia="Arial" w:hAnsi="Arial"/>
          <w:sz w:val="12"/>
          <w:szCs w:val="12"/>
          <w:color w:val="auto"/>
        </w:rPr>
        <w:t>Net change in cash, cash equivalents and restricted cash</w:t>
      </w:r>
    </w:p>
    <w:p>
      <w:pPr>
        <w:spacing w:after="0" w:line="22" w:lineRule="exact"/>
        <w:rPr>
          <w:sz w:val="20"/>
          <w:szCs w:val="20"/>
          <w:color w:val="auto"/>
        </w:rPr>
      </w:pPr>
    </w:p>
    <w:p>
      <w:pPr>
        <w:ind w:left="120" w:right="100" w:hanging="94"/>
        <w:spacing w:after="0" w:line="238" w:lineRule="auto"/>
        <w:rPr>
          <w:sz w:val="20"/>
          <w:szCs w:val="20"/>
          <w:color w:val="auto"/>
        </w:rPr>
      </w:pPr>
      <w:r>
        <w:rPr>
          <w:rFonts w:ascii="Arial" w:cs="Arial" w:eastAsia="Arial" w:hAnsi="Arial"/>
          <w:sz w:val="13"/>
          <w:szCs w:val="13"/>
          <w:b w:val="1"/>
          <w:bCs w:val="1"/>
          <w:color w:val="auto"/>
        </w:rPr>
        <w:t>CASH, CASH EQUIVALENTS AND RESTRICTED CASH, beginning of period</w:t>
      </w:r>
    </w:p>
    <w:p>
      <w:pPr>
        <w:spacing w:after="0" w:line="1" w:lineRule="exact"/>
        <w:rPr>
          <w:sz w:val="20"/>
          <w:szCs w:val="20"/>
          <w:color w:val="auto"/>
        </w:rPr>
      </w:pPr>
    </w:p>
    <w:p>
      <w:pPr>
        <w:ind w:left="120" w:right="300" w:hanging="94"/>
        <w:spacing w:after="0" w:line="238" w:lineRule="auto"/>
        <w:rPr>
          <w:sz w:val="20"/>
          <w:szCs w:val="20"/>
          <w:color w:val="auto"/>
        </w:rPr>
      </w:pPr>
      <w:r>
        <w:rPr>
          <w:rFonts w:ascii="Arial" w:cs="Arial" w:eastAsia="Arial" w:hAnsi="Arial"/>
          <w:sz w:val="13"/>
          <w:szCs w:val="13"/>
          <w:b w:val="1"/>
          <w:bCs w:val="1"/>
          <w:color w:val="auto"/>
        </w:rPr>
        <w:t>CASH, CASH EQUIVALENTS AND RESTRICTED CASH, end of period</w:t>
      </w:r>
    </w:p>
    <w:p>
      <w:pPr>
        <w:spacing w:after="0" w:line="20" w:lineRule="exact"/>
        <w:rPr>
          <w:sz w:val="20"/>
          <w:szCs w:val="20"/>
          <w:color w:val="auto"/>
        </w:rPr>
      </w:pPr>
      <w:r>
        <w:rPr>
          <w:sz w:val="20"/>
          <w:szCs w:val="20"/>
          <w:color w:val="auto"/>
        </w:rPr>
        <w:br w:type="column"/>
      </w:r>
    </w:p>
    <w:p>
      <w:pPr>
        <w:jc w:val="center"/>
        <w:ind w:right="4120"/>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4120"/>
        <w:spacing w:after="0"/>
        <w:rPr>
          <w:sz w:val="20"/>
          <w:szCs w:val="20"/>
          <w:color w:val="auto"/>
        </w:rPr>
      </w:pPr>
      <w:r>
        <w:rPr>
          <w:rFonts w:ascii="Arial" w:cs="Arial" w:eastAsia="Arial" w:hAnsi="Arial"/>
          <w:sz w:val="16"/>
          <w:szCs w:val="16"/>
          <w:color w:val="auto"/>
        </w:rPr>
        <w:t>Consolidated Statements of Cash Flows</w:t>
      </w:r>
    </w:p>
    <w:p>
      <w:pPr>
        <w:spacing w:after="0" w:line="32" w:lineRule="exact"/>
        <w:rPr>
          <w:sz w:val="20"/>
          <w:szCs w:val="20"/>
          <w:color w:val="auto"/>
        </w:rPr>
      </w:pPr>
    </w:p>
    <w:p>
      <w:pPr>
        <w:jc w:val="center"/>
        <w:ind w:right="4120"/>
        <w:spacing w:after="0"/>
        <w:rPr>
          <w:sz w:val="20"/>
          <w:szCs w:val="20"/>
          <w:color w:val="auto"/>
        </w:rPr>
      </w:pPr>
      <w:r>
        <w:rPr>
          <w:rFonts w:ascii="Arial" w:cs="Arial" w:eastAsia="Arial" w:hAnsi="Arial"/>
          <w:sz w:val="18"/>
          <w:szCs w:val="18"/>
          <w:i w:val="1"/>
          <w:iCs w:val="1"/>
          <w:color w:val="auto"/>
        </w:rPr>
        <w:t>(Unaudited, in thousands)</w:t>
      </w:r>
    </w:p>
    <w:p>
      <w:pPr>
        <w:spacing w:after="0" w:line="125" w:lineRule="exact"/>
        <w:rPr>
          <w:sz w:val="20"/>
          <w:szCs w:val="20"/>
          <w:color w:val="auto"/>
        </w:rPr>
      </w:pPr>
    </w:p>
    <w:p>
      <w:pPr>
        <w:jc w:val="center"/>
        <w:ind w:left="-3999"/>
        <w:spacing w:after="0"/>
        <w:rPr>
          <w:sz w:val="20"/>
          <w:szCs w:val="20"/>
          <w:color w:val="auto"/>
        </w:rPr>
      </w:pPr>
      <w:r>
        <w:rPr>
          <w:rFonts w:ascii="Arial" w:cs="Arial" w:eastAsia="Arial" w:hAnsi="Arial"/>
          <w:sz w:val="13"/>
          <w:szCs w:val="13"/>
          <w:b w:val="1"/>
          <w:bCs w:val="1"/>
          <w:color w:val="auto"/>
        </w:rPr>
        <w:t>For the Six Months</w:t>
      </w:r>
    </w:p>
    <w:p>
      <w:pPr>
        <w:jc w:val="center"/>
        <w:ind w:left="-3999"/>
        <w:spacing w:after="0"/>
        <w:rPr>
          <w:sz w:val="20"/>
          <w:szCs w:val="20"/>
          <w:color w:val="auto"/>
        </w:rPr>
      </w:pPr>
      <w:r>
        <w:rPr>
          <w:rFonts w:ascii="Arial" w:cs="Arial" w:eastAsia="Arial" w:hAnsi="Arial"/>
          <w:sz w:val="13"/>
          <w:szCs w:val="13"/>
          <w:b w:val="1"/>
          <w:bCs w:val="1"/>
          <w:color w:val="auto"/>
        </w:rPr>
        <w:t>Ended June 30,</w:t>
      </w:r>
    </w:p>
    <w:p>
      <w:pPr>
        <w:spacing w:after="0" w:line="145" w:lineRule="exact"/>
        <w:rPr>
          <w:sz w:val="20"/>
          <w:szCs w:val="20"/>
          <w:color w:val="auto"/>
        </w:rPr>
      </w:pPr>
    </w:p>
    <w:tbl>
      <w:tblPr>
        <w:tblLayout w:type="fixed"/>
        <w:tblInd w:w="4460" w:type="dxa"/>
        <w:tblCellMar>
          <w:top w:w="0" w:type="dxa"/>
          <w:left w:w="0" w:type="dxa"/>
          <w:bottom w:w="0" w:type="dxa"/>
          <w:right w:w="0" w:type="dxa"/>
        </w:tblCellMar>
      </w:tblPr>
      <w:tr>
        <w:trPr>
          <w:trHeight w:val="175"/>
        </w:trPr>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2023</w:t>
            </w:r>
          </w:p>
        </w:tc>
        <w:tc>
          <w:tcPr>
            <w:tcW w:w="26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2022</w:t>
            </w:r>
          </w:p>
        </w:tc>
        <w:tc>
          <w:tcPr>
            <w:tcW w:w="40" w:type="dxa"/>
            <w:vAlign w:val="bottom"/>
          </w:tcPr>
          <w:p>
            <w:pPr>
              <w:spacing w:after="0"/>
              <w:rPr>
                <w:sz w:val="15"/>
                <w:szCs w:val="15"/>
                <w:color w:val="auto"/>
              </w:rPr>
            </w:pPr>
          </w:p>
        </w:tc>
      </w:tr>
      <w:tr>
        <w:trPr>
          <w:trHeight w:val="315"/>
        </w:trPr>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2,871</w:t>
            </w:r>
          </w:p>
        </w:tc>
        <w:tc>
          <w:tcPr>
            <w:tcW w:w="260" w:type="dxa"/>
            <w:vAlign w:val="bottom"/>
          </w:tcPr>
          <w:p>
            <w:pPr>
              <w:spacing w:after="0"/>
              <w:rPr>
                <w:sz w:val="24"/>
                <w:szCs w:val="24"/>
                <w:color w:val="auto"/>
              </w:rPr>
            </w:pP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18,946</w:t>
            </w:r>
          </w:p>
        </w:tc>
        <w:tc>
          <w:tcPr>
            <w:tcW w:w="40" w:type="dxa"/>
            <w:vAlign w:val="bottom"/>
          </w:tcPr>
          <w:p>
            <w:pPr>
              <w:spacing w:after="0"/>
              <w:rPr>
                <w:sz w:val="24"/>
                <w:szCs w:val="24"/>
                <w:color w:val="auto"/>
              </w:rPr>
            </w:pPr>
          </w:p>
        </w:tc>
      </w:tr>
      <w:tr>
        <w:trPr>
          <w:trHeight w:val="459"/>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15,171</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4,232</w:t>
            </w:r>
          </w:p>
        </w:tc>
        <w:tc>
          <w:tcPr>
            <w:tcW w:w="40" w:type="dxa"/>
            <w:vAlign w:val="bottom"/>
          </w:tcPr>
          <w:p>
            <w:pPr>
              <w:spacing w:after="0"/>
              <w:rPr>
                <w:sz w:val="24"/>
                <w:szCs w:val="2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205</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14,574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12,334</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723</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425</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(531 )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(1,110 )</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485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5,775</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470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(13 )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4"/>
                <w:szCs w:val="14"/>
                <w:color w:val="auto"/>
              </w:rPr>
            </w:pPr>
          </w:p>
        </w:tc>
      </w:tr>
      <w:tr>
        <w:trPr>
          <w:trHeight w:val="324"/>
        </w:trPr>
        <w:tc>
          <w:tcPr>
            <w:tcW w:w="260" w:type="dxa"/>
            <w:vAlign w:val="bottom"/>
          </w:tcPr>
          <w:p>
            <w:pPr>
              <w:spacing w:after="0"/>
              <w:rPr>
                <w:sz w:val="24"/>
                <w:szCs w:val="2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(2,748 )</w:t>
            </w:r>
          </w:p>
        </w:tc>
        <w:tc>
          <w:tcPr>
            <w:tcW w:w="2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(3,816 )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(8,339 )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(11,259 )</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1,025</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1,510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2,088</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789</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1,588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(1,102 )</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12,907</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(894 )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(1,570 )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(1,458 )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(7,951 )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(825 )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(444 )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(430 )</w:t>
            </w:r>
          </w:p>
        </w:tc>
      </w:tr>
      <w:tr>
        <w:trPr>
          <w:trHeight w:val="163"/>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(814 )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(1,752 )</w:t>
            </w:r>
          </w:p>
        </w:tc>
      </w:tr>
      <w:tr>
        <w:trPr>
          <w:trHeight w:val="155"/>
        </w:trPr>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29,207</w:t>
            </w:r>
          </w:p>
        </w:tc>
        <w:tc>
          <w:tcPr>
            <w:tcW w:w="2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23,171</w:t>
            </w:r>
          </w:p>
        </w:tc>
        <w:tc>
          <w:tcPr>
            <w:tcW w:w="40" w:type="dxa"/>
            <w:vAlign w:val="bottom"/>
          </w:tcPr>
          <w:p>
            <w:pPr>
              <w:spacing w:after="0"/>
              <w:rPr>
                <w:sz w:val="13"/>
                <w:szCs w:val="13"/>
                <w:color w:val="auto"/>
              </w:rPr>
            </w:pPr>
          </w:p>
        </w:tc>
      </w:tr>
      <w:tr>
        <w:trPr>
          <w:trHeight w:val="323"/>
        </w:trPr>
        <w:tc>
          <w:tcPr>
            <w:tcW w:w="260" w:type="dxa"/>
            <w:vAlign w:val="bottom"/>
          </w:tcPr>
          <w:p>
            <w:pPr>
              <w:spacing w:after="0"/>
              <w:rPr>
                <w:sz w:val="24"/>
                <w:szCs w:val="2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(22 )</w:t>
            </w:r>
          </w:p>
        </w:tc>
        <w:tc>
          <w:tcPr>
            <w:tcW w:w="240" w:type="dxa"/>
            <w:vAlign w:val="bottom"/>
          </w:tcPr>
          <w:p>
            <w:pPr>
              <w:spacing w:after="0"/>
              <w:rPr>
                <w:sz w:val="24"/>
                <w:szCs w:val="24"/>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(211 )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(266 )</w:t>
            </w: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660</w:t>
            </w:r>
          </w:p>
        </w:tc>
        <w:tc>
          <w:tcPr>
            <w:tcW w:w="40" w:type="dxa"/>
            <w:vAlign w:val="bottom"/>
          </w:tcPr>
          <w:p>
            <w:pPr>
              <w:spacing w:after="0"/>
              <w:rPr>
                <w:sz w:val="14"/>
                <w:szCs w:val="14"/>
                <w:color w:val="auto"/>
              </w:rPr>
            </w:pP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(9 )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(87 )</w:t>
            </w:r>
          </w:p>
        </w:tc>
      </w:tr>
      <w:tr>
        <w:trPr>
          <w:trHeight w:val="163"/>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(853 )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(634 )</w:t>
            </w:r>
          </w:p>
        </w:tc>
      </w:tr>
      <w:tr>
        <w:trPr>
          <w:trHeight w:val="155"/>
        </w:trPr>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(627</w:t>
            </w:r>
          </w:p>
        </w:tc>
        <w:tc>
          <w:tcPr>
            <w:tcW w:w="260" w:type="dxa"/>
            <w:vAlign w:val="bottom"/>
          </w:tcPr>
          <w:p>
            <w:pPr>
              <w:jc w:val="right"/>
              <w:ind w:right="137"/>
              <w:spacing w:after="0"/>
              <w:rPr>
                <w:sz w:val="20"/>
                <w:szCs w:val="20"/>
                <w:color w:val="auto"/>
              </w:rPr>
            </w:pPr>
            <w:r>
              <w:rPr>
                <w:rFonts w:ascii="Arial" w:cs="Arial" w:eastAsia="Arial" w:hAnsi="Arial"/>
                <w:sz w:val="13"/>
                <w:szCs w:val="13"/>
                <w:color w:val="auto"/>
                <w:w w:val="91"/>
              </w:rPr>
              <w:t>)</w:t>
            </w:r>
          </w:p>
        </w:tc>
        <w:tc>
          <w:tcPr>
            <w:tcW w:w="2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(320</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323"/>
        </w:trPr>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22,000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(40,213 )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(25,000 )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(4,996 )</w:t>
            </w:r>
          </w:p>
        </w:tc>
        <w:tc>
          <w:tcPr>
            <w:tcW w:w="240" w:type="dxa"/>
            <w:vAlign w:val="bottom"/>
          </w:tcPr>
          <w:p>
            <w:pPr>
              <w:spacing w:after="0"/>
              <w:rPr>
                <w:sz w:val="14"/>
                <w:szCs w:val="14"/>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(851 )</w:t>
            </w:r>
          </w:p>
        </w:tc>
        <w:tc>
          <w:tcPr>
            <w:tcW w:w="240" w:type="dxa"/>
            <w:vAlign w:val="bottom"/>
          </w:tcPr>
          <w:p>
            <w:pPr>
              <w:spacing w:after="0"/>
              <w:rPr>
                <w:sz w:val="14"/>
                <w:szCs w:val="14"/>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(1,588 )</w:t>
            </w:r>
          </w:p>
        </w:tc>
        <w:tc>
          <w:tcPr>
            <w:tcW w:w="240" w:type="dxa"/>
            <w:vAlign w:val="bottom"/>
          </w:tcPr>
          <w:p>
            <w:pPr>
              <w:spacing w:after="0"/>
              <w:rPr>
                <w:sz w:val="14"/>
                <w:szCs w:val="14"/>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(12,466 )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(7,251 )</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(3,515 )</w:t>
            </w:r>
          </w:p>
        </w:tc>
      </w:tr>
      <w:tr>
        <w:trPr>
          <w:trHeight w:val="162"/>
        </w:trPr>
        <w:tc>
          <w:tcPr>
            <w:tcW w:w="260" w:type="dxa"/>
            <w:vAlign w:val="bottom"/>
          </w:tcPr>
          <w:p>
            <w:pPr>
              <w:spacing w:after="0"/>
              <w:rPr>
                <w:sz w:val="14"/>
                <w:szCs w:val="14"/>
                <w:color w:val="auto"/>
              </w:rPr>
            </w:pPr>
          </w:p>
        </w:tc>
        <w:tc>
          <w:tcPr>
            <w:tcW w:w="1160" w:type="dxa"/>
            <w:vAlign w:val="bottom"/>
            <w:gridSpan w:val="2"/>
          </w:tcPr>
          <w:p>
            <w:pPr>
              <w:jc w:val="right"/>
              <w:ind w:right="137"/>
              <w:spacing w:after="0"/>
              <w:rPr>
                <w:sz w:val="20"/>
                <w:szCs w:val="20"/>
                <w:color w:val="auto"/>
              </w:rPr>
            </w:pPr>
            <w:r>
              <w:rPr>
                <w:rFonts w:ascii="Arial" w:cs="Arial" w:eastAsia="Arial" w:hAnsi="Arial"/>
                <w:sz w:val="13"/>
                <w:szCs w:val="13"/>
                <w:color w:val="auto"/>
              </w:rPr>
              <w:t>(312 )</w:t>
            </w:r>
          </w:p>
        </w:tc>
        <w:tc>
          <w:tcPr>
            <w:tcW w:w="240" w:type="dxa"/>
            <w:vAlign w:val="bottom"/>
          </w:tcPr>
          <w:p>
            <w:pPr>
              <w:spacing w:after="0"/>
              <w:rPr>
                <w:sz w:val="14"/>
                <w:szCs w:val="14"/>
                <w:color w:val="auto"/>
              </w:rPr>
            </w:pPr>
          </w:p>
        </w:tc>
        <w:tc>
          <w:tcPr>
            <w:tcW w:w="880" w:type="dxa"/>
            <w:vAlign w:val="bottom"/>
            <w:gridSpan w:val="2"/>
          </w:tcPr>
          <w:p>
            <w:pPr>
              <w:jc w:val="right"/>
              <w:ind w:right="18"/>
              <w:spacing w:after="0"/>
              <w:rPr>
                <w:sz w:val="20"/>
                <w:szCs w:val="20"/>
                <w:color w:val="auto"/>
              </w:rPr>
            </w:pPr>
            <w:r>
              <w:rPr>
                <w:rFonts w:ascii="Arial" w:cs="Arial" w:eastAsia="Arial" w:hAnsi="Arial"/>
                <w:sz w:val="13"/>
                <w:szCs w:val="13"/>
                <w:color w:val="auto"/>
              </w:rPr>
              <w:t>—</w:t>
            </w:r>
          </w:p>
        </w:tc>
      </w:tr>
      <w:tr>
        <w:trPr>
          <w:trHeight w:val="163"/>
        </w:trPr>
        <w:tc>
          <w:tcPr>
            <w:tcW w:w="260" w:type="dxa"/>
            <w:vAlign w:val="bottom"/>
          </w:tcPr>
          <w:p>
            <w:pPr>
              <w:spacing w:after="0"/>
              <w:rPr>
                <w:sz w:val="14"/>
                <w:szCs w:val="14"/>
                <w:color w:val="auto"/>
              </w:rPr>
            </w:pPr>
          </w:p>
        </w:tc>
        <w:tc>
          <w:tcPr>
            <w:tcW w:w="116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(8 )</w:t>
            </w:r>
          </w:p>
        </w:tc>
      </w:tr>
      <w:tr>
        <w:trPr>
          <w:trHeight w:val="156"/>
        </w:trPr>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(33,211</w:t>
            </w:r>
          </w:p>
        </w:tc>
        <w:tc>
          <w:tcPr>
            <w:tcW w:w="260" w:type="dxa"/>
            <w:vAlign w:val="bottom"/>
          </w:tcPr>
          <w:p>
            <w:pPr>
              <w:jc w:val="right"/>
              <w:ind w:right="137"/>
              <w:spacing w:after="0"/>
              <w:rPr>
                <w:sz w:val="20"/>
                <w:szCs w:val="20"/>
                <w:color w:val="auto"/>
              </w:rPr>
            </w:pPr>
            <w:r>
              <w:rPr>
                <w:rFonts w:ascii="Arial" w:cs="Arial" w:eastAsia="Arial" w:hAnsi="Arial"/>
                <w:sz w:val="13"/>
                <w:szCs w:val="13"/>
                <w:color w:val="auto"/>
                <w:w w:val="91"/>
              </w:rPr>
              <w:t>)</w:t>
            </w: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(40,989</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155"/>
        </w:trPr>
        <w:tc>
          <w:tcPr>
            <w:tcW w:w="26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(4,631</w:t>
            </w:r>
          </w:p>
        </w:tc>
        <w:tc>
          <w:tcPr>
            <w:tcW w:w="260" w:type="dxa"/>
            <w:vAlign w:val="bottom"/>
          </w:tcPr>
          <w:p>
            <w:pPr>
              <w:jc w:val="right"/>
              <w:ind w:right="137"/>
              <w:spacing w:after="0"/>
              <w:rPr>
                <w:sz w:val="20"/>
                <w:szCs w:val="20"/>
                <w:color w:val="auto"/>
              </w:rPr>
            </w:pPr>
            <w:r>
              <w:rPr>
                <w:rFonts w:ascii="Arial" w:cs="Arial" w:eastAsia="Arial" w:hAnsi="Arial"/>
                <w:sz w:val="13"/>
                <w:szCs w:val="13"/>
                <w:color w:val="auto"/>
                <w:w w:val="91"/>
              </w:rPr>
              <w:t>)</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(18,138</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84"/>
        </w:trPr>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29,492</w:t>
            </w: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43,482</w:t>
            </w:r>
          </w:p>
        </w:tc>
        <w:tc>
          <w:tcPr>
            <w:tcW w:w="40" w:type="dxa"/>
            <w:vAlign w:val="bottom"/>
          </w:tcPr>
          <w:p>
            <w:pPr>
              <w:spacing w:after="0"/>
              <w:rPr>
                <w:sz w:val="24"/>
                <w:szCs w:val="24"/>
                <w:color w:val="auto"/>
              </w:rPr>
            </w:pPr>
          </w:p>
        </w:tc>
      </w:tr>
      <w:tr>
        <w:trPr>
          <w:trHeight w:val="250"/>
        </w:trPr>
        <w:tc>
          <w:tcPr>
            <w:tcW w:w="2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24,861</w:t>
            </w:r>
          </w:p>
        </w:tc>
        <w:tc>
          <w:tcPr>
            <w:tcW w:w="260" w:type="dxa"/>
            <w:vAlign w:val="bottom"/>
          </w:tcPr>
          <w:p>
            <w:pPr>
              <w:spacing w:after="0"/>
              <w:rPr>
                <w:sz w:val="21"/>
                <w:szCs w:val="21"/>
                <w:color w:val="auto"/>
              </w:rPr>
            </w:pPr>
          </w:p>
        </w:tc>
        <w:tc>
          <w:tcPr>
            <w:tcW w:w="2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25,344</w:t>
            </w:r>
          </w:p>
        </w:tc>
        <w:tc>
          <w:tcPr>
            <w:tcW w:w="40" w:type="dxa"/>
            <w:vAlign w:val="bottom"/>
          </w:tcPr>
          <w:p>
            <w:pPr>
              <w:spacing w:after="0"/>
              <w:rPr>
                <w:sz w:val="21"/>
                <w:szCs w:val="2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-5125720</wp:posOffset>
            </wp:positionV>
            <wp:extent cx="713232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-4919980</wp:posOffset>
            </wp:positionV>
            <wp:extent cx="713232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-4628515</wp:posOffset>
            </wp:positionV>
            <wp:extent cx="713232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-4422775</wp:posOffset>
            </wp:positionV>
            <wp:extent cx="713232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-4217035</wp:posOffset>
            </wp:positionV>
            <wp:extent cx="713232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-4011295</wp:posOffset>
            </wp:positionV>
            <wp:extent cx="713232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-3805555</wp:posOffset>
            </wp:positionV>
            <wp:extent cx="7132320" cy="10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-3599815</wp:posOffset>
            </wp:positionV>
            <wp:extent cx="713232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-3394075</wp:posOffset>
            </wp:positionV>
            <wp:extent cx="713232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-3188335</wp:posOffset>
            </wp:positionV>
            <wp:extent cx="7132320" cy="1028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-2982595</wp:posOffset>
            </wp:positionV>
            <wp:extent cx="7132320"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-2776855</wp:posOffset>
            </wp:positionV>
            <wp:extent cx="713232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-2562225</wp:posOffset>
            </wp:positionV>
            <wp:extent cx="713232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-2356485</wp:posOffset>
            </wp:positionV>
            <wp:extent cx="713232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-2151380</wp:posOffset>
            </wp:positionV>
            <wp:extent cx="713232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-1945640</wp:posOffset>
            </wp:positionV>
            <wp:extent cx="7132320" cy="1028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-1731010</wp:posOffset>
            </wp:positionV>
            <wp:extent cx="7132320" cy="1028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-1525270</wp:posOffset>
            </wp:positionV>
            <wp:extent cx="7132320" cy="1028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-1319530</wp:posOffset>
            </wp:positionV>
            <wp:extent cx="713232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-1113790</wp:posOffset>
            </wp:positionV>
            <wp:extent cx="7132320"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-908050</wp:posOffset>
            </wp:positionV>
            <wp:extent cx="713232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-702310</wp:posOffset>
            </wp:positionV>
            <wp:extent cx="7132320" cy="3257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25755"/>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-187960</wp:posOffset>
            </wp:positionV>
            <wp:extent cx="713232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240"/>
            <w:col w:w="7000"/>
          </w:cols>
          <w:pgMar w:left="320" w:top="337" w:right="39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80" w:type="dxa"/>
            <w:vAlign w:val="bottom"/>
            <w:gridSpan w:val="3"/>
          </w:tcPr>
          <w:p>
            <w:pPr>
              <w:jc w:val="right"/>
              <w:spacing w:after="0"/>
              <w:rPr>
                <w:sz w:val="20"/>
                <w:szCs w:val="20"/>
                <w:color w:val="auto"/>
              </w:rPr>
            </w:pPr>
            <w:r>
              <w:rPr>
                <w:rFonts w:ascii="Arial" w:cs="Arial" w:eastAsia="Arial" w:hAnsi="Arial"/>
                <w:sz w:val="13"/>
                <w:szCs w:val="13"/>
                <w:b w:val="1"/>
                <w:bCs w:val="1"/>
                <w:color w:val="auto"/>
                <w:w w:val="87"/>
              </w:rPr>
              <w:t>For the Six Months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4"/>
        </w:trPr>
        <w:tc>
          <w:tcPr>
            <w:tcW w:w="8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gridSpan w:val="3"/>
          </w:tcPr>
          <w:p>
            <w:pPr>
              <w:jc w:val="right"/>
              <w:ind w:right="77"/>
              <w:spacing w:after="0"/>
              <w:rPr>
                <w:sz w:val="20"/>
                <w:szCs w:val="20"/>
                <w:color w:val="auto"/>
              </w:rPr>
            </w:pPr>
            <w:r>
              <w:rPr>
                <w:rFonts w:ascii="Arial" w:cs="Arial" w:eastAsia="Arial" w:hAnsi="Arial"/>
                <w:sz w:val="13"/>
                <w:szCs w:val="13"/>
                <w:b w:val="1"/>
                <w:bCs w:val="1"/>
                <w:color w:val="auto"/>
                <w:w w:val="96"/>
              </w:rPr>
              <w:t>Ended June 30,</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4"/>
        </w:trPr>
        <w:tc>
          <w:tcPr>
            <w:tcW w:w="86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8640" w:type="dxa"/>
            <w:vAlign w:val="bottom"/>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44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w w:val="89"/>
              </w:rPr>
              <w:t>2022</w:t>
            </w:r>
          </w:p>
        </w:tc>
        <w:tc>
          <w:tcPr>
            <w:tcW w:w="100" w:type="dxa"/>
            <w:vAlign w:val="bottom"/>
          </w:tcPr>
          <w:p>
            <w:pPr>
              <w:spacing w:after="0"/>
              <w:rPr>
                <w:sz w:val="13"/>
                <w:szCs w:val="13"/>
                <w:color w:val="auto"/>
              </w:rPr>
            </w:pPr>
          </w:p>
        </w:tc>
      </w:tr>
      <w:tr>
        <w:trPr>
          <w:trHeight w:val="155"/>
        </w:trPr>
        <w:tc>
          <w:tcPr>
            <w:tcW w:w="86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7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Cash paid for interest</w:t>
            </w:r>
          </w:p>
        </w:tc>
        <w:tc>
          <w:tcPr>
            <w:tcW w:w="72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10,003</w:t>
            </w:r>
          </w:p>
        </w:tc>
        <w:tc>
          <w:tcPr>
            <w:tcW w:w="260" w:type="dxa"/>
            <w:vAlign w:val="bottom"/>
          </w:tcPr>
          <w:p>
            <w:pPr>
              <w:spacing w:after="0"/>
              <w:rPr>
                <w:sz w:val="14"/>
                <w:szCs w:val="14"/>
                <w:color w:val="auto"/>
              </w:rPr>
            </w:pP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2,290</w:t>
            </w:r>
          </w:p>
        </w:tc>
        <w:tc>
          <w:tcPr>
            <w:tcW w:w="100" w:type="dxa"/>
            <w:vAlign w:val="bottom"/>
          </w:tcPr>
          <w:p>
            <w:pPr>
              <w:spacing w:after="0"/>
              <w:rPr>
                <w:sz w:val="14"/>
                <w:szCs w:val="14"/>
                <w:color w:val="auto"/>
              </w:rPr>
            </w:pPr>
          </w:p>
        </w:tc>
      </w:tr>
      <w:tr>
        <w:trPr>
          <w:trHeight w:val="20"/>
        </w:trPr>
        <w:tc>
          <w:tcPr>
            <w:tcW w:w="8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8640" w:type="dxa"/>
            <w:vAlign w:val="bottom"/>
            <w:tcBorders>
              <w:bottom w:val="single" w:sz="8" w:color="CFF0FC"/>
            </w:tcBorders>
            <w:shd w:val="clear" w:color="auto" w:fill="CFF0FC"/>
          </w:tcPr>
          <w:p>
            <w:pPr>
              <w:ind w:left="200"/>
              <w:spacing w:after="0" w:line="143" w:lineRule="exact"/>
              <w:rPr>
                <w:sz w:val="20"/>
                <w:szCs w:val="20"/>
                <w:color w:val="auto"/>
              </w:rPr>
            </w:pPr>
            <w:r>
              <w:rPr>
                <w:rFonts w:ascii="Arial" w:cs="Arial" w:eastAsia="Arial" w:hAnsi="Arial"/>
                <w:sz w:val="13"/>
                <w:szCs w:val="13"/>
                <w:color w:val="auto"/>
              </w:rPr>
              <w:t>Net cash paid for income taxes</w:t>
            </w:r>
          </w:p>
        </w:tc>
        <w:tc>
          <w:tcPr>
            <w:tcW w:w="720" w:type="dxa"/>
            <w:vAlign w:val="bottom"/>
            <w:tcBorders>
              <w:top w:val="single" w:sz="8" w:color="auto"/>
              <w:bottom w:val="single" w:sz="8" w:color="auto"/>
            </w:tcBorders>
            <w:shd w:val="clear" w:color="auto" w:fill="CFF0FC"/>
          </w:tcPr>
          <w:p>
            <w:pPr>
              <w:jc w:val="right"/>
              <w:ind w:right="577"/>
              <w:spacing w:after="0" w:line="143"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1,088</w:t>
            </w:r>
          </w:p>
        </w:tc>
        <w:tc>
          <w:tcPr>
            <w:tcW w:w="26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top w:val="single" w:sz="8" w:color="auto"/>
              <w:bottom w:val="single" w:sz="8" w:color="auto"/>
            </w:tcBorders>
            <w:shd w:val="clear" w:color="auto" w:fill="CFF0FC"/>
          </w:tcPr>
          <w:p>
            <w:pPr>
              <w:jc w:val="right"/>
              <w:ind w:right="237"/>
              <w:spacing w:after="0" w:line="143"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color w:val="auto"/>
              </w:rPr>
              <w:t>428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304"/>
        </w:trPr>
        <w:tc>
          <w:tcPr>
            <w:tcW w:w="8640" w:type="dxa"/>
            <w:vAlign w:val="bottom"/>
          </w:tcPr>
          <w:p>
            <w:pPr>
              <w:ind w:left="20"/>
              <w:spacing w:after="0"/>
              <w:rPr>
                <w:sz w:val="20"/>
                <w:szCs w:val="20"/>
                <w:color w:val="auto"/>
              </w:rPr>
            </w:pPr>
            <w:r>
              <w:rPr>
                <w:rFonts w:ascii="Arial" w:cs="Arial" w:eastAsia="Arial" w:hAnsi="Arial"/>
                <w:sz w:val="13"/>
                <w:szCs w:val="13"/>
                <w:b w:val="1"/>
                <w:bCs w:val="1"/>
                <w:color w:val="auto"/>
              </w:rPr>
              <w:t>NON-CASH OPERATING, INVESTING AND FINANCING ACTIVITIES</w:t>
            </w: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Additions to right-of-use assets</w:t>
            </w:r>
          </w:p>
        </w:tc>
        <w:tc>
          <w:tcPr>
            <w:tcW w:w="720" w:type="dxa"/>
            <w:vAlign w:val="bottom"/>
            <w:shd w:val="clear" w:color="auto" w:fill="CFF0FC"/>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3,475</w:t>
            </w:r>
          </w:p>
        </w:tc>
        <w:tc>
          <w:tcPr>
            <w:tcW w:w="640" w:type="dxa"/>
            <w:vAlign w:val="bottom"/>
            <w:gridSpan w:val="2"/>
            <w:shd w:val="clear" w:color="auto" w:fill="CFF0FC"/>
          </w:tcPr>
          <w:p>
            <w:pPr>
              <w:jc w:val="right"/>
              <w:ind w:right="2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890</w:t>
            </w:r>
          </w:p>
        </w:tc>
        <w:tc>
          <w:tcPr>
            <w:tcW w:w="100" w:type="dxa"/>
            <w:vAlign w:val="bottom"/>
            <w:shd w:val="clear" w:color="auto" w:fill="CFF0FC"/>
          </w:tcPr>
          <w:p>
            <w:pPr>
              <w:spacing w:after="0"/>
              <w:rPr>
                <w:sz w:val="14"/>
                <w:szCs w:val="14"/>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Additions to lease liabilities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3,475</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1,839</w:t>
            </w:r>
          </w:p>
        </w:tc>
        <w:tc>
          <w:tcPr>
            <w:tcW w:w="100" w:type="dxa"/>
            <w:vAlign w:val="bottom"/>
          </w:tcPr>
          <w:p>
            <w:pPr>
              <w:spacing w:after="0"/>
              <w:rPr>
                <w:sz w:val="14"/>
                <w:szCs w:val="14"/>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Additions to property and equipment</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853</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949</w:t>
            </w:r>
          </w:p>
        </w:tc>
        <w:tc>
          <w:tcPr>
            <w:tcW w:w="100" w:type="dxa"/>
            <w:vAlign w:val="bottom"/>
            <w:shd w:val="clear" w:color="auto" w:fill="CFF0FC"/>
          </w:tcPr>
          <w:p>
            <w:pPr>
              <w:spacing w:after="0"/>
              <w:rPr>
                <w:sz w:val="14"/>
                <w:szCs w:val="14"/>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Additions to accrued compensation and benefits</w:t>
            </w:r>
          </w:p>
        </w:tc>
        <w:tc>
          <w:tcPr>
            <w:tcW w:w="7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18,230</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163"/>
        </w:trPr>
        <w:tc>
          <w:tcPr>
            <w:tcW w:w="86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Additions to contingent consideration</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w:t>
            </w: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Dividends declared</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r>
      <w:tr>
        <w:trPr>
          <w:trHeight w:val="20"/>
        </w:trPr>
        <w:tc>
          <w:tcPr>
            <w:tcW w:w="8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864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b w:val="1"/>
                <w:bCs w:val="1"/>
                <w:color w:val="auto"/>
              </w:rPr>
              <w:t>RECONCILIATION OF CASH, CASH EQUIVALENTS AND</w:t>
            </w:r>
          </w:p>
        </w:tc>
        <w:tc>
          <w:tcPr>
            <w:tcW w:w="72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7"/>
        </w:trPr>
        <w:tc>
          <w:tcPr>
            <w:tcW w:w="86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RESTRICTED CASH</w:t>
            </w:r>
          </w:p>
        </w:tc>
        <w:tc>
          <w:tcPr>
            <w:tcW w:w="7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1"/>
        </w:trPr>
        <w:tc>
          <w:tcPr>
            <w:tcW w:w="8640" w:type="dxa"/>
            <w:vAlign w:val="bottom"/>
          </w:tcPr>
          <w:p>
            <w:pPr>
              <w:ind w:left="200"/>
              <w:spacing w:after="0"/>
              <w:rPr>
                <w:sz w:val="20"/>
                <w:szCs w:val="20"/>
                <w:color w:val="auto"/>
              </w:rPr>
            </w:pPr>
            <w:r>
              <w:rPr>
                <w:rFonts w:ascii="Arial" w:cs="Arial" w:eastAsia="Arial" w:hAnsi="Arial"/>
                <w:sz w:val="13"/>
                <w:szCs w:val="13"/>
                <w:color w:val="auto"/>
              </w:rPr>
              <w:t>Cash and cash equivalents</w:t>
            </w:r>
          </w:p>
        </w:tc>
        <w:tc>
          <w:tcPr>
            <w:tcW w:w="720" w:type="dxa"/>
            <w:vAlign w:val="bottom"/>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23,361</w:t>
            </w:r>
          </w:p>
        </w:tc>
        <w:tc>
          <w:tcPr>
            <w:tcW w:w="64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23,613</w:t>
            </w:r>
          </w:p>
        </w:tc>
        <w:tc>
          <w:tcPr>
            <w:tcW w:w="100" w:type="dxa"/>
            <w:vAlign w:val="bottom"/>
          </w:tcPr>
          <w:p>
            <w:pPr>
              <w:spacing w:after="0"/>
              <w:rPr>
                <w:sz w:val="14"/>
                <w:szCs w:val="14"/>
                <w:color w:val="auto"/>
              </w:rPr>
            </w:pPr>
          </w:p>
        </w:tc>
      </w:tr>
      <w:tr>
        <w:trPr>
          <w:trHeight w:val="162"/>
        </w:trPr>
        <w:tc>
          <w:tcPr>
            <w:tcW w:w="86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Restricted cash</w:t>
            </w:r>
          </w:p>
        </w:tc>
        <w:tc>
          <w:tcPr>
            <w:tcW w:w="72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1,500</w:t>
            </w:r>
          </w:p>
        </w:tc>
        <w:tc>
          <w:tcPr>
            <w:tcW w:w="26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1,731</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8640" w:type="dxa"/>
            <w:vAlign w:val="bottom"/>
          </w:tcPr>
          <w:p>
            <w:pPr>
              <w:ind w:left="380"/>
              <w:spacing w:after="0"/>
              <w:rPr>
                <w:sz w:val="20"/>
                <w:szCs w:val="20"/>
                <w:color w:val="auto"/>
              </w:rPr>
            </w:pPr>
            <w:r>
              <w:rPr>
                <w:rFonts w:ascii="Arial" w:cs="Arial" w:eastAsia="Arial" w:hAnsi="Arial"/>
                <w:sz w:val="13"/>
                <w:szCs w:val="13"/>
                <w:color w:val="auto"/>
              </w:rPr>
              <w:t>Total cash, cash equivalents and restricted cash</w:t>
            </w:r>
          </w:p>
        </w:tc>
        <w:tc>
          <w:tcPr>
            <w:tcW w:w="720" w:type="dxa"/>
            <w:vAlign w:val="bottom"/>
          </w:tcPr>
          <w:p>
            <w:pPr>
              <w:jc w:val="right"/>
              <w:ind w:right="577"/>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24,861</w:t>
            </w:r>
          </w:p>
        </w:tc>
        <w:tc>
          <w:tcPr>
            <w:tcW w:w="640" w:type="dxa"/>
            <w:vAlign w:val="bottom"/>
            <w:gridSpan w:val="2"/>
          </w:tcPr>
          <w:p>
            <w:pPr>
              <w:jc w:val="right"/>
              <w:ind w:right="2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25,344</w:t>
            </w:r>
          </w:p>
        </w:tc>
        <w:tc>
          <w:tcPr>
            <w:tcW w:w="100" w:type="dxa"/>
            <w:vAlign w:val="bottom"/>
          </w:tcPr>
          <w:p>
            <w:pPr>
              <w:spacing w:after="0"/>
              <w:rPr>
                <w:sz w:val="13"/>
                <w:szCs w:val="13"/>
                <w:color w:val="auto"/>
              </w:rPr>
            </w:pPr>
          </w:p>
        </w:tc>
      </w:tr>
      <w:tr>
        <w:trPr>
          <w:trHeight w:val="20"/>
        </w:trPr>
        <w:tc>
          <w:tcPr>
            <w:tcW w:w="8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6219825</wp:posOffset>
            </wp:positionH>
            <wp:positionV relativeFrom="paragraph">
              <wp:posOffset>-1508125</wp:posOffset>
            </wp:positionV>
            <wp:extent cx="917575" cy="2311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17575" cy="23114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-136525</wp:posOffset>
            </wp:positionV>
            <wp:extent cx="7747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were converted into common stock of P10. The offering and reorganization included a reverse stock split of P10 Holdings common stock on a 0.7-for-1 basis pursuant to which every outstanding share of common stock decreased to 0.7 shares.</w:t>
      </w:r>
    </w:p>
    <w:p>
      <w:pPr>
        <w:spacing w:after="0" w:line="17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Following the reorganization and IPO, P10 has two classes of common stock, Class A common stock and Class B common stock. Each share of Class B common stock is entitled to ten votes while each share of Class A common stock is entitled to one vote.</w:t>
      </w:r>
    </w:p>
    <w:p>
      <w:pPr>
        <w:spacing w:after="0" w:line="170"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76"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Hark Capital Advisors, LLC ("Hark"), P10 Advisors, LLC ("P10 Advisors"), and Western Technology Investment Advisors LLC ("WTI").</w:t>
      </w:r>
    </w:p>
    <w:p>
      <w:pPr>
        <w:spacing w:after="0" w:line="187"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On December 1, 2017, the Company changed its name from P10 Industries, Inc. to P10 Holdings, Inc. We were founded as a Texas corporation in 1992 and reincorporated in Delaware in 2000. Our headquarters is in Dallas, Texas.</w:t>
      </w:r>
    </w:p>
    <w:p>
      <w:pPr>
        <w:spacing w:after="0" w:line="181"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spacing w:after="0" w:line="1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Five Points is a registered investment advisor with the United States Securities and Exchange Commission.</w:t>
      </w:r>
    </w:p>
    <w:p>
      <w:pPr>
        <w:spacing w:after="0" w:line="18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On October 2, 2020, the Company completed the acquisition of TrueBridge. TrueBridge is an investment firm focused on investing in venture capital through fund-of-funds, co-investments, and separate accounts. TrueBridge is a registered investment advisor with the United States Securities and Exchange Commission.</w:t>
      </w:r>
    </w:p>
    <w:p>
      <w:pPr>
        <w:spacing w:after="0" w:line="184" w:lineRule="exact"/>
        <w:rPr>
          <w:sz w:val="20"/>
          <w:szCs w:val="20"/>
          <w:color w:val="auto"/>
        </w:rPr>
      </w:pPr>
    </w:p>
    <w:p>
      <w:pPr>
        <w:ind w:right="160" w:firstLine="509"/>
        <w:spacing w:after="0" w:line="286" w:lineRule="auto"/>
        <w:rPr>
          <w:sz w:val="20"/>
          <w:szCs w:val="20"/>
          <w:color w:val="auto"/>
        </w:rPr>
      </w:pPr>
      <w:r>
        <w:rPr>
          <w:rFonts w:ascii="Arial" w:cs="Arial" w:eastAsia="Arial" w:hAnsi="Arial"/>
          <w:sz w:val="16"/>
          <w:szCs w:val="16"/>
          <w:color w:val="auto"/>
        </w:rPr>
        <w:t>On December 14, 2020, the Company completed the acquisition of 100% of the equity interest in ECG, and a noncontrolling interest in Enhanced Capital Partners, LLC (“ECP”, and collectively with ECG,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w:t>
      </w:r>
    </w:p>
    <w:p>
      <w:pPr>
        <w:spacing w:after="0" w:line="17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June 2022, the Company formed P10 Advisors, a fully consolidated subsidiary, to manage investment opportunities that are sourced across the P10 platform but do not fit within an existing investment mandate.</w:t>
      </w:r>
    </w:p>
    <w:p>
      <w:pPr>
        <w:spacing w:after="0" w:line="170"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On October 13, 2022, the Company completed the acquisition of all of the issued and outstanding membership interests of WTI. WTI provides senior secured financing to early-stage and emerging stage life sciences and technology companies. WTI is a registered investment advisor with the United States Securities and Exchange Commission.</w:t>
      </w:r>
    </w:p>
    <w:p>
      <w:pPr>
        <w:spacing w:after="0" w:line="18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Simultaneously with the acquisition of WTI, the Company completed a restructuring of P10 Intermediate and subsidiaries to LLC entities that are considered disregarded entities for federal income tax purposes. This allowed the WTI sellers to obtain a partnership interest in P10 Intermediate and all of its subsidiaries. As a result of the acquisition, the WTI sellers obtained 3,916,666 membership units of P10 Intermediate, which can be exchanged into 3,916,666 shares of P10 Class A common stock, following applicable restrictive periods.</w:t>
      </w:r>
    </w:p>
    <w:p>
      <w:pPr>
        <w:spacing w:after="0" w:line="18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results of WTI’s operations have been included in the consolidated financial statements effective October 13, 2022. The Company reports noncontrolling interest related to the partnership interests which are owned by the WTI sellers. This is recorded as noncontrolling interest on the Consolidated Balance Sheets. Noncontrolling interest is allocated a share of income or loss in the respective consolidated subsidiaries in proportion to their relative ownership interest. Additionally, the Company makes periodic distributions to the WTI sellers for tax related and other agreed upon expenses in accordance with the terms of the P10 Intermediate operating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three and six months ended June 30, 2023 are not necessarily indicative of the results to be expected for the full year ended December 31, 2023.</w:t>
      </w:r>
    </w:p>
    <w:p>
      <w:pPr>
        <w:spacing w:after="0" w:line="195"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 xml:space="preserve">Certain entities in which the Company holds an interest are investment companies that follow FASB Accounting Standards Codification Topic 946, </w:t>
      </w:r>
      <w:r>
        <w:rPr>
          <w:rFonts w:ascii="Arial" w:cs="Arial" w:eastAsia="Arial" w:hAnsi="Arial"/>
          <w:sz w:val="18"/>
          <w:szCs w:val="18"/>
          <w:i w:val="1"/>
          <w:iCs w:val="1"/>
          <w:color w:val="auto"/>
        </w:rPr>
        <w:t xml:space="preserve">Financial Services - Investment Companies </w:t>
      </w:r>
      <w:r>
        <w:rPr>
          <w:rFonts w:ascii="Arial" w:cs="Arial" w:eastAsia="Arial" w:hAnsi="Arial"/>
          <w:sz w:val="18"/>
          <w:szCs w:val="18"/>
          <w:color w:val="auto"/>
        </w:rPr>
        <w:t>and reflect their investments at estimated fair value. Accordingly, the carrying value of the Company’s equity</w:t>
      </w:r>
      <w:r>
        <w:rPr>
          <w:rFonts w:ascii="Arial" w:cs="Arial" w:eastAsia="Arial" w:hAnsi="Arial"/>
          <w:sz w:val="18"/>
          <w:szCs w:val="18"/>
          <w:i w:val="1"/>
          <w:iCs w:val="1"/>
          <w:color w:val="auto"/>
        </w:rPr>
        <w:t xml:space="preserve"> </w:t>
      </w:r>
      <w:r>
        <w:rPr>
          <w:rFonts w:ascii="Arial" w:cs="Arial" w:eastAsia="Arial" w:hAnsi="Arial"/>
          <w:sz w:val="18"/>
          <w:szCs w:val="18"/>
          <w:color w:val="auto"/>
        </w:rPr>
        <w:t>method investments in such entities retains that accounting treatment.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35"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determining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188"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Hark, and WTI. The assets and liabilities of the consolidated VIEs are presented on a gross basis in the Consolidated Balance Sheets. See Note 7 for more information on both consolidated and unconsolidated VIEs.</w:t>
      </w:r>
    </w:p>
    <w:p>
      <w:pPr>
        <w:spacing w:after="0" w:line="188"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P10 Holdings, Five Points, P10 Advisors, and ECG are concluded to be consolidated subsidiaries of P10 under the voting interest model.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Certain reclassifications have been made within the Consolidated Financial Statements to conform prior periods with current period presentation.</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35" w:lineRule="exact"/>
        <w:rPr>
          <w:sz w:val="20"/>
          <w:szCs w:val="20"/>
          <w:color w:val="auto"/>
        </w:rPr>
      </w:pPr>
    </w:p>
    <w:p>
      <w:pPr>
        <w:jc w:val="both"/>
        <w:ind w:right="80" w:firstLine="509"/>
        <w:spacing w:after="0" w:line="31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35"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The Company considers all highly liquid instruments with original maturities of three months or less to be cash equivalents. As of June 30, 2023, and December 31, 2022, cash equivalents include money market funds of $5.8 million and $7.8 million, respectively, which approximates fair value. The Company maintains its cash balances at various financial institutions among multiple accounts, which may periodically exceed the Federal Deposit Insurance Corporation (“FDIC”) insured limits. The Company's credit risk in the event of failure of these financial institutions is represented by the difference between the FDIC limit and the total amounts on deposit. Management monitors the financial institutions credit worthiness in conjunction with balances on deposit to minimize risk. The Company from time to time may have amounts on deposit in excess of the insured limits.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Restricted cash as of June 30, 2023 and December 31, 2022 was primarily cash that is restricted due to certain deposits being held for customers.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Due from Related Parties</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Accounts receivable is equal to contractual amounts reduced for allowances, if applicable. The Company considers accounts receivable to be fully collectible; accordingly, no allowance for doubtful accounts has been established as of June 30, 2023 and December 31, 2022. If accounts are subsequently determined to be uncollectible, they will be expensed in</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3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period that determination is made. Management fees are collected on a quarterly basis. Certain subsidiaries management fee contracts are collected at the beginning of the quarter, while others are collected in arrears. The management fees reflected in accounts receivable at period end are those that are collected in arrears.</w:t>
      </w:r>
    </w:p>
    <w:p>
      <w:pPr>
        <w:spacing w:after="0" w:line="1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Due from related parties represents receivables from the Funds for reimbursable expenses. Additionally, fees owed to the Company for the advisory agreement entered into upon the closing of the acquisitions of ECG and ECP ("Advisory Agreement") where ECG provides advisory services to Enhanced Permanent Capital, LLC ("Enhanced PC") are reflected in due from related parties on the Consolidated Balance Sheets. These amounts are expected to be fully collectible.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Receivable</w:t>
      </w:r>
    </w:p>
    <w:p>
      <w:pPr>
        <w:spacing w:after="0" w:line="121"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Note receivable is mostly related to contractual amounts owed from a signed, secured promissory note with BCP Partners Holdings, LP ("BCP"). In addition to contractual amounts, borrowers are obligated to pay interest on outstanding amounts. The Company considers the note receivable to be fully collectible; no allowance for doubtful accounts has been established as of June 30, 2023 and December 31, 2022. If accounts are subsequently determined to be uncollectible, they will be expensed in the period that determination is made.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Subsidiaries</w:t>
      </w:r>
    </w:p>
    <w:p>
      <w:pPr>
        <w:spacing w:after="0" w:line="12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evaluates its equity method investments for impairment whenever events or changes in circumstances indicate that the carrying amounts of such investments may not be recoverable.</w:t>
      </w:r>
    </w:p>
    <w:p>
      <w:pPr>
        <w:spacing w:after="0" w:line="18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 xml:space="preserve">For certain entities in which the Company does not have significant influence and fair value is not readily determinable, we value these investments under the measurement alternative. Financial Accounting Standards Board (“FASB”) Accounting Standards Codification (“ASC”) 825,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requires equity securities to be recorded at cost and adjusted to fair value at each reporting period. However, the guidance allows for a</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alternative, which is to record the investments at cost, less impairment, if any, and subsequently adjust for observable price changes of identical or similar investments of the same issuer.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35"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ectPr>
          <w:pgSz w:w="11900" w:h="16838" w:orient="portrait"/>
          <w:cols w:equalWidth="0" w:num="1">
            <w:col w:w="11160"/>
          </w:cols>
          <w:pgMar w:left="320" w:top="121" w:right="419" w:bottom="1440" w:gutter="0" w:footer="0" w:header="0"/>
        </w:sectPr>
      </w:pPr>
    </w:p>
    <w:p>
      <w:pPr>
        <w:spacing w:after="0" w:line="201" w:lineRule="exact"/>
        <w:rPr>
          <w:sz w:val="20"/>
          <w:szCs w:val="20"/>
          <w:color w:val="auto"/>
        </w:rPr>
      </w:pPr>
    </w:p>
    <w:p>
      <w:pPr>
        <w:jc w:val="center"/>
        <w:ind w:left="920"/>
        <w:spacing w:after="0"/>
        <w:rPr>
          <w:sz w:val="20"/>
          <w:szCs w:val="20"/>
          <w:color w:val="auto"/>
        </w:rPr>
      </w:pPr>
      <w:r>
        <w:rPr>
          <w:rFonts w:ascii="Arial" w:cs="Arial" w:eastAsia="Arial" w:hAnsi="Arial"/>
          <w:sz w:val="16"/>
          <w:szCs w:val="16"/>
          <w:color w:val="auto"/>
        </w:rPr>
        <w:t>Computers and purchased software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2640"/>
        <w:spacing w:after="0"/>
        <w:rPr>
          <w:sz w:val="20"/>
          <w:szCs w:val="20"/>
          <w:color w:val="auto"/>
        </w:rPr>
      </w:pPr>
      <w:r>
        <w:rPr>
          <w:rFonts w:ascii="Arial" w:cs="Arial" w:eastAsia="Arial" w:hAnsi="Arial"/>
          <w:sz w:val="15"/>
          <w:szCs w:val="15"/>
          <w:color w:val="auto"/>
        </w:rPr>
        <w:t>3 - 5 years</w:t>
      </w:r>
    </w:p>
    <w:p>
      <w:pPr>
        <w:spacing w:after="0" w:line="71" w:lineRule="exact"/>
        <w:rPr>
          <w:sz w:val="20"/>
          <w:szCs w:val="20"/>
          <w:color w:val="auto"/>
        </w:rPr>
      </w:pPr>
    </w:p>
    <w:p>
      <w:pPr>
        <w:sectPr>
          <w:pgSz w:w="11900" w:h="16838" w:orient="portrait"/>
          <w:cols w:equalWidth="0" w:num="2">
            <w:col w:w="7060" w:space="720"/>
            <w:col w:w="3380"/>
          </w:cols>
          <w:pgMar w:left="320" w:top="121" w:right="419" w:bottom="1440" w:gutter="0" w:footer="0" w:header="0"/>
          <w:type w:val="continuous"/>
        </w:sectPr>
      </w:pPr>
    </w:p>
    <w:p>
      <w:pPr>
        <w:ind w:left="2720"/>
        <w:spacing w:after="0"/>
        <w:rPr>
          <w:sz w:val="20"/>
          <w:szCs w:val="20"/>
          <w:color w:val="auto"/>
        </w:rPr>
      </w:pPr>
      <w:r>
        <w:rPr>
          <w:rFonts w:ascii="Arial" w:cs="Arial" w:eastAsia="Arial" w:hAnsi="Arial"/>
          <w:sz w:val="16"/>
          <w:szCs w:val="16"/>
          <w:color w:val="auto"/>
        </w:rPr>
        <w:t>Furniture and fixtures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7 - 10 years</w:t>
      </w:r>
    </w:p>
    <w:p>
      <w:pPr>
        <w:spacing w:after="0" w:line="200" w:lineRule="exact"/>
        <w:rPr>
          <w:sz w:val="20"/>
          <w:szCs w:val="20"/>
          <w:color w:val="auto"/>
        </w:rPr>
      </w:pPr>
    </w:p>
    <w:p>
      <w:pPr>
        <w:sectPr>
          <w:pgSz w:w="11900" w:h="16838" w:orient="portrait"/>
          <w:cols w:equalWidth="0" w:num="2">
            <w:col w:w="6960" w:space="720"/>
            <w:col w:w="3480"/>
          </w:cols>
          <w:pgMar w:left="320" w:top="121" w:right="419"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35"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 xml:space="preserve">Long-lived assets including property and equipment, lease right-of-use assets, and definite lived intangibles are evaluated for impairment under FASB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3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and the Company would account for this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85"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Company does not recognize a lease liability or right-of-use asset on our Consolidated Balance Sheets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Share and Repurchase Arrangement</w:t>
      </w:r>
    </w:p>
    <w:p>
      <w:pPr>
        <w:spacing w:after="0" w:line="229"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The Company recognizes an accrued contingent liability and contingent payments to customers asset in our Consolidated Balance Sheets for an agreement between ECG and a third party. The agreement requires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not exercisable until July of 2025. The Company believes it is probable that the third party will exercise its option to sell back the revenue share and has recognized a liability on the Consolidated Balance Sheets. The Company has also recognized a contingent payment to customers associated with the agreement and will amortize the asset against revenue over the contractual term of the management contract. The amortization is reported in management and advisory fees on the Consolidated Statements of Operations. The Company will reassess at each reporting period. Refer to Note 14 for further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35"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Goodwill is initially measured as the excess of the cost of the acquired business over the sum of the amounts assigned to identifiable assets acquired, less the liabilities assumed. As of June 30, 2023, goodwill recorded on our Consolidated Balance Sheets relates to the acquisitions of RCP 2, RCP 3, Five Points, TrueBridge, Enhanced, Bonaccord, Hark, and WTI. As of June 30, 2023, the intangible assets are comprised of indefinite-lived intangible assets and finite-lived intangible assets related to the acquisitions of RCP 2, RCP 3, Five Points, TrueBridge, Enhanced, Bonaccord, Hark, and WTI.</w:t>
      </w:r>
    </w:p>
    <w:p>
      <w:pPr>
        <w:spacing w:after="0" w:line="157"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8"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Goodwill is reviewed for impairment at least annually as of September 30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the respective carrying value. The reporting unit is the reporting level for testing the impairment of goodwill. If it is determined that it is more likely than not that a reporting unit’s fair value is less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than its carrying value, then the Company will determine the fair value of the reporting unit and record an impairment charge for the difference between fair value and carrying value (not to exceed the carrying amount of goodwill).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35" w:lineRule="exact"/>
        <w:rPr>
          <w:sz w:val="20"/>
          <w:szCs w:val="20"/>
          <w:color w:val="auto"/>
        </w:rPr>
      </w:pPr>
    </w:p>
    <w:p>
      <w:pPr>
        <w:ind w:right="640" w:firstLine="509"/>
        <w:spacing w:after="0" w:line="286" w:lineRule="auto"/>
        <w:rPr>
          <w:sz w:val="20"/>
          <w:szCs w:val="20"/>
          <w:color w:val="auto"/>
        </w:rPr>
      </w:pPr>
      <w:r>
        <w:rPr>
          <w:rFonts w:ascii="Arial" w:cs="Arial" w:eastAsia="Arial" w:hAnsi="Arial"/>
          <w:sz w:val="17"/>
          <w:szCs w:val="17"/>
          <w:color w:val="auto"/>
        </w:rPr>
        <w:t>Contingent consideration is initially measured at fair value on the date of the acquisition. The liabilities are remeasured at fair value on each reporting date, with changes in the fair value reflected in operating expenses on our Consolidated Statements of Operations. As of June 30, 2023, contingent consideration recorded relates to the acquisitions of Hark and Bonaccord on the Consolidated Balance Sheets.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Compensation and Benefits</w:t>
      </w:r>
    </w:p>
    <w:p>
      <w:pPr>
        <w:spacing w:after="0" w:line="337"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Accrued compensation and benefits consists of employee salaries, bonuses, benefits, and acquisition-related earnouts contingent on employment that has not yet been paid. The acquisition-related earnout contingent on employment is a product of the acquisition of WTI. The sellers and eligible employees of WTI are eligible to earn up to $70.0 million contingent upon meeting certain EBITDA related hurdles and continued employment. Upon the achievement of $20.0 million, $22.5 million, and $25.0 million of EBITDA, $35.0 million, $17.5 million, and $17.5 million are earned, respectively. The earnout period is eligible through December 31, 2027 with the potential to extend an additional two years. Refer to Note 14 for further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35"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121"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Noncontrolling interest ("NCI") reflect the portion of income or loss and the corresponding equity attributable to third-party equity holders and employees in certain consolidated subsidiaries that are not 100% owned by the Company. Noncontrolling interest is presented as a separate component in our Consolidated Statements of Income to clearly distinguish between our interests and the economic interest of third parties in those entities. Net income attributable to P10, as reported in the Consolidated Statements of Income, is presented net of the portion of net income attributable to holders of non-controlling interest. NCI is allocated a share of income or loss in the respective consolidated subsidiaries in proportion to their relative ownership interest.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35"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7"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As of June 30, 2023 and December 31, 2022, we used the following valuation techniques to measure fair value for assets and there were no changes to these methodologies during the periods presented:</w:t>
      </w:r>
    </w:p>
    <w:p>
      <w:pPr>
        <w:spacing w:after="0" w:line="62" w:lineRule="exact"/>
        <w:rPr>
          <w:sz w:val="20"/>
          <w:szCs w:val="20"/>
          <w:color w:val="auto"/>
        </w:rPr>
      </w:pPr>
    </w:p>
    <w:p>
      <w:pPr>
        <w:ind w:left="5540" w:right="1640" w:hanging="5019"/>
        <w:spacing w:after="0" w:line="277" w:lineRule="auto"/>
        <w:rPr>
          <w:sz w:val="20"/>
          <w:szCs w:val="20"/>
          <w:color w:val="auto"/>
        </w:rPr>
      </w:pPr>
      <w:r>
        <w:rPr>
          <w:rFonts w:ascii="Arial" w:cs="Arial" w:eastAsia="Arial" w:hAnsi="Arial"/>
          <w:sz w:val="18"/>
          <w:szCs w:val="18"/>
          <w:color w:val="auto"/>
        </w:rPr>
        <w:t>Level 1—Assets were valued using the closing price reported in the active market in which the individual security was traded.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319" w:lineRule="exact"/>
        <w:rPr>
          <w:sz w:val="20"/>
          <w:szCs w:val="20"/>
          <w:color w:val="auto"/>
        </w:rPr>
      </w:pPr>
    </w:p>
    <w:p>
      <w:pPr>
        <w:ind w:left="520" w:right="840"/>
        <w:spacing w:after="0" w:line="277" w:lineRule="auto"/>
        <w:rPr>
          <w:sz w:val="20"/>
          <w:szCs w:val="20"/>
          <w:color w:val="auto"/>
        </w:rPr>
      </w:pPr>
      <w:r>
        <w:rPr>
          <w:rFonts w:ascii="Arial" w:cs="Arial" w:eastAsia="Arial" w:hAnsi="Arial"/>
          <w:sz w:val="18"/>
          <w:szCs w:val="18"/>
          <w:color w:val="auto"/>
        </w:rPr>
        <w:t>Level 2—Assets were valued using quoted prices in markets that are not active, broker dealer quotations, and other methods by which all significant inputs were observable at the measurement date.</w:t>
      </w:r>
    </w:p>
    <w:p>
      <w:pPr>
        <w:spacing w:after="0" w:line="62" w:lineRule="exact"/>
        <w:rPr>
          <w:sz w:val="20"/>
          <w:szCs w:val="20"/>
          <w:color w:val="auto"/>
        </w:rPr>
      </w:pPr>
    </w:p>
    <w:p>
      <w:pPr>
        <w:ind w:left="520" w:right="760"/>
        <w:spacing w:after="0" w:line="277" w:lineRule="auto"/>
        <w:rPr>
          <w:sz w:val="20"/>
          <w:szCs w:val="20"/>
          <w:color w:val="auto"/>
        </w:rPr>
      </w:pPr>
      <w:r>
        <w:rPr>
          <w:rFonts w:ascii="Arial" w:cs="Arial" w:eastAsia="Arial" w:hAnsi="Arial"/>
          <w:sz w:val="18"/>
          <w:szCs w:val="18"/>
          <w:color w:val="auto"/>
        </w:rPr>
        <w:t>Level 3—Assets were valued using unobservable inputs in which little or no market data exists as reported by the respective institutions at the measurement date.</w:t>
      </w:r>
    </w:p>
    <w:p>
      <w:pPr>
        <w:spacing w:after="0" w:line="170" w:lineRule="exact"/>
        <w:rPr>
          <w:sz w:val="20"/>
          <w:szCs w:val="20"/>
          <w:color w:val="auto"/>
        </w:rPr>
      </w:pPr>
    </w:p>
    <w:p>
      <w:pPr>
        <w:ind w:right="260" w:firstLine="509"/>
        <w:spacing w:after="0" w:line="301" w:lineRule="auto"/>
        <w:rPr>
          <w:sz w:val="20"/>
          <w:szCs w:val="20"/>
          <w:color w:val="auto"/>
        </w:rPr>
      </w:pPr>
      <w:r>
        <w:rPr>
          <w:rFonts w:ascii="Arial" w:cs="Arial" w:eastAsia="Arial" w:hAnsi="Arial"/>
          <w:sz w:val="16"/>
          <w:szCs w:val="16"/>
          <w:color w:val="auto"/>
        </w:rPr>
        <w:t>The carrying values of financial instruments comprising cash and cash equivalents, prepaid assets, accounts payable, accounts receivable and due from related parties approximate fair values due to the short-term maturities of these instruments. The fair value of the credit facilities approximate carrying value based on the interest rates which approximate current market rates. The Company has a contingent consideration liability related to the acquisitions of Hark and Bonaccord that is measured at fair value and is remeasured on a recurring basis. See Note 11 for additional information.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5"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the customer is in a contractual arrangement will be made on a contract-by-contract basis, the customer will generally be the investment fund for the Company’s significant management and advisory contracts.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and Advisory Fees</w:t>
      </w:r>
    </w:p>
    <w:p>
      <w:pPr>
        <w:spacing w:after="0" w:line="131"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revenues on the Consolidated Balance Sheets.</w:t>
      </w:r>
    </w:p>
    <w:p>
      <w:pPr>
        <w:spacing w:after="0" w:line="187"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Certain management fees are also calculated on capital deployed. Advisory services are generally based upon fixed amounts and billed quarterly. Other advisory services include transaction and management fees associated with managing the origination and ongoing compliance of certain investments.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1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Other revenue on our Consolidated Statements of Operations primarily consists of subscriptions, consulting agreements, interest income, and referral fees. The subscription and consulting agreements typically have renewable one-year lives, and revenue is recognized ratably over the current term of the subscription or the agreement. If subscriptions or fees have been paid in advance, these fees are recorded as deferred revenues on our Consolidated Balance Sheets. Referral fee revenue is recognized upon closing of certain opportunities.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3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 xml:space="preserve">Current income tax expense represents our estimated taxes to be paid or refunded for the current period. In accordance with ASC 740,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w:t>
      </w:r>
      <w:r>
        <w:rPr>
          <w:rFonts w:ascii="Arial" w:cs="Arial" w:eastAsia="Arial" w:hAnsi="Arial"/>
          <w:sz w:val="18"/>
          <w:szCs w:val="18"/>
          <w:color w:val="auto"/>
        </w:rPr>
        <w:t>, we recognize deferred tax assets and liabilities for the expected future tax consequences of temporary differences between the financial reporting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stand-alone tax rules as applicable.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See Note 17 for additional information.</w:t>
      </w:r>
    </w:p>
    <w:p>
      <w:pPr>
        <w:spacing w:after="0" w:line="184"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as well as the vesting of restricted stock units. Also included in the diluted EPS denominator are the units of P10 Intermediate owned by the sellers of WTI, assuming the option to exchange the units for shares of Class A common stock of the Company is exercised in full.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35"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Stock-based compensation relates to grants for shares of P10 awarded to our employees through stock options as well as RSUs awarded to employees and RSAs issued to non-employee directors as compensation for service on the Company's board. Stock compensation expense for RSAs and certain RSUs, where vesting occurs after a service period is recorded ratably over the vesting period at the fair market value on the grant date. Certain acquisition-related RSUs vest after meeting certain performance metrics. For these, the Company uses the tranche method for RSU's deemed probable of vesting. The Company evaluates the probability of vesting at each reporting period. Unvested units are remeasured quarterly against performance metrics as a liability on the Consolidated Balance Sheets and expense is recognized over the expected vesting period. Refer to Note 16 for further discussion.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based on a group of similar publicly traded companies determined to be most reflective of the expected volatility of the Company due to the nature of operations of these entities. The risk-free rates are based on the U.S. Treasury yield in effect at the time of grant. The dividend yield is based on a $0.0325 per share quarterly dividend. Forfeitures are recognized as they occur.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35"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 xml:space="preserve">According to ASC 280,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operating segments are defined as components of an enterprise for which separate financial information is evaluated regularly by the chief operating decision maker(s) in deciding how to allocate resources and in assessing performance. The Company operates our business as a single operating segment, which is how our chief operating decision makers (our Co-Chief Executive Officers) evaluate financial performance and make decisions regarding the allocation of resources.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135"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 xml:space="preserve">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78" w:lineRule="exact"/>
        <w:rPr>
          <w:sz w:val="20"/>
          <w:szCs w:val="20"/>
          <w:color w:val="auto"/>
        </w:rPr>
      </w:pPr>
    </w:p>
    <w:p>
      <w:pPr>
        <w:ind w:right="80" w:firstLine="509"/>
        <w:spacing w:after="0" w:line="254" w:lineRule="auto"/>
        <w:rPr>
          <w:sz w:val="20"/>
          <w:szCs w:val="20"/>
          <w:color w:val="auto"/>
        </w:rPr>
      </w:pPr>
      <w:r>
        <w:rPr>
          <w:rFonts w:ascii="Arial" w:cs="Arial" w:eastAsia="Arial" w:hAnsi="Arial"/>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95"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8" w:lineRule="exact"/>
        <w:rPr>
          <w:sz w:val="20"/>
          <w:szCs w:val="20"/>
          <w:color w:val="auto"/>
        </w:rPr>
      </w:pPr>
    </w:p>
    <w:p>
      <w:pPr>
        <w:ind w:right="660" w:firstLine="509"/>
        <w:spacing w:after="0" w:line="342" w:lineRule="auto"/>
        <w:rPr>
          <w:sz w:val="20"/>
          <w:szCs w:val="20"/>
          <w:color w:val="auto"/>
        </w:rPr>
      </w:pPr>
      <w:r>
        <w:rPr>
          <w:rFonts w:ascii="Arial" w:cs="Arial" w:eastAsia="Arial" w:hAnsi="Arial"/>
          <w:sz w:val="16"/>
          <w:szCs w:val="16"/>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Dividends are reflected in the consolidated financial statements when declared.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Recently Adopted</w:t>
      </w:r>
    </w:p>
    <w:p>
      <w:pPr>
        <w:spacing w:after="0" w:line="225"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 xml:space="preserve">Effective January 1, 2023, the Company adopted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("ASU 2016-13"). ASU 2016-13 provides amendments to ASC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must be applied using the modified retrospective adoption method on January 1, 2023, with early adoption permitted. The adoption of ASU 2016-13 did not have a material impact on the Company's Consolidated Financial Statements.</w:t>
      </w:r>
    </w:p>
    <w:p>
      <w:pPr>
        <w:spacing w:after="0" w:line="84"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On October 28, 2021, the FASB issued ASU 2021-08, which amends ASC 805 to “require acquiring entities to apply Topic 606 to recognize and measure contract assets and contract liabilities in a business combination.” Under current GAAP, an acquirer generally recognizes such items at fair value on the acquisition date. The guidance is effective for fiscal years beginning after December 15, 2022. The Company adopted this guidance on January 1, 2023. The guidance had no effect on the Consolidated Financial Statements but will be considered for future acquisitions.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Not Yet Adopted</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On June 30, 2022, the FASB issued ASU No. 2022-03, </w:t>
      </w:r>
      <w:r>
        <w:rPr>
          <w:rFonts w:ascii="Arial" w:cs="Arial" w:eastAsia="Arial" w:hAnsi="Arial"/>
          <w:sz w:val="18"/>
          <w:szCs w:val="18"/>
          <w:i w:val="1"/>
          <w:iCs w:val="1"/>
          <w:color w:val="auto"/>
        </w:rPr>
        <w:t>Fair Value Measurement of Equity Securities Subject to Contractual Sale Restrictions</w:t>
      </w:r>
      <w:r>
        <w:rPr>
          <w:rFonts w:ascii="Arial" w:cs="Arial" w:eastAsia="Arial" w:hAnsi="Arial"/>
          <w:sz w:val="18"/>
          <w:szCs w:val="18"/>
          <w:color w:val="auto"/>
        </w:rPr>
        <w:t xml:space="preserve"> ("ASU 2022-03"). The amendments in this update affect all entities that have investments in equity securities measured at fair value that are subject to a contractual sale restriction. The amendments clarify that a contractual restriction on the sale of an equity security is not considered part of the unit of account of the equity security and, therefore, is not considered in measuring fair value. The amen</w:t>
      </w:r>
      <w:r>
        <w:rPr>
          <w:rFonts w:ascii="Arial" w:cs="Arial" w:eastAsia="Arial" w:hAnsi="Arial"/>
          <w:sz w:val="16"/>
          <w:szCs w:val="16"/>
          <w:color w:val="373739"/>
        </w:rPr>
        <w:t>d</w:t>
      </w:r>
      <w:r>
        <w:rPr>
          <w:rFonts w:ascii="Arial" w:cs="Arial" w:eastAsia="Arial" w:hAnsi="Arial"/>
          <w:sz w:val="18"/>
          <w:szCs w:val="18"/>
          <w:color w:val="auto"/>
        </w:rPr>
        <w:t>ments also clarify that an entity cannot, as a separate unit of account, recognize and measure a contractual sale restriction. The guidance is effective for fiscal years beginning after December 15, 2023. We are evaluating the effects of these amendments on our financial reporting.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WTI</w:t>
      </w:r>
    </w:p>
    <w:p>
      <w:pPr>
        <w:spacing w:after="0" w:line="121"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On October 13, 2022, the Company completed the acquisition of all of the issued and outstanding membership interests of WTI for a total consideration of $146.0 million and an aggregate of 3,916,666 membership units of P10 Intermediate which can be exchanged on a one-for-one basis into shares of P10 Class A common stock, subject to certain conditions pursuant to the Exchange Agreement entered into on August 25, 2022. The acquisition was accounted for as a business combination under the acquisition method of accounting pursuant to ASC 805.</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consideration paid: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4"/>
                <w:szCs w:val="14"/>
                <w:color w:val="auto"/>
              </w:rPr>
            </w:pPr>
          </w:p>
        </w:tc>
      </w:tr>
      <w:tr>
        <w:trPr>
          <w:trHeight w:val="155"/>
        </w:trPr>
        <w:tc>
          <w:tcPr>
            <w:tcW w:w="9220" w:type="dxa"/>
            <w:vAlign w:val="bottom"/>
          </w:tcPr>
          <w:p>
            <w:pPr>
              <w:ind w:left="20"/>
              <w:spacing w:after="0"/>
              <w:rPr>
                <w:sz w:val="20"/>
                <w:szCs w:val="20"/>
                <w:color w:val="auto"/>
              </w:rPr>
            </w:pPr>
            <w:r>
              <w:rPr>
                <w:rFonts w:ascii="Arial" w:cs="Arial" w:eastAsia="Arial" w:hAnsi="Arial"/>
                <w:sz w:val="13"/>
                <w:szCs w:val="13"/>
                <w:color w:val="auto"/>
              </w:rPr>
              <w:t>Cash</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105,262</w:t>
            </w:r>
          </w:p>
        </w:tc>
        <w:tc>
          <w:tcPr>
            <w:tcW w:w="100" w:type="dxa"/>
            <w:vAlign w:val="bottom"/>
          </w:tcPr>
          <w:p>
            <w:pPr>
              <w:spacing w:after="0"/>
              <w:rPr>
                <w:sz w:val="13"/>
                <w:szCs w:val="13"/>
                <w:color w:val="auto"/>
              </w:rPr>
            </w:pPr>
          </w:p>
        </w:tc>
      </w:tr>
      <w:tr>
        <w:trPr>
          <w:trHeight w:val="162"/>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Fair value of equity consideration</w:t>
            </w:r>
          </w:p>
        </w:tc>
        <w:tc>
          <w:tcPr>
            <w:tcW w:w="38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40,733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9220" w:type="dxa"/>
            <w:vAlign w:val="bottom"/>
          </w:tcPr>
          <w:p>
            <w:pPr>
              <w:ind w:left="200"/>
              <w:spacing w:after="0"/>
              <w:rPr>
                <w:sz w:val="20"/>
                <w:szCs w:val="20"/>
                <w:color w:val="auto"/>
              </w:rPr>
            </w:pPr>
            <w:r>
              <w:rPr>
                <w:rFonts w:ascii="Arial" w:cs="Arial" w:eastAsia="Arial" w:hAnsi="Arial"/>
                <w:sz w:val="13"/>
                <w:szCs w:val="13"/>
                <w:color w:val="auto"/>
              </w:rPr>
              <w:t>Total purchase consideration</w:t>
            </w: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145,995</w:t>
            </w:r>
          </w:p>
        </w:tc>
        <w:tc>
          <w:tcPr>
            <w:tcW w:w="100" w:type="dxa"/>
            <w:vAlign w:val="bottom"/>
          </w:tcPr>
          <w:p>
            <w:pPr>
              <w:spacing w:after="0"/>
              <w:rPr>
                <w:sz w:val="13"/>
                <w:szCs w:val="13"/>
                <w:color w:val="auto"/>
              </w:rPr>
            </w:pP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182" w:lineRule="exact"/>
        <w:rPr>
          <w:sz w:val="20"/>
          <w:szCs w:val="20"/>
          <w:color w:val="auto"/>
        </w:rPr>
      </w:pPr>
    </w:p>
    <w:p>
      <w:pPr>
        <w:ind w:right="40" w:firstLine="509"/>
        <w:spacing w:after="0" w:line="342" w:lineRule="auto"/>
        <w:rPr>
          <w:sz w:val="20"/>
          <w:szCs w:val="20"/>
          <w:color w:val="auto"/>
        </w:rPr>
      </w:pPr>
      <w:r>
        <w:rPr>
          <w:rFonts w:ascii="Arial" w:cs="Arial" w:eastAsia="Arial" w:hAnsi="Arial"/>
          <w:sz w:val="16"/>
          <w:szCs w:val="16"/>
          <w:color w:val="auto"/>
        </w:rPr>
        <w:t>In connection with the acquisition, the Company incurred a total of $3.2 million of acquisition-related expenses. Total acquisition-related expenses were $0 for the three and six months ended June 30, 2023 and $0.1 million and $0.1 million for the three and six months ended June 30, 2022, respectively.</w:t>
      </w:r>
    </w:p>
    <w:p>
      <w:pPr>
        <w:spacing w:after="0" w:line="124" w:lineRule="exact"/>
        <w:rPr>
          <w:sz w:val="20"/>
          <w:szCs w:val="20"/>
          <w:color w:val="auto"/>
        </w:rPr>
      </w:pPr>
    </w:p>
    <w:p>
      <w:pPr>
        <w:jc w:val="both"/>
        <w:ind w:right="160" w:firstLine="509"/>
        <w:spacing w:after="0" w:line="263" w:lineRule="auto"/>
        <w:rPr>
          <w:sz w:val="20"/>
          <w:szCs w:val="20"/>
          <w:color w:val="auto"/>
        </w:rPr>
      </w:pPr>
      <w:r>
        <w:rPr>
          <w:rFonts w:ascii="Arial" w:cs="Arial" w:eastAsia="Arial" w:hAnsi="Arial"/>
          <w:sz w:val="18"/>
          <w:szCs w:val="18"/>
          <w:color w:val="auto"/>
        </w:rPr>
        <w:t>The acquisition date fair value of certain assets and liabilities, including intangible assets acquired and related weighted average expected lives are provisional and subject to revision within one year of the acquisition date. As such, our estimates of fair values are pending finalization, which may result in adjustments to goodwill.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provisional fair value of the net assets acquired as of the acquisition date: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Fair Value</w:t>
            </w:r>
          </w:p>
        </w:tc>
        <w:tc>
          <w:tcPr>
            <w:tcW w:w="100" w:type="dxa"/>
            <w:vAlign w:val="bottom"/>
          </w:tcPr>
          <w:p>
            <w:pPr>
              <w:spacing w:after="0"/>
              <w:rPr>
                <w:sz w:val="14"/>
                <w:szCs w:val="14"/>
                <w:color w:val="auto"/>
              </w:rPr>
            </w:pPr>
          </w:p>
        </w:tc>
      </w:tr>
      <w:tr>
        <w:trPr>
          <w:trHeight w:val="154"/>
        </w:trPr>
        <w:tc>
          <w:tcPr>
            <w:tcW w:w="9220" w:type="dxa"/>
            <w:vAlign w:val="bottom"/>
          </w:tcPr>
          <w:p>
            <w:pPr>
              <w:ind w:left="20"/>
              <w:spacing w:after="0"/>
              <w:rPr>
                <w:sz w:val="20"/>
                <w:szCs w:val="20"/>
                <w:color w:val="auto"/>
              </w:rPr>
            </w:pPr>
            <w:r>
              <w:rPr>
                <w:rFonts w:ascii="Arial" w:cs="Arial" w:eastAsia="Arial" w:hAnsi="Arial"/>
                <w:sz w:val="13"/>
                <w:szCs w:val="13"/>
                <w:b w:val="1"/>
                <w:bCs w:val="1"/>
                <w:color w:val="auto"/>
              </w:rPr>
              <w:t>ASSETS</w:t>
            </w:r>
          </w:p>
        </w:tc>
        <w:tc>
          <w:tcPr>
            <w:tcW w:w="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3"/>
        </w:trPr>
        <w:tc>
          <w:tcPr>
            <w:tcW w:w="92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3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8,807</w:t>
            </w:r>
          </w:p>
        </w:tc>
        <w:tc>
          <w:tcPr>
            <w:tcW w:w="100" w:type="dxa"/>
            <w:vAlign w:val="bottom"/>
            <w:shd w:val="clear" w:color="auto" w:fill="CFF0FC"/>
          </w:tcPr>
          <w:p>
            <w:pPr>
              <w:spacing w:after="0"/>
              <w:rPr>
                <w:sz w:val="14"/>
                <w:szCs w:val="14"/>
                <w:color w:val="auto"/>
              </w:rPr>
            </w:pPr>
          </w:p>
        </w:tc>
      </w:tr>
      <w:tr>
        <w:trPr>
          <w:trHeight w:val="161"/>
        </w:trPr>
        <w:tc>
          <w:tcPr>
            <w:tcW w:w="9220" w:type="dxa"/>
            <w:vAlign w:val="bottom"/>
          </w:tcPr>
          <w:p>
            <w:pPr>
              <w:ind w:left="200"/>
              <w:spacing w:after="0"/>
              <w:rPr>
                <w:sz w:val="20"/>
                <w:szCs w:val="20"/>
                <w:color w:val="auto"/>
              </w:rPr>
            </w:pPr>
            <w:r>
              <w:rPr>
                <w:rFonts w:ascii="Arial" w:cs="Arial" w:eastAsia="Arial" w:hAnsi="Arial"/>
                <w:sz w:val="13"/>
                <w:szCs w:val="13"/>
                <w:color w:val="auto"/>
              </w:rPr>
              <w:t>Accounts receivable</w:t>
            </w:r>
          </w:p>
        </w:tc>
        <w:tc>
          <w:tcPr>
            <w:tcW w:w="3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12,632</w:t>
            </w:r>
          </w:p>
        </w:tc>
        <w:tc>
          <w:tcPr>
            <w:tcW w:w="100" w:type="dxa"/>
            <w:vAlign w:val="bottom"/>
          </w:tcPr>
          <w:p>
            <w:pPr>
              <w:spacing w:after="0"/>
              <w:rPr>
                <w:sz w:val="14"/>
                <w:szCs w:val="14"/>
                <w:color w:val="auto"/>
              </w:rPr>
            </w:pPr>
          </w:p>
        </w:tc>
      </w:tr>
      <w:tr>
        <w:trPr>
          <w:trHeight w:val="163"/>
        </w:trPr>
        <w:tc>
          <w:tcPr>
            <w:tcW w:w="92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Right-of-use assets</w:t>
            </w:r>
          </w:p>
        </w:tc>
        <w:tc>
          <w:tcPr>
            <w:tcW w:w="38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2,904</w:t>
            </w:r>
          </w:p>
        </w:tc>
        <w:tc>
          <w:tcPr>
            <w:tcW w:w="100" w:type="dxa"/>
            <w:vAlign w:val="bottom"/>
            <w:shd w:val="clear" w:color="auto" w:fill="CFF0FC"/>
          </w:tcPr>
          <w:p>
            <w:pPr>
              <w:spacing w:after="0"/>
              <w:rPr>
                <w:sz w:val="14"/>
                <w:szCs w:val="14"/>
                <w:color w:val="auto"/>
              </w:rPr>
            </w:pPr>
          </w:p>
        </w:tc>
      </w:tr>
      <w:tr>
        <w:trPr>
          <w:trHeight w:val="161"/>
        </w:trPr>
        <w:tc>
          <w:tcPr>
            <w:tcW w:w="9220" w:type="dxa"/>
            <w:vAlign w:val="bottom"/>
          </w:tcPr>
          <w:p>
            <w:pPr>
              <w:ind w:left="200"/>
              <w:spacing w:after="0"/>
              <w:rPr>
                <w:sz w:val="20"/>
                <w:szCs w:val="20"/>
                <w:color w:val="auto"/>
              </w:rPr>
            </w:pPr>
            <w:r>
              <w:rPr>
                <w:rFonts w:ascii="Arial" w:cs="Arial" w:eastAsia="Arial" w:hAnsi="Arial"/>
                <w:sz w:val="13"/>
                <w:szCs w:val="13"/>
                <w:color w:val="auto"/>
              </w:rPr>
              <w:t>Prepaid expenses and other assets</w:t>
            </w:r>
          </w:p>
        </w:tc>
        <w:tc>
          <w:tcPr>
            <w:tcW w:w="38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3"/>
                <w:szCs w:val="13"/>
                <w:color w:val="auto"/>
              </w:rPr>
              <w:t>378</w:t>
            </w:r>
          </w:p>
        </w:tc>
        <w:tc>
          <w:tcPr>
            <w:tcW w:w="100" w:type="dxa"/>
            <w:vAlign w:val="bottom"/>
          </w:tcPr>
          <w:p>
            <w:pPr>
              <w:spacing w:after="0"/>
              <w:rPr>
                <w:sz w:val="14"/>
                <w:szCs w:val="14"/>
                <w:color w:val="auto"/>
              </w:rPr>
            </w:pPr>
          </w:p>
        </w:tc>
      </w:tr>
      <w:tr>
        <w:trPr>
          <w:trHeight w:val="163"/>
        </w:trPr>
        <w:tc>
          <w:tcPr>
            <w:tcW w:w="92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Property and equipment</w:t>
            </w:r>
          </w:p>
        </w:tc>
        <w:tc>
          <w:tcPr>
            <w:tcW w:w="380" w:type="dxa"/>
            <w:vAlign w:val="bottom"/>
            <w:shd w:val="clear" w:color="auto" w:fill="CFF0FC"/>
          </w:tcPr>
          <w:p>
            <w:pPr>
              <w:spacing w:after="0"/>
              <w:rPr>
                <w:sz w:val="14"/>
                <w:szCs w:val="14"/>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w:t>
            </w:r>
          </w:p>
        </w:tc>
        <w:tc>
          <w:tcPr>
            <w:tcW w:w="100" w:type="dxa"/>
            <w:vAlign w:val="bottom"/>
            <w:shd w:val="clear" w:color="auto" w:fill="CFF0FC"/>
          </w:tcPr>
          <w:p>
            <w:pPr>
              <w:spacing w:after="0"/>
              <w:rPr>
                <w:sz w:val="14"/>
                <w:szCs w:val="14"/>
                <w:color w:val="auto"/>
              </w:rPr>
            </w:pPr>
          </w:p>
        </w:tc>
      </w:tr>
      <w:tr>
        <w:trPr>
          <w:trHeight w:val="161"/>
        </w:trPr>
        <w:tc>
          <w:tcPr>
            <w:tcW w:w="9220" w:type="dxa"/>
            <w:vAlign w:val="bottom"/>
          </w:tcPr>
          <w:p>
            <w:pPr>
              <w:ind w:left="200"/>
              <w:spacing w:after="0"/>
              <w:rPr>
                <w:sz w:val="20"/>
                <w:szCs w:val="20"/>
                <w:color w:val="auto"/>
              </w:rPr>
            </w:pPr>
            <w:r>
              <w:rPr>
                <w:rFonts w:ascii="Arial" w:cs="Arial" w:eastAsia="Arial" w:hAnsi="Arial"/>
                <w:sz w:val="13"/>
                <w:szCs w:val="13"/>
                <w:color w:val="auto"/>
              </w:rPr>
              <w:t>Intangible assets, net</w:t>
            </w: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50,300</w:t>
            </w:r>
          </w:p>
        </w:tc>
        <w:tc>
          <w:tcPr>
            <w:tcW w:w="100" w:type="dxa"/>
            <w:vAlign w:val="bottom"/>
          </w:tcPr>
          <w:p>
            <w:pPr>
              <w:spacing w:after="0"/>
              <w:rPr>
                <w:sz w:val="14"/>
                <w:szCs w:val="14"/>
                <w:color w:val="auto"/>
              </w:rPr>
            </w:pPr>
          </w:p>
        </w:tc>
      </w:tr>
      <w:tr>
        <w:trPr>
          <w:trHeight w:val="196"/>
        </w:trPr>
        <w:tc>
          <w:tcPr>
            <w:tcW w:w="9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Total assets acquired</w:t>
            </w: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75,159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922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LIABILITIES</w:t>
            </w:r>
          </w:p>
        </w:tc>
        <w:tc>
          <w:tcPr>
            <w:tcW w:w="3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92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Accounts payable and accrued expenses</w:t>
            </w:r>
          </w:p>
        </w:tc>
        <w:tc>
          <w:tcPr>
            <w:tcW w:w="3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13,555</w:t>
            </w:r>
          </w:p>
        </w:tc>
        <w:tc>
          <w:tcPr>
            <w:tcW w:w="100" w:type="dxa"/>
            <w:vAlign w:val="bottom"/>
            <w:shd w:val="clear" w:color="auto" w:fill="CFF0FC"/>
          </w:tcPr>
          <w:p>
            <w:pPr>
              <w:spacing w:after="0"/>
              <w:rPr>
                <w:sz w:val="14"/>
                <w:szCs w:val="14"/>
                <w:color w:val="auto"/>
              </w:rPr>
            </w:pPr>
          </w:p>
        </w:tc>
      </w:tr>
      <w:tr>
        <w:trPr>
          <w:trHeight w:val="161"/>
        </w:trPr>
        <w:tc>
          <w:tcPr>
            <w:tcW w:w="9220" w:type="dxa"/>
            <w:vAlign w:val="bottom"/>
          </w:tcPr>
          <w:p>
            <w:pPr>
              <w:ind w:left="200"/>
              <w:spacing w:after="0"/>
              <w:rPr>
                <w:sz w:val="20"/>
                <w:szCs w:val="20"/>
                <w:color w:val="auto"/>
              </w:rPr>
            </w:pPr>
            <w:r>
              <w:rPr>
                <w:rFonts w:ascii="Arial" w:cs="Arial" w:eastAsia="Arial" w:hAnsi="Arial"/>
                <w:sz w:val="13"/>
                <w:szCs w:val="13"/>
                <w:color w:val="auto"/>
              </w:rPr>
              <w:t>Lease liabilities</w:t>
            </w:r>
          </w:p>
        </w:tc>
        <w:tc>
          <w:tcPr>
            <w:tcW w:w="3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2,957</w:t>
            </w:r>
          </w:p>
        </w:tc>
        <w:tc>
          <w:tcPr>
            <w:tcW w:w="100" w:type="dxa"/>
            <w:vAlign w:val="bottom"/>
          </w:tcPr>
          <w:p>
            <w:pPr>
              <w:spacing w:after="0"/>
              <w:rPr>
                <w:sz w:val="14"/>
                <w:szCs w:val="14"/>
                <w:color w:val="auto"/>
              </w:rPr>
            </w:pPr>
          </w:p>
        </w:tc>
      </w:tr>
      <w:tr>
        <w:trPr>
          <w:trHeight w:val="195"/>
        </w:trPr>
        <w:tc>
          <w:tcPr>
            <w:tcW w:w="92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Total liabilities assumed</w:t>
            </w:r>
          </w:p>
        </w:tc>
        <w:tc>
          <w:tcPr>
            <w:tcW w:w="380" w:type="dxa"/>
            <w:vAlign w:val="bottom"/>
            <w:tcBorders>
              <w:bottom w:val="single" w:sz="8" w:color="auto"/>
            </w:tcBorders>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16,512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304"/>
        </w:trPr>
        <w:tc>
          <w:tcPr>
            <w:tcW w:w="9220" w:type="dxa"/>
            <w:vAlign w:val="bottom"/>
          </w:tcPr>
          <w:p>
            <w:pPr>
              <w:ind w:left="200"/>
              <w:spacing w:after="0"/>
              <w:rPr>
                <w:sz w:val="20"/>
                <w:szCs w:val="20"/>
                <w:color w:val="auto"/>
              </w:rPr>
            </w:pPr>
            <w:r>
              <w:rPr>
                <w:rFonts w:ascii="Arial" w:cs="Arial" w:eastAsia="Arial" w:hAnsi="Arial"/>
                <w:sz w:val="13"/>
                <w:szCs w:val="13"/>
                <w:color w:val="auto"/>
              </w:rPr>
              <w:t>Net identifiable assets acquired</w:t>
            </w:r>
          </w:p>
        </w:tc>
        <w:tc>
          <w:tcPr>
            <w:tcW w:w="380" w:type="dxa"/>
            <w:vAlign w:val="bottom"/>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tcPr>
          <w:p>
            <w:pPr>
              <w:jc w:val="right"/>
              <w:spacing w:after="0"/>
              <w:rPr>
                <w:sz w:val="20"/>
                <w:szCs w:val="20"/>
                <w:color w:val="auto"/>
              </w:rPr>
            </w:pPr>
            <w:r>
              <w:rPr>
                <w:rFonts w:ascii="Arial" w:cs="Arial" w:eastAsia="Arial" w:hAnsi="Arial"/>
                <w:sz w:val="13"/>
                <w:szCs w:val="13"/>
                <w:color w:val="auto"/>
              </w:rPr>
              <w:t>58,647</w:t>
            </w:r>
          </w:p>
        </w:tc>
        <w:tc>
          <w:tcPr>
            <w:tcW w:w="100" w:type="dxa"/>
            <w:vAlign w:val="bottom"/>
          </w:tcPr>
          <w:p>
            <w:pPr>
              <w:spacing w:after="0"/>
              <w:rPr>
                <w:sz w:val="24"/>
                <w:szCs w:val="24"/>
                <w:color w:val="auto"/>
              </w:rPr>
            </w:pPr>
          </w:p>
        </w:tc>
      </w:tr>
      <w:tr>
        <w:trPr>
          <w:trHeight w:val="162"/>
        </w:trPr>
        <w:tc>
          <w:tcPr>
            <w:tcW w:w="9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Goodwill</w:t>
            </w:r>
          </w:p>
        </w:tc>
        <w:tc>
          <w:tcPr>
            <w:tcW w:w="380" w:type="dxa"/>
            <w:vAlign w:val="bottom"/>
            <w:tcBorders>
              <w:bottom w:val="single" w:sz="8" w:color="auto"/>
            </w:tcBorders>
            <w:shd w:val="clear" w:color="auto" w:fill="CFF0FC"/>
          </w:tcPr>
          <w:p>
            <w:pPr>
              <w:spacing w:after="0"/>
              <w:rPr>
                <w:sz w:val="14"/>
                <w:szCs w:val="14"/>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87,348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9220" w:type="dxa"/>
            <w:vAlign w:val="bottom"/>
          </w:tcPr>
          <w:p>
            <w:pPr>
              <w:ind w:left="380"/>
              <w:spacing w:after="0"/>
              <w:rPr>
                <w:sz w:val="20"/>
                <w:szCs w:val="20"/>
                <w:color w:val="auto"/>
              </w:rPr>
            </w:pPr>
            <w:r>
              <w:rPr>
                <w:rFonts w:ascii="Arial" w:cs="Arial" w:eastAsia="Arial" w:hAnsi="Arial"/>
                <w:sz w:val="13"/>
                <w:szCs w:val="13"/>
                <w:color w:val="auto"/>
              </w:rPr>
              <w:t>Net assets acquired</w:t>
            </w:r>
          </w:p>
        </w:tc>
        <w:tc>
          <w:tcPr>
            <w:tcW w:w="3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color w:val="auto"/>
                <w:w w:val="82"/>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145,995</w:t>
            </w:r>
          </w:p>
        </w:tc>
        <w:tc>
          <w:tcPr>
            <w:tcW w:w="100" w:type="dxa"/>
            <w:vAlign w:val="bottom"/>
          </w:tcPr>
          <w:p>
            <w:pPr>
              <w:spacing w:after="0"/>
              <w:rPr>
                <w:sz w:val="13"/>
                <w:szCs w:val="13"/>
                <w:color w:val="auto"/>
              </w:rPr>
            </w:pPr>
          </w:p>
        </w:tc>
      </w:tr>
      <w:tr>
        <w:trPr>
          <w:trHeight w:val="20"/>
        </w:trPr>
        <w:tc>
          <w:tcPr>
            <w:tcW w:w="9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2311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2311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3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provisional fair value of the identifiable intangible assets acquired: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5"/>
              </w:rPr>
              <w:t>Weighted-</w:t>
            </w:r>
          </w:p>
        </w:tc>
      </w:tr>
      <w:tr>
        <w:trPr>
          <w:trHeight w:val="162"/>
        </w:trPr>
        <w:tc>
          <w:tcPr>
            <w:tcW w:w="7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1"/>
              </w:rPr>
              <w:t>Average</w:t>
            </w:r>
          </w:p>
        </w:tc>
      </w:tr>
      <w:tr>
        <w:trPr>
          <w:trHeight w:val="162"/>
        </w:trPr>
        <w:tc>
          <w:tcPr>
            <w:tcW w:w="7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90"/>
              </w:rPr>
              <w:t>Amortization</w:t>
            </w:r>
          </w:p>
        </w:tc>
      </w:tr>
      <w:tr>
        <w:trPr>
          <w:trHeight w:val="165"/>
        </w:trPr>
        <w:tc>
          <w:tcPr>
            <w:tcW w:w="7720" w:type="dxa"/>
            <w:vAlign w:val="bottom"/>
          </w:tcPr>
          <w:p>
            <w:pPr>
              <w:spacing w:after="0"/>
              <w:rPr>
                <w:sz w:val="14"/>
                <w:szCs w:val="14"/>
                <w:color w:val="auto"/>
              </w:rPr>
            </w:pPr>
          </w:p>
        </w:tc>
        <w:tc>
          <w:tcPr>
            <w:tcW w:w="1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Fair Value</w:t>
            </w:r>
          </w:p>
        </w:tc>
        <w:tc>
          <w:tcPr>
            <w:tcW w:w="4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Period</w:t>
            </w:r>
          </w:p>
        </w:tc>
      </w:tr>
      <w:tr>
        <w:trPr>
          <w:trHeight w:val="15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Value of management and advisory contracts</w:t>
            </w:r>
          </w:p>
        </w:tc>
        <w:tc>
          <w:tcPr>
            <w:tcW w:w="1160" w:type="dxa"/>
            <w:vAlign w:val="bottom"/>
            <w:shd w:val="clear" w:color="auto" w:fill="CFF0FC"/>
          </w:tcPr>
          <w:p>
            <w:pPr>
              <w:jc w:val="right"/>
              <w:ind w:right="1017"/>
              <w:spacing w:after="0"/>
              <w:rPr>
                <w:sz w:val="20"/>
                <w:szCs w:val="20"/>
                <w:color w:val="auto"/>
              </w:rPr>
            </w:pPr>
            <w:r>
              <w:rPr>
                <w:rFonts w:ascii="Arial" w:cs="Arial" w:eastAsia="Arial" w:hAnsi="Arial"/>
                <w:sz w:val="13"/>
                <w:szCs w:val="13"/>
                <w:color w:val="auto"/>
                <w:w w:val="82"/>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43,500</w:t>
            </w:r>
          </w:p>
        </w:tc>
        <w:tc>
          <w:tcPr>
            <w:tcW w:w="280" w:type="dxa"/>
            <w:vAlign w:val="bottom"/>
            <w:shd w:val="clear" w:color="auto" w:fill="CFF0FC"/>
          </w:tcPr>
          <w:p>
            <w:pPr>
              <w:spacing w:after="0"/>
              <w:rPr>
                <w:sz w:val="13"/>
                <w:szCs w:val="13"/>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r>
      <w:tr>
        <w:trPr>
          <w:trHeight w:val="162"/>
        </w:trPr>
        <w:tc>
          <w:tcPr>
            <w:tcW w:w="7720" w:type="dxa"/>
            <w:vAlign w:val="bottom"/>
          </w:tcPr>
          <w:p>
            <w:pPr>
              <w:ind w:left="20"/>
              <w:spacing w:after="0"/>
              <w:rPr>
                <w:sz w:val="20"/>
                <w:szCs w:val="20"/>
                <w:color w:val="auto"/>
              </w:rPr>
            </w:pPr>
            <w:r>
              <w:rPr>
                <w:rFonts w:ascii="Arial" w:cs="Arial" w:eastAsia="Arial" w:hAnsi="Arial"/>
                <w:sz w:val="13"/>
                <w:szCs w:val="13"/>
                <w:color w:val="auto"/>
              </w:rPr>
              <w:t>Value of trade name</w:t>
            </w: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6,800</w:t>
            </w:r>
          </w:p>
        </w:tc>
        <w:tc>
          <w:tcPr>
            <w:tcW w:w="1940" w:type="dxa"/>
            <w:vAlign w:val="bottom"/>
            <w:gridSpan w:val="2"/>
          </w:tcPr>
          <w:p>
            <w:pPr>
              <w:jc w:val="right"/>
              <w:spacing w:after="0"/>
              <w:rPr>
                <w:sz w:val="20"/>
                <w:szCs w:val="20"/>
                <w:color w:val="auto"/>
              </w:rPr>
            </w:pPr>
            <w:r>
              <w:rPr>
                <w:rFonts w:ascii="Arial" w:cs="Arial" w:eastAsia="Arial" w:hAnsi="Arial"/>
                <w:sz w:val="13"/>
                <w:szCs w:val="13"/>
                <w:color w:val="auto"/>
              </w:rPr>
              <w:t>10</w:t>
            </w:r>
          </w:p>
        </w:tc>
      </w:tr>
      <w:tr>
        <w:trPr>
          <w:trHeight w:val="195"/>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Total identifiable intangible assets</w:t>
            </w:r>
          </w:p>
        </w:tc>
        <w:tc>
          <w:tcPr>
            <w:tcW w:w="1160" w:type="dxa"/>
            <w:vAlign w:val="bottom"/>
            <w:tcBorders>
              <w:bottom w:val="single" w:sz="8" w:color="auto"/>
            </w:tcBorders>
            <w:shd w:val="clear" w:color="auto" w:fill="CFF0FC"/>
          </w:tcPr>
          <w:p>
            <w:pPr>
              <w:jc w:val="right"/>
              <w:ind w:right="1017"/>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50,300</w:t>
            </w:r>
          </w:p>
        </w:tc>
        <w:tc>
          <w:tcPr>
            <w:tcW w:w="280" w:type="dxa"/>
            <w:vAlign w:val="bottom"/>
            <w:tcBorders>
              <w:bottom w:val="single" w:sz="8" w:color="CFF0FC"/>
            </w:tcBorders>
            <w:shd w:val="clear" w:color="auto" w:fill="CFF0FC"/>
          </w:tcPr>
          <w:p>
            <w:pPr>
              <w:spacing w:after="0"/>
              <w:rPr>
                <w:sz w:val="16"/>
                <w:szCs w:val="16"/>
                <w:color w:val="auto"/>
              </w:rPr>
            </w:pPr>
          </w:p>
        </w:tc>
        <w:tc>
          <w:tcPr>
            <w:tcW w:w="166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jc w:val="both"/>
        <w:ind w:right="60" w:firstLine="509"/>
        <w:spacing w:after="0" w:line="311" w:lineRule="auto"/>
        <w:rPr>
          <w:sz w:val="20"/>
          <w:szCs w:val="20"/>
          <w:color w:val="auto"/>
        </w:rPr>
      </w:pPr>
      <w:r>
        <w:rPr>
          <w:rFonts w:ascii="Arial" w:cs="Arial" w:eastAsia="Arial" w:hAnsi="Arial"/>
          <w:sz w:val="16"/>
          <w:szCs w:val="16"/>
          <w:color w:val="auto"/>
        </w:rPr>
        <w:t>The goodwill recorded as part of the acquisition includes the expected benefits that management believes will result from the acquisition, including the Company’s build out of its investment product offering. Approximately $87.3 million of goodwill is expected to be deductible for tax purposes. To the extent there are payments on EBITDA-related earnouts as discussed in Note 14, those amounts would be amortizable for tax purposes at such time.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12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The fair value of management and advisory contracts acquired were estimated using the excess earnings method. Significant inputs to the valuation model include existing revenue, estimates of expenses and contributory asset charges, the economic life of the contracts and a discount rate based on a weighted average cost of capital.</w:t>
      </w:r>
    </w:p>
    <w:p>
      <w:pPr>
        <w:spacing w:after="0" w:line="184" w:lineRule="exact"/>
        <w:rPr>
          <w:sz w:val="20"/>
          <w:szCs w:val="20"/>
          <w:color w:val="auto"/>
        </w:rPr>
      </w:pPr>
    </w:p>
    <w:p>
      <w:pPr>
        <w:ind w:right="500" w:firstLine="509"/>
        <w:spacing w:after="0" w:line="342" w:lineRule="auto"/>
        <w:rPr>
          <w:sz w:val="20"/>
          <w:szCs w:val="20"/>
          <w:color w:val="auto"/>
        </w:rPr>
      </w:pPr>
      <w:r>
        <w:rPr>
          <w:rFonts w:ascii="Arial" w:cs="Arial" w:eastAsia="Arial" w:hAnsi="Arial"/>
          <w:sz w:val="16"/>
          <w:szCs w:val="16"/>
          <w:color w:val="auto"/>
        </w:rPr>
        <w:t>The fair value of trade names acquired were estimated using the relief from royalty method. Significant inputs to the valuation model include estimates of existing and future revenue, estimated royalty rate, economic life and a discount rate based on a weighted average cost of capital.</w:t>
      </w:r>
    </w:p>
    <w:p>
      <w:pPr>
        <w:spacing w:after="0" w:line="12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management and advisory contracts and trade names have a finite useful life. The carrying value of the management fund and advisory contracts and trade names will be amortized in line with the pattern in which the economic benefits arise and are reviewed at least annually for indicators of impairment in value that is other than temporary.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Pro-forma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Year Acquisition: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unaudited pro forma condensed consolidated results of operations of the Company assumes the acquisition of WTI was completed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 2022:</w:t>
      </w:r>
    </w:p>
    <w:p>
      <w:pPr>
        <w:spacing w:after="0" w:line="216"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For the Six Months</w:t>
      </w:r>
    </w:p>
    <w:p>
      <w:pPr>
        <w:spacing w:after="0" w:line="4"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Ended June 30,</w:t>
      </w:r>
    </w:p>
    <w:p>
      <w:pPr>
        <w:spacing w:after="0" w:line="163" w:lineRule="exact"/>
        <w:rPr>
          <w:sz w:val="20"/>
          <w:szCs w:val="20"/>
          <w:color w:val="auto"/>
        </w:rPr>
      </w:pPr>
    </w:p>
    <w:tbl>
      <w:tblPr>
        <w:tblLayout w:type="fixed"/>
        <w:tblInd w:w="1700" w:type="dxa"/>
        <w:tblCellMar>
          <w:top w:w="0" w:type="dxa"/>
          <w:left w:w="0" w:type="dxa"/>
          <w:bottom w:w="0" w:type="dxa"/>
          <w:right w:w="0" w:type="dxa"/>
        </w:tblCellMar>
      </w:tblPr>
      <w:tr>
        <w:trPr>
          <w:trHeight w:val="189"/>
        </w:trPr>
        <w:tc>
          <w:tcPr>
            <w:tcW w:w="52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5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119,725</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107,472</w:t>
            </w:r>
          </w:p>
        </w:tc>
        <w:tc>
          <w:tcPr>
            <w:tcW w:w="80" w:type="dxa"/>
            <w:vAlign w:val="bottom"/>
            <w:shd w:val="clear" w:color="auto" w:fill="CFF0FC"/>
          </w:tcPr>
          <w:p>
            <w:pPr>
              <w:spacing w:after="0"/>
              <w:rPr>
                <w:sz w:val="21"/>
                <w:szCs w:val="2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Net income attributable to P10</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14,164</w:t>
            </w:r>
          </w:p>
        </w:tc>
        <w:tc>
          <w:tcPr>
            <w:tcW w:w="80" w:type="dxa"/>
            <w:vAlign w:val="bottom"/>
          </w:tcPr>
          <w:p>
            <w:pPr>
              <w:spacing w:after="0"/>
              <w:rPr>
                <w:sz w:val="20"/>
                <w:szCs w:val="20"/>
                <w:color w:val="auto"/>
              </w:rPr>
            </w:pPr>
          </w:p>
        </w:tc>
      </w:tr>
    </w:tbl>
    <w:p>
      <w:pPr>
        <w:spacing w:after="0" w:line="255"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Pro-forma adjustments include revenue and net income of the acquired business for each period. Other pro forma adjustments include intangible amortization expense, interest expense based on debt issued in connection with the acquisition, and compensation expense contingent on EBITDA (as noted in Note 14) as if the acquisition were completed on January 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revenues disaggregated by product offering: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4"/>
          </w:tcPr>
          <w:p>
            <w:pPr>
              <w:jc w:val="right"/>
              <w:ind w:right="294"/>
              <w:spacing w:after="0"/>
              <w:rPr>
                <w:sz w:val="20"/>
                <w:szCs w:val="20"/>
                <w:color w:val="auto"/>
              </w:rPr>
            </w:pPr>
            <w:r>
              <w:rPr>
                <w:rFonts w:ascii="Arial" w:cs="Arial" w:eastAsia="Arial" w:hAnsi="Arial"/>
                <w:sz w:val="14"/>
                <w:szCs w:val="14"/>
                <w:b w:val="1"/>
                <w:bCs w:val="1"/>
                <w:color w:val="auto"/>
              </w:rPr>
              <w:t>For the Three Months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For the Six Months</w:t>
            </w:r>
          </w:p>
        </w:tc>
        <w:tc>
          <w:tcPr>
            <w:tcW w:w="100" w:type="dxa"/>
            <w:vAlign w:val="bottom"/>
          </w:tcPr>
          <w:p>
            <w:pPr>
              <w:spacing w:after="0"/>
              <w:rPr>
                <w:sz w:val="14"/>
                <w:szCs w:val="14"/>
                <w:color w:val="auto"/>
              </w:rPr>
            </w:pPr>
          </w:p>
        </w:tc>
      </w:tr>
      <w:tr>
        <w:trPr>
          <w:trHeight w:val="186"/>
        </w:trPr>
        <w:tc>
          <w:tcPr>
            <w:tcW w:w="5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Ended June 30,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Ended June 30,</w:t>
            </w:r>
          </w:p>
        </w:tc>
        <w:tc>
          <w:tcPr>
            <w:tcW w:w="100" w:type="dxa"/>
            <w:vAlign w:val="bottom"/>
          </w:tcPr>
          <w:p>
            <w:pPr>
              <w:spacing w:after="0"/>
              <w:rPr>
                <w:sz w:val="16"/>
                <w:szCs w:val="16"/>
                <w:color w:val="auto"/>
              </w:rPr>
            </w:pPr>
          </w:p>
        </w:tc>
      </w:tr>
      <w:tr>
        <w:trPr>
          <w:trHeight w:val="174"/>
        </w:trPr>
        <w:tc>
          <w:tcPr>
            <w:tcW w:w="5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advisory fees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61,657</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46,451</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118,244</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89,478</w:t>
            </w:r>
          </w:p>
        </w:tc>
        <w:tc>
          <w:tcPr>
            <w:tcW w:w="100" w:type="dxa"/>
            <w:vAlign w:val="bottom"/>
            <w:shd w:val="clear" w:color="auto" w:fill="CFF0FC"/>
          </w:tcPr>
          <w:p>
            <w:pPr>
              <w:spacing w:after="0"/>
              <w:rPr>
                <w:sz w:val="20"/>
                <w:szCs w:val="20"/>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Subscriptions</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r>
      <w:tr>
        <w:trPr>
          <w:trHeight w:val="249"/>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revenue</w:t>
            </w:r>
          </w:p>
        </w:tc>
        <w:tc>
          <w:tcPr>
            <w:tcW w:w="2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8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62,472</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46,738</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119,725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90,019</w:t>
            </w:r>
          </w:p>
        </w:tc>
        <w:tc>
          <w:tcPr>
            <w:tcW w:w="100" w:type="dxa"/>
            <w:vAlign w:val="bottom"/>
          </w:tcPr>
          <w:p>
            <w:pPr>
              <w:spacing w:after="0"/>
              <w:rPr>
                <w:sz w:val="20"/>
                <w:szCs w:val="20"/>
                <w:color w:val="auto"/>
              </w:rPr>
            </w:pPr>
          </w:p>
        </w:tc>
      </w:tr>
      <w:tr>
        <w:trPr>
          <w:trHeight w:val="20"/>
        </w:trPr>
        <w:tc>
          <w:tcPr>
            <w:tcW w:w="5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-187960</wp:posOffset>
            </wp:positionV>
            <wp:extent cx="68580"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68580"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032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Alliance Expense</w:t>
      </w:r>
    </w:p>
    <w:p>
      <w:pPr>
        <w:spacing w:after="0" w:line="121" w:lineRule="exact"/>
        <w:rPr>
          <w:sz w:val="20"/>
          <w:szCs w:val="20"/>
          <w:color w:val="auto"/>
        </w:rPr>
      </w:pPr>
    </w:p>
    <w:p>
      <w:pPr>
        <w:ind w:right="360" w:firstLine="509"/>
        <w:spacing w:after="0" w:line="258" w:lineRule="auto"/>
        <w:rPr>
          <w:sz w:val="20"/>
          <w:szCs w:val="20"/>
          <w:color w:val="auto"/>
        </w:rPr>
      </w:pPr>
      <w:r>
        <w:rPr>
          <w:rFonts w:ascii="Arial" w:cs="Arial" w:eastAsia="Arial" w:hAnsi="Arial"/>
          <w:sz w:val="18"/>
          <w:szCs w:val="18"/>
          <w:color w:val="auto"/>
        </w:rPr>
        <w:t>In connection with the Bonaccord acquisition, Bonaccord entered into a Strategic Alliance Agreement ("SAA") with a third-party investor. This SAA provides the third-party the right to receive 15% of the net management fee earnings, which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31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includes the management fees minus applicable expenses, for Fund I and subsequent funds, paid quarterly, in exchange for funding certain amounts of capital commitments to the fund. Net management fee earnings the third-party has the right to receive is based on the total capital committed.</w:t>
      </w:r>
    </w:p>
    <w:p>
      <w:pPr>
        <w:spacing w:after="0" w:line="124"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Within 60 days following the final closing of the next fund, Bonaccord Fund II ("Fund II"), the third-party has the opportunity to acquire, at the price at the time of the original acquisition, equity interests in Bonaccord based on the amount of commitment made. For each $5.0 million, up to a maximum of $250.0 million in irrevocable capital commitments to Fund II, the third-party can acquire 10 basis points up to a maximum of 5% equity in Bonaccord. In addition, net management fee earnings would increase by the same percentage, retroactive to the date of the first close in Fund II. The maximum commitment requirement has been met as of June 30, 2023. The Company believes it is probable that the third-party will exercise the option to acquire equity in Bonaccord and has begun to accrue an additional 5% of net management fee earnings. If executed, the purchase price shall be reduced by the amount of management fee distributions which the third-party would have been paid as of the initial closing of Fund II.</w:t>
      </w:r>
    </w:p>
    <w:p>
      <w:pPr>
        <w:spacing w:after="0" w:line="177"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Similar terms apply for Fund III with the exception that the third-party can acquire 9.8 basis points for every $5.0 million committed up to 4.9%. This commitment has not yet been met as of June 30, 2023 as Fund III has not yet started raising capital. If commitment conditions to funds subsequent to Funds II and III are not satisfied, then within 60 days of the final closing of such subsequent fund giving rise to the condition not being satisfied, the Company may elect to repurchase the equity granted to the third-party. The repurchase shall be at the fair market value of such equity at that point in time. For the three and six months ended June 30, 2023, the strategic alliance expense reported was $0.4 million and $0.8 million, respectively. For the three and six months ended June 30, 2022, the strategic alliance expense reported was $0.2 million and $0.3 million, respectively. This is reported on the Consolidated Statements of Operations as strategic alliance expense in operating expenses. As of June 30, 2023 and December 31, 2022 the associated liability is $0.3 million and $0.2 million, respectively, which is reported in accrued expenses on the Consolidated Balance Sheets.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 Receivable</w:t>
      </w:r>
    </w:p>
    <w:p>
      <w:pPr>
        <w:spacing w:after="0" w:line="121"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The Company's note receivable consists of an Advance Agreement and Secured Promissory Note that was executed on September 30, 2021 between the Company and BCP to lend funds to certain employees to be used to pay general partner commitments to certain funds managed by Bonaccord. This agreement provides for a note to BCP for $5.0 million, of which $4.4 million was drawn as of June 30, 2023 with a maturity date of September 30, 2031. The note will earn interest at the greater of (i) the applicable federal rate that must be charged to avoid imputation of interest under Section 1274(d) of the U.S. Internal Revenue Code and (ii) 5.5%. Interest will be paid on December 31st of each year commencing December 31, 2021, with any unpaid accrued interest being capitalized and added to the outstanding principal balance. There was $0.1 million cash paid for interest as of December 31, 2022 and the $0.1 million was capitalized to the note receivable. As of June 30, 2023, $0.1 million of interest was paid. Principal payments will be made periodically from mandatorily required payments from available cash flows at BCP. As of June 30, 2023 and December 31, 2022, the balance was $4.4 million and $4.2 million, respectively. The Company recognized interest income of $0.1 million and $0.1 million for the three and six months ended June 30, 2023, respectively, and $0.1 million and $0.1 million for the three and six months ended June 30, 2022,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Variable Interest Entities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21" w:lineRule="exact"/>
        <w:rPr>
          <w:sz w:val="20"/>
          <w:szCs w:val="20"/>
          <w:color w:val="auto"/>
        </w:rPr>
      </w:pPr>
    </w:p>
    <w:p>
      <w:pPr>
        <w:ind w:right="100" w:firstLine="509"/>
        <w:spacing w:after="0" w:line="252" w:lineRule="auto"/>
        <w:rPr>
          <w:sz w:val="20"/>
          <w:szCs w:val="20"/>
          <w:color w:val="auto"/>
        </w:rPr>
      </w:pPr>
      <w:r>
        <w:rPr>
          <w:rFonts w:ascii="Arial" w:cs="Arial" w:eastAsia="Arial" w:hAnsi="Arial"/>
          <w:sz w:val="18"/>
          <w:szCs w:val="18"/>
          <w:color w:val="auto"/>
        </w:rPr>
        <w:t>The Company consolidates certain VIEs for which it is the primary beneficiary. VIEs consist of certain operating entities not wholly owned by the Company and include P10 Intermediate, Holdco, RCP 2, RCP 3, TrueBridge, Hark, Bonaccord, and WTI. See Note 2 for more information on the Company’s accounting policies related to the consolidation of VIEs. The assets of the consolidated VIEs totaled $562.9 million and $568.0 million as of June 30, 2023 and December 31, 2022, respectively. The liabilities of the consolidated VIEs totaled $379.8 million and $96.3 million as of June 30, 2023 and December 31, 2022, respectively. The assets of our consolidated VIE’s are owned by those entities and not generally available to satisfy P10’s obligations, and the liabilities of our consolidated VIE’s are obligations of those entities and their creditors do not generally have recourse to the assets of P10.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Unconsolidated VIEs</w:t>
      </w:r>
    </w:p>
    <w:p>
      <w:pPr>
        <w:spacing w:after="0" w:line="12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Unconsolidated Subsidiaries</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Company’s investment in unconsolidated subsidiaries consist of equity method investments primarily related to ECG’s tax credit finance and asset management activities.</w:t>
      </w:r>
    </w:p>
    <w:p>
      <w:pPr>
        <w:spacing w:after="0" w:line="170"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As of June 30, 2023, investment in unconsolidated subsidiaries totaled $2.4 million, of which $0.2 million related to ECG’s tax credit finance businesses and $2.2 million related to ECG’s asset management businesses. As of December 31, 2022, investment in unconsolidated subsidiaries totaled $2.3 million, of which $2.1 million related to ECG’s asset management businesses and $0.2 million related to ECG’s tax credit finance businesses.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w:t>
      </w:r>
    </w:p>
    <w:p>
      <w:pPr>
        <w:spacing w:after="0" w:line="117"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ECG manages some of its alternative asset management funds through various unconsolidated subsidiaries and records these investments under the equity method of accounting. ECG recorded its share of income in the amount of $0.4 million and $0.5 million for the three month and six months ended June 30, 2023, respectively, and $0.8 million and $1.1 million for the three and six months ended June 30, 2022, respectively. For the three and six months ended June 30, 2023, ECG made $0 capital contributions and received distributions of $0.4 million and $0.5 million, respectively. For the three and six months ended June 30, 2022, ECG made $0 capital contributions and received distributions of $0.6 million and $0.7 million,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Credit Finance</w:t>
      </w:r>
    </w:p>
    <w:p>
      <w:pPr>
        <w:spacing w:after="0" w:line="117"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ECG provides a wide range of tax credit transactions and consulting services through various entities which are wholly owned subsidiaries of Enhanced Tax Credit Finance, LLC (“ETCF”), which is a wholly owned subsidiary of ECG. Some of these subsidiaries own nominal interests, typically under 1.0%, in various VIEs and record these investments under the measurement alternative described in Note 2 above. For the three and six months ended June 30, 2023 and June 30, 2022, ECG made $0 of capital contributions and received distributions of $0.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b w:val="1"/>
                <w:bCs w:val="1"/>
                <w:color w:val="auto"/>
              </w:rPr>
              <w:t>As of June 30,</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2"/>
              </w:rPr>
              <w:t>As of December 31,</w:t>
            </w:r>
          </w:p>
        </w:tc>
      </w:tr>
      <w:tr>
        <w:trPr>
          <w:trHeight w:val="325"/>
        </w:trPr>
        <w:tc>
          <w:tcPr>
            <w:tcW w:w="7720" w:type="dxa"/>
            <w:vAlign w:val="bottom"/>
          </w:tcPr>
          <w:p>
            <w:pPr>
              <w:spacing w:after="0"/>
              <w:rPr>
                <w:sz w:val="24"/>
                <w:szCs w:val="24"/>
                <w:color w:val="auto"/>
              </w:rPr>
            </w:pPr>
          </w:p>
        </w:tc>
        <w:tc>
          <w:tcPr>
            <w:tcW w:w="12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2023</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24"/>
                <w:szCs w:val="24"/>
                <w:color w:val="auto"/>
              </w:rPr>
            </w:pPr>
          </w:p>
        </w:tc>
      </w:tr>
      <w:tr>
        <w:trPr>
          <w:trHeight w:val="157"/>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Computers and purchased software</w:t>
            </w:r>
          </w:p>
        </w:tc>
        <w:tc>
          <w:tcPr>
            <w:tcW w:w="1220" w:type="dxa"/>
            <w:vAlign w:val="bottom"/>
            <w:shd w:val="clear" w:color="auto" w:fill="CFF0FC"/>
          </w:tcPr>
          <w:p>
            <w:pPr>
              <w:jc w:val="right"/>
              <w:ind w:right="1077"/>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1,422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631</w:t>
            </w:r>
          </w:p>
        </w:tc>
        <w:tc>
          <w:tcPr>
            <w:tcW w:w="100" w:type="dxa"/>
            <w:vAlign w:val="bottom"/>
            <w:shd w:val="clear" w:color="auto" w:fill="CFF0FC"/>
          </w:tcPr>
          <w:p>
            <w:pPr>
              <w:spacing w:after="0"/>
              <w:rPr>
                <w:sz w:val="13"/>
                <w:szCs w:val="13"/>
                <w:color w:val="auto"/>
              </w:rPr>
            </w:pPr>
          </w:p>
        </w:tc>
      </w:tr>
      <w:tr>
        <w:trPr>
          <w:trHeight w:val="161"/>
        </w:trPr>
        <w:tc>
          <w:tcPr>
            <w:tcW w:w="7720" w:type="dxa"/>
            <w:vAlign w:val="bottom"/>
          </w:tcPr>
          <w:p>
            <w:pPr>
              <w:ind w:left="20"/>
              <w:spacing w:after="0"/>
              <w:rPr>
                <w:sz w:val="20"/>
                <w:szCs w:val="20"/>
                <w:color w:val="auto"/>
              </w:rPr>
            </w:pPr>
            <w:r>
              <w:rPr>
                <w:rFonts w:ascii="Arial" w:cs="Arial" w:eastAsia="Arial" w:hAnsi="Arial"/>
                <w:sz w:val="13"/>
                <w:szCs w:val="13"/>
                <w:color w:val="auto"/>
              </w:rPr>
              <w:t>Furniture and fixtures</w:t>
            </w:r>
          </w:p>
        </w:tc>
        <w:tc>
          <w:tcPr>
            <w:tcW w:w="12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1,627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3"/>
                <w:szCs w:val="13"/>
                <w:color w:val="auto"/>
              </w:rPr>
              <w:t>2,201</w:t>
            </w:r>
          </w:p>
        </w:tc>
        <w:tc>
          <w:tcPr>
            <w:tcW w:w="100" w:type="dxa"/>
            <w:vAlign w:val="bottom"/>
          </w:tcPr>
          <w:p>
            <w:pPr>
              <w:spacing w:after="0"/>
              <w:rPr>
                <w:sz w:val="14"/>
                <w:szCs w:val="14"/>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Leasehold improvements</w:t>
            </w:r>
          </w:p>
        </w:tc>
        <w:tc>
          <w:tcPr>
            <w:tcW w:w="122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2,795</w:t>
            </w:r>
          </w:p>
        </w:tc>
        <w:tc>
          <w:tcPr>
            <w:tcW w:w="24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2,197</w:t>
            </w:r>
          </w:p>
        </w:tc>
        <w:tc>
          <w:tcPr>
            <w:tcW w:w="100" w:type="dxa"/>
            <w:vAlign w:val="bottom"/>
            <w:shd w:val="clear" w:color="auto" w:fill="CFF0FC"/>
          </w:tcPr>
          <w:p>
            <w:pPr>
              <w:spacing w:after="0"/>
              <w:rPr>
                <w:sz w:val="14"/>
                <w:szCs w:val="14"/>
                <w:color w:val="auto"/>
              </w:rPr>
            </w:pPr>
          </w:p>
        </w:tc>
      </w:tr>
      <w:tr>
        <w:trPr>
          <w:trHeight w:val="155"/>
        </w:trPr>
        <w:tc>
          <w:tcPr>
            <w:tcW w:w="7720" w:type="dxa"/>
            <w:vAlign w:val="bottom"/>
          </w:tcPr>
          <w:p>
            <w:pPr>
              <w:spacing w:after="0"/>
              <w:rPr>
                <w:sz w:val="13"/>
                <w:szCs w:val="13"/>
                <w:color w:val="auto"/>
              </w:rPr>
            </w:pPr>
          </w:p>
        </w:tc>
        <w:tc>
          <w:tcPr>
            <w:tcW w:w="1220" w:type="dxa"/>
            <w:vAlign w:val="bottom"/>
          </w:tcPr>
          <w:p>
            <w:pPr>
              <w:jc w:val="right"/>
              <w:ind w:right="1077"/>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5,844</w:t>
            </w:r>
          </w:p>
        </w:tc>
        <w:tc>
          <w:tcPr>
            <w:tcW w:w="2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400" w:type="dxa"/>
            <w:vAlign w:val="bottom"/>
          </w:tcPr>
          <w:p>
            <w:pPr>
              <w:jc w:val="right"/>
              <w:spacing w:after="0"/>
              <w:rPr>
                <w:sz w:val="20"/>
                <w:szCs w:val="20"/>
                <w:color w:val="auto"/>
              </w:rPr>
            </w:pPr>
            <w:r>
              <w:rPr>
                <w:rFonts w:ascii="Arial" w:cs="Arial" w:eastAsia="Arial" w:hAnsi="Arial"/>
                <w:sz w:val="13"/>
                <w:szCs w:val="13"/>
                <w:color w:val="auto"/>
              </w:rPr>
              <w:t>5,029</w:t>
            </w:r>
          </w:p>
        </w:tc>
        <w:tc>
          <w:tcPr>
            <w:tcW w:w="100" w:type="dxa"/>
            <w:vAlign w:val="bottom"/>
          </w:tcPr>
          <w:p>
            <w:pPr>
              <w:spacing w:after="0"/>
              <w:rPr>
                <w:sz w:val="13"/>
                <w:szCs w:val="13"/>
                <w:color w:val="auto"/>
              </w:rPr>
            </w:pPr>
          </w:p>
        </w:tc>
      </w:tr>
      <w:tr>
        <w:trPr>
          <w:trHeight w:val="162"/>
        </w:trPr>
        <w:tc>
          <w:tcPr>
            <w:tcW w:w="7720" w:type="dxa"/>
            <w:vAlign w:val="bottom"/>
            <w:shd w:val="clear" w:color="auto" w:fill="CFF0FC"/>
          </w:tcPr>
          <w:p>
            <w:pPr>
              <w:ind w:left="20"/>
              <w:spacing w:after="0"/>
              <w:rPr>
                <w:sz w:val="20"/>
                <w:szCs w:val="20"/>
                <w:color w:val="auto"/>
              </w:rPr>
            </w:pPr>
            <w:r>
              <w:rPr>
                <w:rFonts w:ascii="Arial" w:cs="Arial" w:eastAsia="Arial" w:hAnsi="Arial"/>
                <w:sz w:val="13"/>
                <w:szCs w:val="13"/>
                <w:color w:val="auto"/>
              </w:rPr>
              <w:t>Less: accumulated depreciation</w:t>
            </w:r>
          </w:p>
        </w:tc>
        <w:tc>
          <w:tcPr>
            <w:tcW w:w="122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w w:val="93"/>
              </w:rPr>
              <w:t>(2,442 )</w:t>
            </w:r>
          </w:p>
        </w:tc>
        <w:tc>
          <w:tcPr>
            <w:tcW w:w="18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(2,151 )</w:t>
            </w:r>
          </w:p>
        </w:tc>
      </w:tr>
      <w:tr>
        <w:trPr>
          <w:trHeight w:val="155"/>
        </w:trPr>
        <w:tc>
          <w:tcPr>
            <w:tcW w:w="7720" w:type="dxa"/>
            <w:vAlign w:val="bottom"/>
            <w:tcBorders>
              <w:top w:val="single" w:sz="8" w:color="CFF0FC"/>
            </w:tcBorders>
          </w:tcPr>
          <w:p>
            <w:pPr>
              <w:ind w:left="200"/>
              <w:spacing w:after="0"/>
              <w:rPr>
                <w:sz w:val="20"/>
                <w:szCs w:val="20"/>
                <w:color w:val="auto"/>
              </w:rPr>
            </w:pPr>
            <w:r>
              <w:rPr>
                <w:rFonts w:ascii="Arial" w:cs="Arial" w:eastAsia="Arial" w:hAnsi="Arial"/>
                <w:sz w:val="13"/>
                <w:szCs w:val="13"/>
                <w:color w:val="auto"/>
              </w:rPr>
              <w:t>Total property and equipment, net</w:t>
            </w:r>
          </w:p>
        </w:tc>
        <w:tc>
          <w:tcPr>
            <w:tcW w:w="1220" w:type="dxa"/>
            <w:vAlign w:val="bottom"/>
            <w:tcBorders>
              <w:top w:val="single" w:sz="8" w:color="auto"/>
              <w:bottom w:val="single" w:sz="8" w:color="auto"/>
            </w:tcBorders>
          </w:tcPr>
          <w:p>
            <w:pPr>
              <w:jc w:val="right"/>
              <w:ind w:right="1077"/>
              <w:spacing w:after="0"/>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3,402</w:t>
            </w: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2,878</w:t>
            </w:r>
          </w:p>
        </w:tc>
        <w:tc>
          <w:tcPr>
            <w:tcW w:w="100" w:type="dxa"/>
            <w:vAlign w:val="bottom"/>
            <w:tcBorders>
              <w:top w:val="single" w:sz="8" w:color="CFF0FC"/>
            </w:tcBorders>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-136525</wp:posOffset>
            </wp:positionV>
            <wp:extent cx="6858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3716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gridSpan w:val="2"/>
          </w:tcPr>
          <w:p>
            <w:pPr>
              <w:jc w:val="right"/>
              <w:ind w:right="1650"/>
              <w:spacing w:after="0"/>
              <w:rPr>
                <w:sz w:val="20"/>
                <w:szCs w:val="20"/>
                <w:color w:val="auto"/>
              </w:rPr>
            </w:pPr>
            <w:r>
              <w:rPr>
                <w:rFonts w:ascii="Arial" w:cs="Arial" w:eastAsia="Arial" w:hAnsi="Arial"/>
                <w:sz w:val="18"/>
                <w:szCs w:val="18"/>
                <w:color w:val="auto"/>
                <w:w w:val="98"/>
              </w:rPr>
              <w:t>Changes in goodwill for the six months ended June 30, 2023 are as follows:</w:t>
            </w: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4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260" w:type="dxa"/>
            <w:vAlign w:val="bottom"/>
          </w:tcPr>
          <w:p>
            <w:pPr>
              <w:spacing w:after="0"/>
              <w:rPr>
                <w:sz w:val="24"/>
                <w:szCs w:val="24"/>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2022</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506,638</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26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Purchase price adjustment</w:t>
            </w: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 xml:space="preserve">(600 </w:t>
            </w:r>
            <w:r>
              <w:rPr>
                <w:rFonts w:ascii="Arial" w:cs="Arial" w:eastAsia="Arial" w:hAnsi="Arial"/>
                <w:sz w:val="18"/>
                <w:szCs w:val="18"/>
                <w:color w:val="auto"/>
                <w:highlight w:val="white"/>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from acquisitions</w:t>
            </w:r>
          </w:p>
        </w:tc>
        <w:tc>
          <w:tcPr>
            <w:tcW w:w="3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Balance at June 30, 2023</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506,038</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jc w:val="right"/>
              <w:ind w:right="1910"/>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-882015</wp:posOffset>
            </wp:positionV>
            <wp:extent cx="342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-1045210</wp:posOffset>
            </wp:positionV>
            <wp:extent cx="342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-548005</wp:posOffset>
            </wp:positionV>
            <wp:extent cx="3429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During the period, there was a revision to the provisional fair value of the WTI tradename as a result of obtaining new information that was</w:t>
      </w:r>
    </w:p>
    <w:p>
      <w:pPr>
        <w:spacing w:after="0" w:line="2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available at acquisition. This revision resulted in a purchase price adjustment. This resulted in a $0.6 million adjustment to goodwill and intangible assets.</w:t>
      </w: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Intangibles consists of the following:</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As of June 30, 2023</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33"/>
        </w:trPr>
        <w:tc>
          <w:tcPr>
            <w:tcW w:w="4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r>
      <w:tr>
        <w:trPr>
          <w:trHeight w:val="185"/>
        </w:trPr>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17,364</w:t>
            </w:r>
          </w:p>
        </w:tc>
        <w:tc>
          <w:tcPr>
            <w:tcW w:w="20" w:type="dxa"/>
            <w:vAlign w:val="bottom"/>
          </w:tcPr>
          <w:p>
            <w:pPr>
              <w:spacing w:after="0"/>
              <w:rPr>
                <w:sz w:val="21"/>
                <w:szCs w:val="21"/>
                <w:color w:val="auto"/>
              </w:rPr>
            </w:pP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17,364</w:t>
            </w:r>
          </w:p>
        </w:tc>
        <w:tc>
          <w:tcPr>
            <w:tcW w:w="80" w:type="dxa"/>
            <w:vAlign w:val="bottom"/>
          </w:tcPr>
          <w:p>
            <w:pPr>
              <w:spacing w:after="0"/>
              <w:rPr>
                <w:sz w:val="21"/>
                <w:szCs w:val="21"/>
                <w:color w:val="auto"/>
              </w:rPr>
            </w:pPr>
          </w:p>
        </w:tc>
      </w:tr>
      <w:tr>
        <w:trPr>
          <w:trHeight w:val="250"/>
        </w:trPr>
        <w:tc>
          <w:tcPr>
            <w:tcW w:w="4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Technology</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Total indefinite-lived intangible assets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17,394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17,394</w:t>
            </w:r>
          </w:p>
        </w:tc>
        <w:tc>
          <w:tcPr>
            <w:tcW w:w="80" w:type="dxa"/>
            <w:vAlign w:val="bottom"/>
          </w:tcPr>
          <w:p>
            <w:pPr>
              <w:spacing w:after="0"/>
              <w:rPr>
                <w:sz w:val="21"/>
                <w:szCs w:val="21"/>
                <w:color w:val="auto"/>
              </w:rPr>
            </w:pPr>
          </w:p>
        </w:tc>
      </w:tr>
      <w:tr>
        <w:trPr>
          <w:trHeight w:val="26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28,240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(4,631 )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23,609</w:t>
            </w:r>
          </w:p>
        </w:tc>
        <w:tc>
          <w:tcPr>
            <w:tcW w:w="80" w:type="dxa"/>
            <w:vAlign w:val="bottom"/>
          </w:tcPr>
          <w:p>
            <w:pPr>
              <w:spacing w:after="0"/>
              <w:rPr>
                <w:sz w:val="21"/>
                <w:szCs w:val="21"/>
                <w:color w:val="auto"/>
              </w:rPr>
            </w:pPr>
          </w:p>
        </w:tc>
      </w:tr>
      <w:tr>
        <w:trPr>
          <w:trHeight w:val="263"/>
        </w:trPr>
        <w:tc>
          <w:tcPr>
            <w:tcW w:w="4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Management and advisory contracts</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194,666</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(98,679 )</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95,987</w:t>
            </w:r>
          </w:p>
        </w:tc>
        <w:tc>
          <w:tcPr>
            <w:tcW w:w="80" w:type="dxa"/>
            <w:vAlign w:val="bottom"/>
            <w:shd w:val="clear" w:color="auto" w:fill="CFF0FC"/>
          </w:tcPr>
          <w:p>
            <w:pPr>
              <w:spacing w:after="0"/>
              <w:rPr>
                <w:sz w:val="22"/>
                <w:szCs w:val="22"/>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(1,540 )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21"/>
                <w:szCs w:val="21"/>
                <w:color w:val="auto"/>
              </w:rPr>
            </w:pPr>
          </w:p>
        </w:tc>
      </w:tr>
      <w:tr>
        <w:trPr>
          <w:trHeight w:val="237"/>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225,308</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(104,850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120,458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242,702</w:t>
            </w:r>
          </w:p>
        </w:tc>
        <w:tc>
          <w:tcPr>
            <w:tcW w:w="20" w:type="dxa"/>
            <w:vAlign w:val="bottom"/>
          </w:tcPr>
          <w:p>
            <w:pPr>
              <w:spacing w:after="0"/>
              <w:rPr>
                <w:sz w:val="20"/>
                <w:szCs w:val="20"/>
                <w:color w:val="auto"/>
              </w:rPr>
            </w:pPr>
          </w:p>
        </w:tc>
        <w:tc>
          <w:tcPr>
            <w:tcW w:w="4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(104,850 </w:t>
            </w:r>
            <w:r>
              <w:rPr>
                <w:rFonts w:ascii="Arial" w:cs="Arial" w:eastAsia="Arial" w:hAnsi="Arial"/>
                <w:sz w:val="18"/>
                <w:szCs w:val="18"/>
                <w:color w:val="auto"/>
                <w:highlight w:val="white"/>
              </w:rPr>
              <w:t>)</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137,852</w:t>
            </w:r>
          </w:p>
        </w:tc>
        <w:tc>
          <w:tcPr>
            <w:tcW w:w="8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4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w w:val="94"/>
              </w:rPr>
              <w:t>As of December 31, 2022</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3"/>
        </w:trPr>
        <w:tc>
          <w:tcPr>
            <w:tcW w:w="4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7"/>
              </w:rPr>
              <w:t>Net Carrying</w:t>
            </w:r>
          </w:p>
        </w:tc>
        <w:tc>
          <w:tcPr>
            <w:tcW w:w="80" w:type="dxa"/>
            <w:vAlign w:val="bottom"/>
          </w:tcPr>
          <w:p>
            <w:pPr>
              <w:spacing w:after="0"/>
              <w:rPr>
                <w:sz w:val="11"/>
                <w:szCs w:val="11"/>
                <w:color w:val="auto"/>
              </w:rPr>
            </w:pPr>
          </w:p>
        </w:tc>
      </w:tr>
      <w:tr>
        <w:trPr>
          <w:trHeight w:val="185"/>
        </w:trPr>
        <w:tc>
          <w:tcPr>
            <w:tcW w:w="4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6"/>
                <w:szCs w:val="16"/>
                <w:color w:val="auto"/>
              </w:rPr>
            </w:pPr>
          </w:p>
        </w:tc>
      </w:tr>
      <w:tr>
        <w:trPr>
          <w:trHeight w:val="25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20" w:type="dxa"/>
            <w:vAlign w:val="bottom"/>
            <w:tcBorders>
              <w:top w:val="single" w:sz="8" w:color="auto"/>
            </w:tcBorders>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 w:type="dxa"/>
            <w:vAlign w:val="bottom"/>
            <w:tcBorders>
              <w:top w:val="single" w:sz="8" w:color="auto"/>
            </w:tcBorders>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17,350</w:t>
            </w:r>
          </w:p>
        </w:tc>
        <w:tc>
          <w:tcPr>
            <w:tcW w:w="20" w:type="dxa"/>
            <w:vAlign w:val="bottom"/>
          </w:tcPr>
          <w:p>
            <w:pPr>
              <w:spacing w:after="0"/>
              <w:rPr>
                <w:sz w:val="21"/>
                <w:szCs w:val="21"/>
                <w:color w:val="auto"/>
              </w:rPr>
            </w:pPr>
          </w:p>
        </w:tc>
        <w:tc>
          <w:tcPr>
            <w:tcW w:w="4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17,350</w:t>
            </w:r>
          </w:p>
        </w:tc>
        <w:tc>
          <w:tcPr>
            <w:tcW w:w="80" w:type="dxa"/>
            <w:vAlign w:val="bottom"/>
          </w:tcPr>
          <w:p>
            <w:pPr>
              <w:spacing w:after="0"/>
              <w:rPr>
                <w:sz w:val="21"/>
                <w:szCs w:val="21"/>
                <w:color w:val="auto"/>
              </w:rPr>
            </w:pPr>
          </w:p>
        </w:tc>
      </w:tr>
      <w:tr>
        <w:trPr>
          <w:trHeight w:val="250"/>
        </w:trPr>
        <w:tc>
          <w:tcPr>
            <w:tcW w:w="46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Technology</w:t>
            </w: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3"/>
        </w:trPr>
        <w:tc>
          <w:tcPr>
            <w:tcW w:w="4620" w:type="dxa"/>
            <w:vAlign w:val="bottom"/>
          </w:tcPr>
          <w:p>
            <w:pPr>
              <w:spacing w:after="0"/>
              <w:rPr>
                <w:sz w:val="20"/>
                <w:szCs w:val="20"/>
                <w:color w:val="auto"/>
              </w:rPr>
            </w:pPr>
            <w:r>
              <w:rPr>
                <w:rFonts w:ascii="Arial" w:cs="Arial" w:eastAsia="Arial" w:hAnsi="Arial"/>
                <w:sz w:val="18"/>
                <w:szCs w:val="18"/>
                <w:color w:val="auto"/>
              </w:rPr>
              <w:t>Total indefinite-lived intangible assets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17,380</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17,380</w:t>
            </w:r>
          </w:p>
        </w:tc>
        <w:tc>
          <w:tcPr>
            <w:tcW w:w="80" w:type="dxa"/>
            <w:vAlign w:val="bottom"/>
          </w:tcPr>
          <w:p>
            <w:pPr>
              <w:spacing w:after="0"/>
              <w:rPr>
                <w:sz w:val="21"/>
                <w:szCs w:val="21"/>
                <w:color w:val="auto"/>
              </w:rPr>
            </w:pPr>
          </w:p>
        </w:tc>
      </w:tr>
      <w:tr>
        <w:trPr>
          <w:trHeight w:val="263"/>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r>
      <w:tr>
        <w:trPr>
          <w:trHeight w:val="250"/>
        </w:trPr>
        <w:tc>
          <w:tcPr>
            <w:tcW w:w="462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28,251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(3,472 )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24,779</w:t>
            </w:r>
          </w:p>
        </w:tc>
        <w:tc>
          <w:tcPr>
            <w:tcW w:w="80" w:type="dxa"/>
            <w:vAlign w:val="bottom"/>
          </w:tcPr>
          <w:p>
            <w:pPr>
              <w:spacing w:after="0"/>
              <w:rPr>
                <w:sz w:val="21"/>
                <w:szCs w:val="21"/>
                <w:color w:val="auto"/>
              </w:rPr>
            </w:pPr>
          </w:p>
        </w:tc>
      </w:tr>
      <w:tr>
        <w:trPr>
          <w:trHeight w:val="263"/>
        </w:trPr>
        <w:tc>
          <w:tcPr>
            <w:tcW w:w="46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Management and advisory contracts</w:t>
            </w:r>
          </w:p>
        </w:tc>
        <w:tc>
          <w:tcPr>
            <w:tcW w:w="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194,066</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(85,563 )</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108,503</w:t>
            </w:r>
          </w:p>
        </w:tc>
        <w:tc>
          <w:tcPr>
            <w:tcW w:w="80" w:type="dxa"/>
            <w:vAlign w:val="bottom"/>
            <w:shd w:val="clear" w:color="auto" w:fill="CFF0FC"/>
          </w:tcPr>
          <w:p>
            <w:pPr>
              <w:spacing w:after="0"/>
              <w:rPr>
                <w:sz w:val="22"/>
                <w:szCs w:val="22"/>
                <w:color w:val="auto"/>
              </w:rPr>
            </w:pPr>
          </w:p>
        </w:tc>
      </w:tr>
      <w:tr>
        <w:trPr>
          <w:trHeight w:val="243"/>
        </w:trPr>
        <w:tc>
          <w:tcPr>
            <w:tcW w:w="462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2,374</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(1,241 )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1,133</w:t>
            </w:r>
          </w:p>
        </w:tc>
        <w:tc>
          <w:tcPr>
            <w:tcW w:w="80" w:type="dxa"/>
            <w:vAlign w:val="bottom"/>
          </w:tcPr>
          <w:p>
            <w:pPr>
              <w:spacing w:after="0"/>
              <w:rPr>
                <w:sz w:val="21"/>
                <w:szCs w:val="21"/>
                <w:color w:val="auto"/>
              </w:rPr>
            </w:pPr>
          </w:p>
        </w:tc>
      </w:tr>
      <w:tr>
        <w:trPr>
          <w:trHeight w:val="237"/>
        </w:trPr>
        <w:tc>
          <w:tcPr>
            <w:tcW w:w="4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224,691</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(90,276</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134,415</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6"/>
        </w:trPr>
        <w:tc>
          <w:tcPr>
            <w:tcW w:w="462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242,071</w:t>
            </w:r>
          </w:p>
        </w:tc>
        <w:tc>
          <w:tcPr>
            <w:tcW w:w="20" w:type="dxa"/>
            <w:vAlign w:val="bottom"/>
          </w:tcPr>
          <w:p>
            <w:pPr>
              <w:spacing w:after="0"/>
              <w:rPr>
                <w:sz w:val="20"/>
                <w:szCs w:val="20"/>
                <w:color w:val="auto"/>
              </w:rPr>
            </w:pPr>
          </w:p>
        </w:tc>
        <w:tc>
          <w:tcPr>
            <w:tcW w:w="400" w:type="dxa"/>
            <w:vAlign w:val="bottom"/>
            <w:gridSpan w:val="3"/>
          </w:tcPr>
          <w:p>
            <w:pPr>
              <w:jc w:val="right"/>
              <w:ind w:right="8"/>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(90,276 </w:t>
            </w:r>
            <w:r>
              <w:rPr>
                <w:rFonts w:ascii="Arial" w:cs="Arial" w:eastAsia="Arial" w:hAnsi="Arial"/>
                <w:sz w:val="18"/>
                <w:szCs w:val="18"/>
                <w:color w:val="auto"/>
                <w:highlight w:val="white"/>
              </w:rPr>
              <w:t>)</w:t>
            </w: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151,795</w:t>
            </w:r>
          </w:p>
        </w:tc>
        <w:tc>
          <w:tcPr>
            <w:tcW w:w="80" w:type="dxa"/>
            <w:vAlign w:val="bottom"/>
          </w:tcPr>
          <w:p>
            <w:pPr>
              <w:spacing w:after="0"/>
              <w:rPr>
                <w:sz w:val="20"/>
                <w:szCs w:val="20"/>
                <w:color w:val="auto"/>
              </w:rPr>
            </w:pPr>
          </w:p>
        </w:tc>
      </w:tr>
      <w:tr>
        <w:trPr>
          <w:trHeight w:val="20"/>
        </w:trPr>
        <w:tc>
          <w:tcPr>
            <w:tcW w:w="46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-3282315</wp:posOffset>
            </wp:positionV>
            <wp:extent cx="5969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-3282315</wp:posOffset>
            </wp:positionV>
            <wp:extent cx="5143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-3282315</wp:posOffset>
            </wp:positionV>
            <wp:extent cx="51435"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-2305050</wp:posOffset>
            </wp:positionV>
            <wp:extent cx="59690" cy="1885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-2305050</wp:posOffset>
            </wp:positionV>
            <wp:extent cx="5143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-1165225</wp:posOffset>
            </wp:positionV>
            <wp:extent cx="6032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-1165225</wp:posOffset>
            </wp:positionV>
            <wp:extent cx="5143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-187960</wp:posOffset>
            </wp:positionV>
            <wp:extent cx="60325"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Management and advisory contracts and finite lived trade names are amortized over 7 - 16 years and are being amortized in line with pattern in which the economic benefits that are expected to occur. Technology is amortized on a straight-line basis over 4 years. The amortization expense for each of the next five years and thereafter are as follows:</w:t>
      </w:r>
    </w:p>
    <w:p>
      <w:pPr>
        <w:spacing w:after="0" w:line="198"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14,652</w:t>
            </w:r>
          </w:p>
        </w:tc>
        <w:tc>
          <w:tcPr>
            <w:tcW w:w="60" w:type="dxa"/>
            <w:vAlign w:val="bottom"/>
            <w:shd w:val="clear" w:color="auto" w:fill="CFF0FC"/>
          </w:tcPr>
          <w:p>
            <w:pPr>
              <w:spacing w:after="0"/>
              <w:rPr>
                <w:sz w:val="21"/>
                <w:szCs w:val="21"/>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25,613</w:t>
            </w:r>
          </w:p>
        </w:tc>
        <w:tc>
          <w:tcPr>
            <w:tcW w:w="60" w:type="dxa"/>
            <w:vAlign w:val="bottom"/>
          </w:tcPr>
          <w:p>
            <w:pPr>
              <w:spacing w:after="0"/>
              <w:rPr>
                <w:sz w:val="20"/>
                <w:szCs w:val="20"/>
                <w:color w:val="auto"/>
              </w:rPr>
            </w:pPr>
          </w:p>
        </w:tc>
      </w:tr>
      <w:tr>
        <w:trPr>
          <w:trHeight w:val="24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21,271</w:t>
            </w:r>
          </w:p>
        </w:tc>
        <w:tc>
          <w:tcPr>
            <w:tcW w:w="60" w:type="dxa"/>
            <w:vAlign w:val="bottom"/>
            <w:shd w:val="clear" w:color="auto" w:fill="CFF0FC"/>
          </w:tcPr>
          <w:p>
            <w:pPr>
              <w:spacing w:after="0"/>
              <w:rPr>
                <w:sz w:val="21"/>
                <w:szCs w:val="21"/>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16,757</w:t>
            </w:r>
          </w:p>
        </w:tc>
        <w:tc>
          <w:tcPr>
            <w:tcW w:w="60" w:type="dxa"/>
            <w:vAlign w:val="bottom"/>
          </w:tcPr>
          <w:p>
            <w:pPr>
              <w:spacing w:after="0"/>
              <w:rPr>
                <w:sz w:val="20"/>
                <w:szCs w:val="20"/>
                <w:color w:val="auto"/>
              </w:rPr>
            </w:pPr>
          </w:p>
        </w:tc>
      </w:tr>
      <w:tr>
        <w:trPr>
          <w:trHeight w:val="249"/>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11,959</w:t>
            </w:r>
          </w:p>
        </w:tc>
        <w:tc>
          <w:tcPr>
            <w:tcW w:w="60" w:type="dxa"/>
            <w:vAlign w:val="bottom"/>
            <w:shd w:val="clear" w:color="auto" w:fill="CFF0FC"/>
          </w:tcPr>
          <w:p>
            <w:pPr>
              <w:spacing w:after="0"/>
              <w:rPr>
                <w:sz w:val="21"/>
                <w:szCs w:val="21"/>
                <w:color w:val="auto"/>
              </w:rPr>
            </w:pPr>
          </w:p>
        </w:tc>
      </w:tr>
      <w:tr>
        <w:trPr>
          <w:trHeight w:val="243"/>
        </w:trPr>
        <w:tc>
          <w:tcPr>
            <w:tcW w:w="5680" w:type="dxa"/>
            <w:vAlign w:val="bottom"/>
          </w:tcPr>
          <w:p>
            <w:pPr>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30,206</w:t>
            </w:r>
          </w:p>
        </w:tc>
        <w:tc>
          <w:tcPr>
            <w:tcW w:w="60" w:type="dxa"/>
            <w:vAlign w:val="bottom"/>
          </w:tcPr>
          <w:p>
            <w:pPr>
              <w:spacing w:after="0"/>
              <w:rPr>
                <w:sz w:val="21"/>
                <w:szCs w:val="21"/>
                <w:color w:val="auto"/>
              </w:rPr>
            </w:pPr>
          </w:p>
        </w:tc>
      </w:tr>
      <w:tr>
        <w:trPr>
          <w:trHeight w:val="277"/>
        </w:trPr>
        <w:tc>
          <w:tcPr>
            <w:tcW w:w="5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amortization</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120,458</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measures certain liabilities at fair value on a recurring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Earnouts associated with the acquisitions of Bonaccord and Hark</w:t>
      </w:r>
    </w:p>
    <w:p>
      <w:pPr>
        <w:spacing w:after="0" w:line="12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Included in total consideration of the acquisition of Bonaccord is an earnout payment not to exceed $20 million. The amount ultimately owed to the sellers is based on achieving specific fundraising targets and any amounts paid to the sellers will be paid by October 2027, at which point the earnout expires. As of June 30, 2023, $8.9 million has been paid in</w:t>
      </w:r>
    </w:p>
    <w:p>
      <w:pPr>
        <w:sectPr>
          <w:pgSz w:w="11900" w:h="16838" w:orient="portrait"/>
          <w:cols w:equalWidth="0" w:num="1">
            <w:col w:w="11160"/>
          </w:cols>
          <w:pgMar w:left="320" w:top="121" w:right="419" w:bottom="1440" w:gutter="0" w:footer="0" w:header="0"/>
        </w:sectPr>
      </w:pPr>
    </w:p>
    <w:p>
      <w:pPr>
        <w:spacing w:after="0" w:line="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3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contingent consideration associated with the earnout. Total expense recognized for the three and six months ended June 30, 2023 was $0.1 million and $0.5 million, respectively. Total expense recognized for the three and six months ended June 30, 2022 was $0 million and $0.1 million, respectively. This is included in contingent consideration expense on the Statements of Operations. The fair value of the contingent consideration is derived from an analysis of the option pricing model and the scenario based model. The assumptions used in the analysis are inherently subjective; therefore, the ultimate amount of the liability may differ materially from the current estimate. The most significant assumption used in the analysis is future fundraising projections. The Company's contingent consideration is considered to be a Level 3 fair value measurement as the significant inputs are unobservable and require significant judement or estimation. As of June 30, 2023, the estimated fair value of the remaining contingent consideration totaled $10.8 million. Following June 30, 2023, the Company has paid $2.7 million towards the remaining contingent consideration.</w:t>
      </w:r>
    </w:p>
    <w:p>
      <w:pPr>
        <w:spacing w:after="0" w:line="70"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231F20"/>
        </w:rPr>
        <w:t>Included in the total consideration of the acquisition of Hark is an earnout not to exceed $5.4 million. Total expense recognized for the three and six months ended June 30, 2023 totaled $0 and $0.1 million, respectively. Total gain recognized for the three and six months ended June 30, 2022, respectively, totaled $0 million and $0.1 million, which was included in contingent consideration expense on the Statements of Operations. As of June 30, 2023, the contingent consideration associated with the earnout totaled $5.4 million and is considered earned but has not yet been paid. Following June 30, 2023, this was paid in entirety.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tables provide details regarding the classification of these liabilities within the fair value hierarchy as of the dates presented: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right"/>
              <w:ind w:right="850"/>
              <w:spacing w:after="0"/>
              <w:rPr>
                <w:sz w:val="20"/>
                <w:szCs w:val="20"/>
                <w:color w:val="auto"/>
              </w:rPr>
            </w:pPr>
            <w:r>
              <w:rPr>
                <w:rFonts w:ascii="Arial" w:cs="Arial" w:eastAsia="Arial" w:hAnsi="Arial"/>
                <w:sz w:val="18"/>
                <w:szCs w:val="18"/>
                <w:b w:val="1"/>
                <w:bCs w:val="1"/>
                <w:color w:val="auto"/>
              </w:rPr>
              <w:t>As of June 30, 2023</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160" w:type="dxa"/>
            <w:vAlign w:val="bottom"/>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I</w:t>
            </w:r>
          </w:p>
        </w:tc>
        <w:tc>
          <w:tcPr>
            <w:tcW w:w="3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III</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41"/>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Contingent consideration obligation</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16,219</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16,219</w:t>
            </w:r>
          </w:p>
        </w:tc>
        <w:tc>
          <w:tcPr>
            <w:tcW w:w="100" w:type="dxa"/>
            <w:vAlign w:val="bottom"/>
          </w:tcPr>
          <w:p>
            <w:pPr>
              <w:spacing w:after="0"/>
              <w:rPr>
                <w:sz w:val="21"/>
                <w:szCs w:val="21"/>
                <w:color w:val="auto"/>
              </w:rPr>
            </w:pPr>
          </w:p>
        </w:tc>
      </w:tr>
      <w:tr>
        <w:trPr>
          <w:trHeight w:val="276"/>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26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16,219</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-25400</wp:posOffset>
            </wp:positionV>
            <wp:extent cx="3505835" cy="660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505835" cy="66040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As of December 31, 2022</w:t>
            </w:r>
          </w:p>
        </w:tc>
        <w:tc>
          <w:tcPr>
            <w:tcW w:w="2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160" w:type="dxa"/>
            <w:vAlign w:val="bottom"/>
          </w:tcPr>
          <w:p>
            <w:pPr>
              <w:spacing w:after="0"/>
              <w:rPr>
                <w:sz w:val="20"/>
                <w:szCs w:val="20"/>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I</w:t>
            </w:r>
          </w:p>
        </w:tc>
        <w:tc>
          <w:tcPr>
            <w:tcW w:w="3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Level II</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Level III</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41"/>
        </w:trPr>
        <w:tc>
          <w:tcPr>
            <w:tcW w:w="41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4160" w:type="dxa"/>
            <w:vAlign w:val="bottom"/>
          </w:tcPr>
          <w:p>
            <w:pPr>
              <w:ind w:left="120"/>
              <w:spacing w:after="0"/>
              <w:rPr>
                <w:sz w:val="20"/>
                <w:szCs w:val="20"/>
                <w:color w:val="auto"/>
              </w:rPr>
            </w:pPr>
            <w:r>
              <w:rPr>
                <w:rFonts w:ascii="Arial" w:cs="Arial" w:eastAsia="Arial" w:hAnsi="Arial"/>
                <w:sz w:val="18"/>
                <w:szCs w:val="18"/>
                <w:color w:val="auto"/>
              </w:rPr>
              <w:t>Contingent consideration obligation</w:t>
            </w:r>
          </w:p>
        </w:tc>
        <w:tc>
          <w:tcPr>
            <w:tcW w:w="1260" w:type="dxa"/>
            <w:vAlign w:val="bottom"/>
          </w:tcPr>
          <w:p>
            <w:pPr>
              <w:jc w:val="right"/>
              <w:ind w:right="107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17,337</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17,337</w:t>
            </w:r>
          </w:p>
        </w:tc>
        <w:tc>
          <w:tcPr>
            <w:tcW w:w="100" w:type="dxa"/>
            <w:vAlign w:val="bottom"/>
          </w:tcPr>
          <w:p>
            <w:pPr>
              <w:spacing w:after="0"/>
              <w:rPr>
                <w:sz w:val="21"/>
                <w:szCs w:val="21"/>
                <w:color w:val="auto"/>
              </w:rPr>
            </w:pPr>
          </w:p>
        </w:tc>
      </w:tr>
      <w:tr>
        <w:trPr>
          <w:trHeight w:val="276"/>
        </w:trPr>
        <w:tc>
          <w:tcPr>
            <w:tcW w:w="4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126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top w:val="single" w:sz="8" w:color="auto"/>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17,337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-24765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For the liabilities presented in the tables above, there were no changes in fair value hierarchy levels during the periods ended June 30, 2023 and December 31, 2022.</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fair value of Level III financial instruments are set forth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60" w:type="dxa"/>
            <w:vAlign w:val="bottom"/>
          </w:tcPr>
          <w:p>
            <w:pPr>
              <w:ind w:left="20"/>
              <w:spacing w:after="0"/>
              <w:rPr>
                <w:sz w:val="20"/>
                <w:szCs w:val="20"/>
                <w:color w:val="auto"/>
              </w:rPr>
            </w:pPr>
            <w:r>
              <w:rPr>
                <w:rFonts w:ascii="Arial" w:cs="Arial" w:eastAsia="Arial" w:hAnsi="Arial"/>
                <w:sz w:val="13"/>
                <w:szCs w:val="13"/>
                <w:b w:val="1"/>
                <w:bCs w:val="1"/>
                <w:color w:val="auto"/>
              </w:rPr>
              <w:t>Contingent Consideration Liability</w:t>
            </w:r>
          </w:p>
        </w:tc>
        <w:tc>
          <w:tcPr>
            <w:tcW w:w="360" w:type="dxa"/>
            <w:vAlign w:val="bottom"/>
          </w:tcPr>
          <w:p>
            <w:pPr>
              <w:spacing w:after="0"/>
              <w:rPr>
                <w:sz w:val="14"/>
                <w:szCs w:val="14"/>
                <w:color w:val="auto"/>
              </w:rPr>
            </w:pPr>
          </w:p>
        </w:tc>
        <w:tc>
          <w:tcPr>
            <w:tcW w:w="3120" w:type="dxa"/>
            <w:vAlign w:val="bottom"/>
            <w:gridSpan w:val="5"/>
          </w:tcPr>
          <w:p>
            <w:pPr>
              <w:jc w:val="right"/>
              <w:ind w:right="840"/>
              <w:spacing w:after="0"/>
              <w:rPr>
                <w:sz w:val="20"/>
                <w:szCs w:val="20"/>
                <w:color w:val="auto"/>
              </w:rPr>
            </w:pPr>
            <w:r>
              <w:rPr>
                <w:rFonts w:ascii="Arial" w:cs="Arial" w:eastAsia="Arial" w:hAnsi="Arial"/>
                <w:sz w:val="13"/>
                <w:szCs w:val="13"/>
                <w:b w:val="1"/>
                <w:bCs w:val="1"/>
                <w:color w:val="auto"/>
              </w:rPr>
              <w:t>For the Six Months Ended June 30,</w:t>
            </w:r>
          </w:p>
        </w:tc>
      </w:tr>
      <w:tr>
        <w:trPr>
          <w:trHeight w:val="155"/>
        </w:trPr>
        <w:tc>
          <w:tcPr>
            <w:tcW w:w="776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3"/>
                <w:szCs w:val="13"/>
                <w:b w:val="1"/>
                <w:bCs w:val="1"/>
                <w:color w:val="auto"/>
              </w:rPr>
              <w:t>2023</w:t>
            </w:r>
          </w:p>
        </w:tc>
        <w:tc>
          <w:tcPr>
            <w:tcW w:w="26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3"/>
                <w:szCs w:val="13"/>
                <w:color w:val="auto"/>
              </w:rPr>
            </w:pPr>
          </w:p>
        </w:tc>
      </w:tr>
      <w:tr>
        <w:trPr>
          <w:trHeight w:val="155"/>
        </w:trPr>
        <w:tc>
          <w:tcPr>
            <w:tcW w:w="77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beginning of year:</w:t>
            </w:r>
          </w:p>
        </w:tc>
        <w:tc>
          <w:tcPr>
            <w:tcW w:w="360" w:type="dxa"/>
            <w:vAlign w:val="bottom"/>
            <w:shd w:val="clear" w:color="auto" w:fill="CFF0FC"/>
          </w:tcPr>
          <w:p>
            <w:pPr>
              <w:jc w:val="right"/>
              <w:ind w:right="217"/>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17,337</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22,963</w:t>
            </w:r>
          </w:p>
        </w:tc>
        <w:tc>
          <w:tcPr>
            <w:tcW w:w="100" w:type="dxa"/>
            <w:vAlign w:val="bottom"/>
            <w:shd w:val="clear" w:color="auto" w:fill="CFF0FC"/>
          </w:tcPr>
          <w:p>
            <w:pPr>
              <w:spacing w:after="0"/>
              <w:rPr>
                <w:sz w:val="13"/>
                <w:szCs w:val="13"/>
                <w:color w:val="auto"/>
              </w:rPr>
            </w:pPr>
          </w:p>
        </w:tc>
      </w:tr>
      <w:tr>
        <w:trPr>
          <w:trHeight w:val="161"/>
        </w:trPr>
        <w:tc>
          <w:tcPr>
            <w:tcW w:w="7760" w:type="dxa"/>
            <w:vAlign w:val="bottom"/>
          </w:tcPr>
          <w:p>
            <w:pPr>
              <w:ind w:left="200"/>
              <w:spacing w:after="0"/>
              <w:rPr>
                <w:sz w:val="20"/>
                <w:szCs w:val="20"/>
                <w:color w:val="auto"/>
              </w:rPr>
            </w:pPr>
            <w:r>
              <w:rPr>
                <w:rFonts w:ascii="Arial" w:cs="Arial" w:eastAsia="Arial" w:hAnsi="Arial"/>
                <w:sz w:val="13"/>
                <w:szCs w:val="13"/>
                <w:color w:val="auto"/>
              </w:rPr>
              <w:t>Additions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163"/>
        </w:trPr>
        <w:tc>
          <w:tcPr>
            <w:tcW w:w="77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Change in fair value</w:t>
            </w: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(13 )</w:t>
            </w:r>
          </w:p>
        </w:tc>
      </w:tr>
      <w:tr>
        <w:trPr>
          <w:trHeight w:val="162"/>
        </w:trPr>
        <w:tc>
          <w:tcPr>
            <w:tcW w:w="7760" w:type="dxa"/>
            <w:vAlign w:val="bottom"/>
          </w:tcPr>
          <w:p>
            <w:pPr>
              <w:ind w:left="200"/>
              <w:spacing w:after="0"/>
              <w:rPr>
                <w:sz w:val="20"/>
                <w:szCs w:val="20"/>
                <w:color w:val="auto"/>
              </w:rPr>
            </w:pPr>
            <w:r>
              <w:rPr>
                <w:rFonts w:ascii="Arial" w:cs="Arial" w:eastAsia="Arial" w:hAnsi="Arial"/>
                <w:sz w:val="13"/>
                <w:szCs w:val="13"/>
                <w:color w:val="auto"/>
              </w:rPr>
              <w:t>Settlements</w:t>
            </w:r>
          </w:p>
        </w:tc>
        <w:tc>
          <w:tcPr>
            <w:tcW w:w="36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3"/>
                <w:szCs w:val="13"/>
                <w:color w:val="auto"/>
              </w:rPr>
              <w:t>(1,588 )</w:t>
            </w:r>
          </w:p>
        </w:tc>
        <w:tc>
          <w:tcPr>
            <w:tcW w:w="3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r>
      <w:tr>
        <w:trPr>
          <w:trHeight w:val="195"/>
        </w:trPr>
        <w:tc>
          <w:tcPr>
            <w:tcW w:w="776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end of period:</w:t>
            </w:r>
          </w:p>
        </w:tc>
        <w:tc>
          <w:tcPr>
            <w:tcW w:w="360" w:type="dxa"/>
            <w:vAlign w:val="bottom"/>
            <w:tcBorders>
              <w:top w:val="single" w:sz="8" w:color="auto"/>
              <w:bottom w:val="single" w:sz="8" w:color="auto"/>
            </w:tcBorders>
            <w:shd w:val="clear" w:color="auto" w:fill="CFF0FC"/>
          </w:tcPr>
          <w:p>
            <w:pPr>
              <w:jc w:val="right"/>
              <w:ind w:right="217"/>
              <w:spacing w:after="0" w:line="142" w:lineRule="exact"/>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16,219</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22,950</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The fair value of the contingent consideration liability represents the fair value of future payments upon satisfaction of performance targets. The assumptions used in the analysis are inherently subjective; therefore, the ultimate amount of the contingent consideration liability primarily relate to the expected future payments of obligations with a discount rate applied.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obligations consists of the following:</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76"/>
        </w:trPr>
        <w:tc>
          <w:tcPr>
            <w:tcW w:w="5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June 30,</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5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6"/>
                <w:szCs w:val="16"/>
                <w:color w:val="auto"/>
              </w:rPr>
            </w:pPr>
          </w:p>
        </w:tc>
      </w:tr>
      <w:tr>
        <w:trPr>
          <w:trHeight w:val="237"/>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Revolver facility</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68,000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80,900</w:t>
            </w:r>
          </w:p>
        </w:tc>
        <w:tc>
          <w:tcPr>
            <w:tcW w:w="80" w:type="dxa"/>
            <w:vAlign w:val="bottom"/>
            <w:shd w:val="clear" w:color="auto" w:fill="CFF0FC"/>
          </w:tcPr>
          <w:p>
            <w:pPr>
              <w:spacing w:after="0"/>
              <w:rPr>
                <w:sz w:val="21"/>
                <w:szCs w:val="2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(2,319 )</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(2,783 )</w:t>
            </w:r>
          </w:p>
        </w:tc>
      </w:tr>
      <w:tr>
        <w:trPr>
          <w:trHeight w:val="237"/>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Revolver facility, net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65,681</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78,117</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Term Loan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207,188</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212,500</w:t>
            </w:r>
          </w:p>
        </w:tc>
        <w:tc>
          <w:tcPr>
            <w:tcW w:w="80" w:type="dxa"/>
            <w:vAlign w:val="bottom"/>
          </w:tcPr>
          <w:p>
            <w:pPr>
              <w:spacing w:after="0"/>
              <w:rPr>
                <w:sz w:val="20"/>
                <w:szCs w:val="20"/>
                <w:color w:val="auto"/>
              </w:rPr>
            </w:pP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(1,134 )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(1,393 )</w:t>
            </w:r>
          </w:p>
        </w:tc>
      </w:tr>
      <w:tr>
        <w:trPr>
          <w:trHeight w:val="236"/>
        </w:trPr>
        <w:tc>
          <w:tcPr>
            <w:tcW w:w="54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Term loan, net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206,054</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211,107</w:t>
            </w:r>
          </w:p>
        </w:tc>
        <w:tc>
          <w:tcPr>
            <w:tcW w:w="80" w:type="dxa"/>
            <w:vAlign w:val="bottom"/>
            <w:tcBorders>
              <w:top w:val="single" w:sz="8" w:color="CFF0FC"/>
            </w:tcBorders>
          </w:tcPr>
          <w:p>
            <w:pPr>
              <w:spacing w:after="0"/>
              <w:rPr>
                <w:sz w:val="20"/>
                <w:szCs w:val="20"/>
                <w:color w:val="auto"/>
              </w:rPr>
            </w:pPr>
          </w:p>
        </w:tc>
      </w:tr>
      <w:tr>
        <w:trPr>
          <w:trHeight w:val="277"/>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 obligations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271,735</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289,224</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-668020</wp:posOffset>
            </wp:positionV>
            <wp:extent cx="5143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-668020</wp:posOffset>
            </wp:positionV>
            <wp:extent cx="43180"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-350520</wp:posOffset>
            </wp:positionV>
            <wp:extent cx="51435"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4318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514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514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ind w:left="1520"/>
              <w:spacing w:after="0"/>
              <w:rPr>
                <w:sz w:val="20"/>
                <w:szCs w:val="20"/>
                <w:color w:val="auto"/>
              </w:rPr>
            </w:pPr>
            <w:r>
              <w:rPr>
                <w:rFonts w:ascii="Arial" w:cs="Arial" w:eastAsia="Arial" w:hAnsi="Arial"/>
                <w:sz w:val="13"/>
                <w:szCs w:val="13"/>
                <w:b w:val="1"/>
                <w:bCs w:val="1"/>
                <w:color w:val="auto"/>
                <w:w w:val="96"/>
              </w:rPr>
              <w:t>June 30, 2023</w:t>
            </w: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r>
      <w:tr>
        <w:trPr>
          <w:trHeight w:val="318"/>
        </w:trPr>
        <w:tc>
          <w:tcPr>
            <w:tcW w:w="36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Principal Amount</w:t>
            </w:r>
          </w:p>
        </w:tc>
        <w:tc>
          <w:tcPr>
            <w:tcW w:w="220" w:type="dxa"/>
            <w:vAlign w:val="bottom"/>
          </w:tcPr>
          <w:p>
            <w:pPr>
              <w:spacing w:after="0"/>
              <w:rPr>
                <w:sz w:val="24"/>
                <w:szCs w:val="24"/>
                <w:color w:val="auto"/>
              </w:rPr>
            </w:pPr>
          </w:p>
        </w:tc>
        <w:tc>
          <w:tcPr>
            <w:tcW w:w="1720" w:type="dxa"/>
            <w:vAlign w:val="bottom"/>
            <w:tcBorders>
              <w:bottom w:val="single" w:sz="8" w:color="auto"/>
            </w:tcBorders>
          </w:tcPr>
          <w:p>
            <w:pPr>
              <w:ind w:left="600"/>
              <w:spacing w:after="0"/>
              <w:rPr>
                <w:sz w:val="20"/>
                <w:szCs w:val="20"/>
                <w:color w:val="auto"/>
              </w:rPr>
            </w:pPr>
            <w:r>
              <w:rPr>
                <w:rFonts w:ascii="Arial" w:cs="Arial" w:eastAsia="Arial" w:hAnsi="Arial"/>
                <w:sz w:val="13"/>
                <w:szCs w:val="13"/>
                <w:b w:val="1"/>
                <w:bCs w:val="1"/>
                <w:color w:val="auto"/>
              </w:rPr>
              <w:t>Base Rate</w:t>
            </w: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SOFR Rate</w:t>
            </w:r>
          </w:p>
        </w:tc>
        <w:tc>
          <w:tcPr>
            <w:tcW w:w="240" w:type="dxa"/>
            <w:vAlign w:val="bottom"/>
          </w:tcPr>
          <w:p>
            <w:pPr>
              <w:spacing w:after="0"/>
              <w:rPr>
                <w:sz w:val="24"/>
                <w:szCs w:val="24"/>
                <w:color w:val="auto"/>
              </w:rPr>
            </w:pPr>
          </w:p>
        </w:tc>
        <w:tc>
          <w:tcPr>
            <w:tcW w:w="180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Rate Expiration Date</w:t>
            </w:r>
          </w:p>
        </w:tc>
      </w:tr>
      <w:tr>
        <w:trPr>
          <w:trHeight w:val="157"/>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40" w:type="dxa"/>
            <w:vAlign w:val="bottom"/>
            <w:gridSpan w:val="3"/>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gridSpan w:val="2"/>
          </w:tcPr>
          <w:p>
            <w:pPr>
              <w:spacing w:after="0"/>
              <w:rPr>
                <w:sz w:val="13"/>
                <w:szCs w:val="13"/>
                <w:color w:val="auto"/>
              </w:rPr>
            </w:pPr>
          </w:p>
        </w:tc>
        <w:tc>
          <w:tcPr>
            <w:tcW w:w="1800" w:type="dxa"/>
            <w:vAlign w:val="bottom"/>
          </w:tcPr>
          <w:p>
            <w:pPr>
              <w:spacing w:after="0"/>
              <w:rPr>
                <w:sz w:val="13"/>
                <w:szCs w:val="13"/>
                <w:color w:val="auto"/>
              </w:rPr>
            </w:pPr>
          </w:p>
        </w:tc>
      </w:tr>
      <w:tr>
        <w:trPr>
          <w:trHeight w:val="162"/>
        </w:trPr>
        <w:tc>
          <w:tcPr>
            <w:tcW w:w="3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Term Loan</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85,313</w:t>
            </w:r>
          </w:p>
        </w:tc>
        <w:tc>
          <w:tcPr>
            <w:tcW w:w="214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2.10 %</w:t>
            </w:r>
          </w:p>
        </w:tc>
        <w:tc>
          <w:tcPr>
            <w:tcW w:w="4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4.94 %</w:t>
            </w:r>
          </w:p>
        </w:tc>
        <w:tc>
          <w:tcPr>
            <w:tcW w:w="1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10/18/2023</w:t>
            </w:r>
          </w:p>
        </w:tc>
      </w:tr>
      <w:tr>
        <w:trPr>
          <w:trHeight w:val="161"/>
        </w:trPr>
        <w:tc>
          <w:tcPr>
            <w:tcW w:w="3660" w:type="dxa"/>
            <w:vAlign w:val="bottom"/>
          </w:tcPr>
          <w:p>
            <w:pPr>
              <w:ind w:left="20"/>
              <w:spacing w:after="0"/>
              <w:rPr>
                <w:sz w:val="20"/>
                <w:szCs w:val="20"/>
                <w:color w:val="auto"/>
              </w:rPr>
            </w:pPr>
            <w:r>
              <w:rPr>
                <w:rFonts w:ascii="Arial" w:cs="Arial" w:eastAsia="Arial" w:hAnsi="Arial"/>
                <w:sz w:val="13"/>
                <w:szCs w:val="13"/>
                <w:color w:val="auto"/>
              </w:rPr>
              <w:t>Term Loan</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121,875</w:t>
            </w:r>
          </w:p>
        </w:tc>
        <w:tc>
          <w:tcPr>
            <w:tcW w:w="2140" w:type="dxa"/>
            <w:vAlign w:val="bottom"/>
            <w:gridSpan w:val="3"/>
          </w:tcPr>
          <w:p>
            <w:pPr>
              <w:jc w:val="right"/>
              <w:ind w:right="100"/>
              <w:spacing w:after="0"/>
              <w:rPr>
                <w:sz w:val="20"/>
                <w:szCs w:val="20"/>
                <w:color w:val="auto"/>
              </w:rPr>
            </w:pPr>
            <w:r>
              <w:rPr>
                <w:rFonts w:ascii="Arial" w:cs="Arial" w:eastAsia="Arial" w:hAnsi="Arial"/>
                <w:sz w:val="13"/>
                <w:szCs w:val="13"/>
                <w:color w:val="auto"/>
              </w:rPr>
              <w:t>2.10 %</w:t>
            </w:r>
          </w:p>
        </w:tc>
        <w:tc>
          <w:tcPr>
            <w:tcW w:w="440" w:type="dxa"/>
            <w:vAlign w:val="bottom"/>
          </w:tcPr>
          <w:p>
            <w:pPr>
              <w:spacing w:after="0"/>
              <w:rPr>
                <w:sz w:val="14"/>
                <w:szCs w:val="1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color w:val="auto"/>
              </w:rPr>
              <w:t>5.35 %</w:t>
            </w:r>
          </w:p>
        </w:tc>
        <w:tc>
          <w:tcPr>
            <w:tcW w:w="1800" w:type="dxa"/>
            <w:vAlign w:val="bottom"/>
          </w:tcPr>
          <w:p>
            <w:pPr>
              <w:jc w:val="right"/>
              <w:spacing w:after="0"/>
              <w:rPr>
                <w:sz w:val="20"/>
                <w:szCs w:val="20"/>
                <w:color w:val="auto"/>
              </w:rPr>
            </w:pPr>
            <w:r>
              <w:rPr>
                <w:rFonts w:ascii="Arial" w:cs="Arial" w:eastAsia="Arial" w:hAnsi="Arial"/>
                <w:sz w:val="13"/>
                <w:szCs w:val="13"/>
                <w:color w:val="auto"/>
              </w:rPr>
              <w:t>12/27/2023</w:t>
            </w:r>
          </w:p>
        </w:tc>
      </w:tr>
      <w:tr>
        <w:trPr>
          <w:trHeight w:val="163"/>
        </w:trPr>
        <w:tc>
          <w:tcPr>
            <w:tcW w:w="3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Revolver Facility</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8,000</w:t>
            </w:r>
          </w:p>
        </w:tc>
        <w:tc>
          <w:tcPr>
            <w:tcW w:w="214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2.10 %</w:t>
            </w:r>
          </w:p>
        </w:tc>
        <w:tc>
          <w:tcPr>
            <w:tcW w:w="4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5.15 %</w:t>
            </w:r>
          </w:p>
        </w:tc>
        <w:tc>
          <w:tcPr>
            <w:tcW w:w="1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7/13/2023</w:t>
            </w:r>
          </w:p>
        </w:tc>
      </w:tr>
      <w:tr>
        <w:trPr>
          <w:trHeight w:val="161"/>
        </w:trPr>
        <w:tc>
          <w:tcPr>
            <w:tcW w:w="3660" w:type="dxa"/>
            <w:vAlign w:val="bottom"/>
          </w:tcPr>
          <w:p>
            <w:pPr>
              <w:ind w:left="20"/>
              <w:spacing w:after="0"/>
              <w:rPr>
                <w:sz w:val="20"/>
                <w:szCs w:val="20"/>
                <w:color w:val="auto"/>
              </w:rPr>
            </w:pPr>
            <w:r>
              <w:rPr>
                <w:rFonts w:ascii="Arial" w:cs="Arial" w:eastAsia="Arial" w:hAnsi="Arial"/>
                <w:sz w:val="13"/>
                <w:szCs w:val="13"/>
                <w:color w:val="auto"/>
              </w:rPr>
              <w:t>Revolver Facility</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6,000</w:t>
            </w:r>
          </w:p>
        </w:tc>
        <w:tc>
          <w:tcPr>
            <w:tcW w:w="2140" w:type="dxa"/>
            <w:vAlign w:val="bottom"/>
            <w:gridSpan w:val="3"/>
          </w:tcPr>
          <w:p>
            <w:pPr>
              <w:jc w:val="right"/>
              <w:ind w:right="100"/>
              <w:spacing w:after="0"/>
              <w:rPr>
                <w:sz w:val="20"/>
                <w:szCs w:val="20"/>
                <w:color w:val="auto"/>
              </w:rPr>
            </w:pPr>
            <w:r>
              <w:rPr>
                <w:rFonts w:ascii="Arial" w:cs="Arial" w:eastAsia="Arial" w:hAnsi="Arial"/>
                <w:sz w:val="13"/>
                <w:szCs w:val="13"/>
                <w:color w:val="auto"/>
              </w:rPr>
              <w:t>2.10 %</w:t>
            </w:r>
          </w:p>
        </w:tc>
        <w:tc>
          <w:tcPr>
            <w:tcW w:w="440" w:type="dxa"/>
            <w:vAlign w:val="bottom"/>
          </w:tcPr>
          <w:p>
            <w:pPr>
              <w:spacing w:after="0"/>
              <w:rPr>
                <w:sz w:val="14"/>
                <w:szCs w:val="1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color w:val="auto"/>
              </w:rPr>
              <w:t>5.08 %</w:t>
            </w:r>
          </w:p>
        </w:tc>
        <w:tc>
          <w:tcPr>
            <w:tcW w:w="1800" w:type="dxa"/>
            <w:vAlign w:val="bottom"/>
          </w:tcPr>
          <w:p>
            <w:pPr>
              <w:jc w:val="right"/>
              <w:spacing w:after="0"/>
              <w:rPr>
                <w:sz w:val="20"/>
                <w:szCs w:val="20"/>
                <w:color w:val="auto"/>
              </w:rPr>
            </w:pPr>
            <w:r>
              <w:rPr>
                <w:rFonts w:ascii="Arial" w:cs="Arial" w:eastAsia="Arial" w:hAnsi="Arial"/>
                <w:sz w:val="13"/>
                <w:szCs w:val="13"/>
                <w:color w:val="auto"/>
              </w:rPr>
              <w:t>7/21/2023</w:t>
            </w:r>
          </w:p>
        </w:tc>
      </w:tr>
      <w:tr>
        <w:trPr>
          <w:trHeight w:val="163"/>
        </w:trPr>
        <w:tc>
          <w:tcPr>
            <w:tcW w:w="3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Revolver Facility</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26,000</w:t>
            </w:r>
          </w:p>
        </w:tc>
        <w:tc>
          <w:tcPr>
            <w:tcW w:w="214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2.10 %</w:t>
            </w:r>
          </w:p>
        </w:tc>
        <w:tc>
          <w:tcPr>
            <w:tcW w:w="4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5.23 %</w:t>
            </w:r>
          </w:p>
        </w:tc>
        <w:tc>
          <w:tcPr>
            <w:tcW w:w="1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8/30/2023</w:t>
            </w:r>
          </w:p>
        </w:tc>
      </w:tr>
      <w:tr>
        <w:trPr>
          <w:trHeight w:val="161"/>
        </w:trPr>
        <w:tc>
          <w:tcPr>
            <w:tcW w:w="3660" w:type="dxa"/>
            <w:vAlign w:val="bottom"/>
          </w:tcPr>
          <w:p>
            <w:pPr>
              <w:ind w:left="20"/>
              <w:spacing w:after="0"/>
              <w:rPr>
                <w:sz w:val="20"/>
                <w:szCs w:val="20"/>
                <w:color w:val="auto"/>
              </w:rPr>
            </w:pPr>
            <w:r>
              <w:rPr>
                <w:rFonts w:ascii="Arial" w:cs="Arial" w:eastAsia="Arial" w:hAnsi="Arial"/>
                <w:sz w:val="13"/>
                <w:szCs w:val="13"/>
                <w:color w:val="auto"/>
              </w:rPr>
              <w:t>Revolver Facility</w:t>
            </w:r>
          </w:p>
        </w:tc>
        <w:tc>
          <w:tcPr>
            <w:tcW w:w="2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6,000</w:t>
            </w:r>
          </w:p>
        </w:tc>
        <w:tc>
          <w:tcPr>
            <w:tcW w:w="2140" w:type="dxa"/>
            <w:vAlign w:val="bottom"/>
            <w:gridSpan w:val="3"/>
          </w:tcPr>
          <w:p>
            <w:pPr>
              <w:jc w:val="right"/>
              <w:ind w:right="100"/>
              <w:spacing w:after="0"/>
              <w:rPr>
                <w:sz w:val="20"/>
                <w:szCs w:val="20"/>
                <w:color w:val="auto"/>
              </w:rPr>
            </w:pPr>
            <w:r>
              <w:rPr>
                <w:rFonts w:ascii="Arial" w:cs="Arial" w:eastAsia="Arial" w:hAnsi="Arial"/>
                <w:sz w:val="13"/>
                <w:szCs w:val="13"/>
                <w:color w:val="auto"/>
              </w:rPr>
              <w:t>2.10 %</w:t>
            </w:r>
          </w:p>
        </w:tc>
        <w:tc>
          <w:tcPr>
            <w:tcW w:w="440" w:type="dxa"/>
            <w:vAlign w:val="bottom"/>
          </w:tcPr>
          <w:p>
            <w:pPr>
              <w:spacing w:after="0"/>
              <w:rPr>
                <w:sz w:val="14"/>
                <w:szCs w:val="1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color w:val="auto"/>
              </w:rPr>
              <w:t>5.25 %</w:t>
            </w:r>
          </w:p>
        </w:tc>
        <w:tc>
          <w:tcPr>
            <w:tcW w:w="1800" w:type="dxa"/>
            <w:vAlign w:val="bottom"/>
          </w:tcPr>
          <w:p>
            <w:pPr>
              <w:jc w:val="right"/>
              <w:spacing w:after="0"/>
              <w:rPr>
                <w:sz w:val="20"/>
                <w:szCs w:val="20"/>
                <w:color w:val="auto"/>
              </w:rPr>
            </w:pPr>
            <w:r>
              <w:rPr>
                <w:rFonts w:ascii="Arial" w:cs="Arial" w:eastAsia="Arial" w:hAnsi="Arial"/>
                <w:sz w:val="13"/>
                <w:szCs w:val="13"/>
                <w:color w:val="auto"/>
              </w:rPr>
              <w:t>9/14/2023</w:t>
            </w:r>
          </w:p>
        </w:tc>
      </w:tr>
      <w:tr>
        <w:trPr>
          <w:trHeight w:val="163"/>
        </w:trPr>
        <w:tc>
          <w:tcPr>
            <w:tcW w:w="366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Revolver Facility</w:t>
            </w:r>
          </w:p>
        </w:tc>
        <w:tc>
          <w:tcPr>
            <w:tcW w:w="22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20,000</w:t>
            </w:r>
          </w:p>
        </w:tc>
        <w:tc>
          <w:tcPr>
            <w:tcW w:w="214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2.10 %</w:t>
            </w:r>
          </w:p>
        </w:tc>
        <w:tc>
          <w:tcPr>
            <w:tcW w:w="4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5.24 %</w:t>
            </w:r>
          </w:p>
        </w:tc>
        <w:tc>
          <w:tcPr>
            <w:tcW w:w="1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9/27/2023</w:t>
            </w:r>
          </w:p>
        </w:tc>
      </w:tr>
      <w:tr>
        <w:trPr>
          <w:trHeight w:val="162"/>
        </w:trPr>
        <w:tc>
          <w:tcPr>
            <w:tcW w:w="3660" w:type="dxa"/>
            <w:vAlign w:val="bottom"/>
          </w:tcPr>
          <w:p>
            <w:pPr>
              <w:ind w:left="20"/>
              <w:spacing w:after="0"/>
              <w:rPr>
                <w:sz w:val="20"/>
                <w:szCs w:val="20"/>
                <w:color w:val="auto"/>
              </w:rPr>
            </w:pPr>
            <w:r>
              <w:rPr>
                <w:rFonts w:ascii="Arial" w:cs="Arial" w:eastAsia="Arial" w:hAnsi="Arial"/>
                <w:sz w:val="13"/>
                <w:szCs w:val="13"/>
                <w:color w:val="auto"/>
              </w:rPr>
              <w:t>Revolver Facility</w:t>
            </w: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w:t>
            </w:r>
          </w:p>
        </w:tc>
        <w:tc>
          <w:tcPr>
            <w:tcW w:w="2140" w:type="dxa"/>
            <w:vAlign w:val="bottom"/>
            <w:gridSpan w:val="3"/>
          </w:tcPr>
          <w:p>
            <w:pPr>
              <w:jc w:val="right"/>
              <w:ind w:right="100"/>
              <w:spacing w:after="0"/>
              <w:rPr>
                <w:sz w:val="20"/>
                <w:szCs w:val="20"/>
                <w:color w:val="auto"/>
              </w:rPr>
            </w:pPr>
            <w:r>
              <w:rPr>
                <w:rFonts w:ascii="Arial" w:cs="Arial" w:eastAsia="Arial" w:hAnsi="Arial"/>
                <w:sz w:val="13"/>
                <w:szCs w:val="13"/>
                <w:color w:val="auto"/>
              </w:rPr>
              <w:t>2.10 %</w:t>
            </w:r>
          </w:p>
        </w:tc>
        <w:tc>
          <w:tcPr>
            <w:tcW w:w="440" w:type="dxa"/>
            <w:vAlign w:val="bottom"/>
          </w:tcPr>
          <w:p>
            <w:pPr>
              <w:spacing w:after="0"/>
              <w:rPr>
                <w:sz w:val="14"/>
                <w:szCs w:val="14"/>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3"/>
                <w:szCs w:val="13"/>
                <w:color w:val="auto"/>
              </w:rPr>
              <w:t>5.23 %</w:t>
            </w:r>
          </w:p>
        </w:tc>
        <w:tc>
          <w:tcPr>
            <w:tcW w:w="1800" w:type="dxa"/>
            <w:vAlign w:val="bottom"/>
          </w:tcPr>
          <w:p>
            <w:pPr>
              <w:jc w:val="right"/>
              <w:spacing w:after="0"/>
              <w:rPr>
                <w:sz w:val="20"/>
                <w:szCs w:val="20"/>
                <w:color w:val="auto"/>
              </w:rPr>
            </w:pPr>
            <w:r>
              <w:rPr>
                <w:rFonts w:ascii="Arial" w:cs="Arial" w:eastAsia="Arial" w:hAnsi="Arial"/>
                <w:sz w:val="13"/>
                <w:szCs w:val="13"/>
                <w:color w:val="auto"/>
              </w:rPr>
              <w:t>9/28/2023</w:t>
            </w:r>
          </w:p>
        </w:tc>
      </w:tr>
      <w:tr>
        <w:trPr>
          <w:trHeight w:val="195"/>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Total</w:t>
            </w: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275,188</w:t>
            </w:r>
          </w:p>
        </w:tc>
        <w:tc>
          <w:tcPr>
            <w:tcW w:w="220" w:type="dxa"/>
            <w:vAlign w:val="bottom"/>
            <w:tcBorders>
              <w:bottom w:val="single" w:sz="8" w:color="CFF0FC"/>
            </w:tcBorders>
            <w:shd w:val="clear" w:color="auto" w:fill="CFF0FC"/>
          </w:tcPr>
          <w:p>
            <w:pPr>
              <w:spacing w:after="0"/>
              <w:rPr>
                <w:sz w:val="16"/>
                <w:szCs w:val="16"/>
                <w:color w:val="auto"/>
              </w:rPr>
            </w:pPr>
          </w:p>
        </w:tc>
        <w:tc>
          <w:tcPr>
            <w:tcW w:w="17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44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80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-24765</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 and Term Loan</w:t>
      </w:r>
    </w:p>
    <w:p>
      <w:pPr>
        <w:spacing w:after="0" w:line="121"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On December 22, 2021, the Company entered into a new credit agreement (the "Credit Agreement") with JPMorgan, in its capacity as administrative agent and collateral agent, and Texas Capital Bank, as joint lead arrangers and joint bookrunners, and the other loan parties party thereto. The Credit Agreement consists of two facilities. The first is a revolving credit facility with an available balance of $125 million (the "Revolver Facility"). The second is a term loan for $125 million (the "Term Loan"). In addition to the Term Loan and Revolver Facility, the Credit Agreement also includes a $125 million accordion feature. In October 2022, the accordion feature was exercised with the acquisition of WTI at which point it was split into $87.5 million worth of term loan and $37.5 million of revolver.</w:t>
      </w:r>
    </w:p>
    <w:p>
      <w:pPr>
        <w:spacing w:after="0" w:line="192" w:lineRule="exact"/>
        <w:rPr>
          <w:sz w:val="20"/>
          <w:szCs w:val="20"/>
          <w:color w:val="auto"/>
        </w:rPr>
      </w:pPr>
    </w:p>
    <w:p>
      <w:pPr>
        <w:ind w:right="40" w:firstLine="509"/>
        <w:spacing w:after="0" w:line="257" w:lineRule="auto"/>
        <w:rPr>
          <w:sz w:val="20"/>
          <w:szCs w:val="20"/>
          <w:color w:val="auto"/>
        </w:rPr>
      </w:pPr>
      <w:r>
        <w:rPr>
          <w:rFonts w:ascii="Arial" w:cs="Arial" w:eastAsia="Arial" w:hAnsi="Arial"/>
          <w:sz w:val="18"/>
          <w:szCs w:val="18"/>
          <w:color w:val="auto"/>
        </w:rPr>
        <w:t>Both facilities are "Term SOFR Loans" meaning loans bearing interest based upon the "Adjusted Term SOFR Rate". The Adjusted Term SOFR Rate is the Secured Overnight Financing Rate ("SOFR") at the date of election, plus 2.10%. The Company can elect one or three months for the Revolver Facility and three or six months for the Term Loan. Principal is contractually repaid at a rate of 1.25% on the term loan quarterly effective March 31, 2023. The Revolving Credit Facility has no contractual principal repayments until maturity, which is December 22, 2025 for both facilities. Certain P10 subsidiaries are encumbered by this debt agreement.</w:t>
      </w:r>
    </w:p>
    <w:p>
      <w:pPr>
        <w:spacing w:after="0" w:line="188"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The Credit Agreement contains affirmative and negative covenants typical of such financing transactions, and specific financial covenants which require P10 to maintain a minimum leverage ratio. As of June 30, 2023, P10 was in compliance with its financial covenants required under the facility. As of June 30, 2023, the balance drawn on the revolving credit facility is $68.0 million and on the term loan, the balance is $207.2 million. The balance as of December 31, 2022 was $80.9 million on the revolving credit facility and $212.5 million on the term loan. For the three and six months ended June 30, 2023, $5.0 million and $9.9 million of interest expense was incurred, respectively. For the three and six months ended June 30, 2022, $1.3 million and $2.5 million of interest expense was incurred, respectively.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Payable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principal maturities of debt as of June 30, 2023 are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24" w:lineRule="exact"/>
        <w:rPr>
          <w:sz w:val="20"/>
          <w:szCs w:val="20"/>
          <w:color w:val="auto"/>
        </w:rPr>
      </w:pPr>
    </w:p>
    <w:tbl>
      <w:tblPr>
        <w:tblLayout w:type="fixed"/>
        <w:tblInd w:w="2260" w:type="dxa"/>
        <w:tblCellMar>
          <w:top w:w="0" w:type="dxa"/>
          <w:left w:w="0" w:type="dxa"/>
          <w:bottom w:w="0" w:type="dxa"/>
          <w:right w:w="0" w:type="dxa"/>
        </w:tblCellMar>
      </w:tblPr>
      <w:tr>
        <w:trPr>
          <w:trHeight w:val="237"/>
        </w:trPr>
        <w:tc>
          <w:tcPr>
            <w:tcW w:w="4480" w:type="dxa"/>
            <w:vAlign w:val="bottom"/>
          </w:tcPr>
          <w:p>
            <w:pPr>
              <w:jc w:val="right"/>
              <w:ind w:right="4030"/>
              <w:spacing w:after="0"/>
              <w:rPr>
                <w:sz w:val="20"/>
                <w:szCs w:val="20"/>
                <w:color w:val="auto"/>
              </w:rPr>
            </w:pPr>
            <w:r>
              <w:rPr>
                <w:rFonts w:ascii="Arial" w:cs="Arial" w:eastAsia="Arial" w:hAnsi="Arial"/>
                <w:sz w:val="18"/>
                <w:szCs w:val="18"/>
                <w:color w:val="auto"/>
                <w:w w:val="84"/>
              </w:rPr>
              <w:t>2023</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5,313</w:t>
            </w:r>
          </w:p>
        </w:tc>
        <w:tc>
          <w:tcPr>
            <w:tcW w:w="60" w:type="dxa"/>
            <w:vAlign w:val="bottom"/>
          </w:tcPr>
          <w:p>
            <w:pPr>
              <w:spacing w:after="0"/>
              <w:rPr>
                <w:sz w:val="20"/>
                <w:szCs w:val="20"/>
                <w:color w:val="auto"/>
              </w:rPr>
            </w:pPr>
          </w:p>
        </w:tc>
      </w:tr>
      <w:tr>
        <w:trPr>
          <w:trHeight w:val="250"/>
        </w:trPr>
        <w:tc>
          <w:tcPr>
            <w:tcW w:w="4480" w:type="dxa"/>
            <w:vAlign w:val="bottom"/>
            <w:shd w:val="clear" w:color="auto" w:fill="CFF0FC"/>
          </w:tcPr>
          <w:p>
            <w:pPr>
              <w:jc w:val="right"/>
              <w:ind w:right="4030"/>
              <w:spacing w:after="0"/>
              <w:rPr>
                <w:sz w:val="20"/>
                <w:szCs w:val="20"/>
                <w:color w:val="auto"/>
              </w:rPr>
            </w:pPr>
            <w:r>
              <w:rPr>
                <w:rFonts w:ascii="Arial" w:cs="Arial" w:eastAsia="Arial" w:hAnsi="Arial"/>
                <w:sz w:val="18"/>
                <w:szCs w:val="18"/>
                <w:color w:val="auto"/>
                <w:w w:val="84"/>
              </w:rPr>
              <w:t>2024</w:t>
            </w:r>
          </w:p>
        </w:tc>
        <w:tc>
          <w:tcPr>
            <w:tcW w:w="86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10,625</w:t>
            </w:r>
          </w:p>
        </w:tc>
        <w:tc>
          <w:tcPr>
            <w:tcW w:w="60" w:type="dxa"/>
            <w:vAlign w:val="bottom"/>
            <w:shd w:val="clear" w:color="auto" w:fill="CFF0FC"/>
          </w:tcPr>
          <w:p>
            <w:pPr>
              <w:spacing w:after="0"/>
              <w:rPr>
                <w:sz w:val="21"/>
                <w:szCs w:val="21"/>
                <w:color w:val="auto"/>
              </w:rPr>
            </w:pPr>
          </w:p>
        </w:tc>
      </w:tr>
      <w:tr>
        <w:trPr>
          <w:trHeight w:val="237"/>
        </w:trPr>
        <w:tc>
          <w:tcPr>
            <w:tcW w:w="4480" w:type="dxa"/>
            <w:vAlign w:val="bottom"/>
            <w:tcBorders>
              <w:bottom w:val="single" w:sz="8" w:color="CFF0FC"/>
            </w:tcBorders>
          </w:tcPr>
          <w:p>
            <w:pPr>
              <w:jc w:val="right"/>
              <w:ind w:right="4030"/>
              <w:spacing w:after="0"/>
              <w:rPr>
                <w:sz w:val="20"/>
                <w:szCs w:val="20"/>
                <w:color w:val="auto"/>
              </w:rPr>
            </w:pPr>
            <w:r>
              <w:rPr>
                <w:rFonts w:ascii="Arial" w:cs="Arial" w:eastAsia="Arial" w:hAnsi="Arial"/>
                <w:sz w:val="18"/>
                <w:szCs w:val="18"/>
                <w:color w:val="auto"/>
                <w:w w:val="84"/>
              </w:rPr>
              <w:t>2025</w:t>
            </w:r>
          </w:p>
        </w:tc>
        <w:tc>
          <w:tcPr>
            <w:tcW w:w="8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259,250</w:t>
            </w:r>
          </w:p>
        </w:tc>
        <w:tc>
          <w:tcPr>
            <w:tcW w:w="60" w:type="dxa"/>
            <w:vAlign w:val="bottom"/>
            <w:tcBorders>
              <w:bottom w:val="single" w:sz="8" w:color="CFF0FC"/>
            </w:tcBorders>
          </w:tcPr>
          <w:p>
            <w:pPr>
              <w:spacing w:after="0"/>
              <w:rPr>
                <w:sz w:val="20"/>
                <w:szCs w:val="20"/>
                <w:color w:val="auto"/>
              </w:rPr>
            </w:pPr>
          </w:p>
        </w:tc>
      </w:tr>
      <w:tr>
        <w:trPr>
          <w:trHeight w:val="276"/>
        </w:trPr>
        <w:tc>
          <w:tcPr>
            <w:tcW w:w="448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275,188</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Debt issuance costs are offset against the Revolver Facility and Term Loan. Unamortized debt issuance costs for the Revolver Facility and Term Loan as of June 30, 2023 and December 31, 2022 were $3.5 million and $4.2 million, respectively.</w:t>
      </w:r>
    </w:p>
    <w:p>
      <w:pPr>
        <w:spacing w:after="0" w:line="170"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Amortization expense related to debt issuance costs totaled $0.4 million and $0.7 million for the three and six months ended June 30, 2023, respectively, and $0.2 million and $0.4 million for the three and six months ended June 30, 2022, respectively. This is reported in interest expense, net on the Consolidated Statements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Effective January 1, 2021, the Company entered into a sublease with 210 Capital, LLC, a related party, for office space serving as our corporate headquarters. The monthly rent expense is $20.3 thousand, and the lease expires December 31, 2029. In the fourth quarter of 2022, the Company sublet an additional amount of office space in the corporate headquarters. This contributed an additional $3.4 thousand monthly. P10 has paid $0.1 million and $0.1 million in rent to 210 Capital, LLC for the three and six months ended June 30, 2023, respectively, and $0.1 million and $0.1 million for the three and six months ended June 30, 2022, respectively.</w:t>
      </w:r>
    </w:p>
    <w:p>
      <w:pPr>
        <w:spacing w:after="0" w:line="188"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As described in Note 1, through its subsidiaries, the Company serves as the investment manager to the Funds. Certain expenses incurred by the Funds are paid upfront and are reimbursed from the Funds as permissible per fund agreements. As of June 30, 2023, the total accounts receivable from the Funds totaled $16.0 million, of which $3.5 million related to reimbursable expenses and $12.5 million related to fees earned but not yet received. As of December 31, 2022, the total accounts receivable from the Funds totaled $16.8 million, of which $6.2 million related to reimbursable expenses and $10.6 million related to fees earned but not yet received. In certain instances, the Company may incur expenses related to specific products that never materialize.</w:t>
      </w:r>
    </w:p>
    <w:p>
      <w:pPr>
        <w:spacing w:after="0" w:line="16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Upon the closing of the Company’s acquisition of ECG and ECP, the Advisory Agreement between ECG and Enhanced PC immediately became effective. Under this agreement, ECG provides advisory services to Enhanced PC related to the assets and operations of the permanent capital subsidiaries owned by Enhanced PC, as contributed by both ECG and ECP, and new projects undertaken by Enhanced PC. In exchange for those services, which commenced on January 1, 2021, ECG receives advisory fees from Enhanced PC based on a declining fixed fee schedule, initially totaling $76.0 million over 7 years. As a result of new projects during 2021 and 2022, ECG will receive additional advisory fees from Enhanced PC totaling $22.0 million over 7 years, based on a declining fixed fee schedule. An additional advisory fee was agreed to in 2023 as a result of new projects, this fee totals $9.5 million over 7 years on a declining fixed fee schedule. This agreement is subject to customary termination provisions. Since inception, $51.4 million of the total $107.5 million advisory fees have been recognized as revenue. Advisory fees earned or recognized under this agreement were $5.3 million and $10.2 million for the three and six months ended June 30, 2023, respectively, and $5.5 million and $11.1 million for the three and six months ended June 30, 2022, respectively, and is reported in management and advisory fees on the Consolidated Statements of Operations. The Company also incurs interest income on the balance outstanding. Revenues from interest were $0.1 million and $0.3 million for the three and six months ended June 30, 2023, respectively, and $0.1 million and $0.1 million for the three and six months ended June 30, 2022, respectively, and is reported in management and advisory fees on the Consolidated Statement of Operations. As of June 30, 2023 and December 31, 2022, the balance was $38.7 million and $28.5 million, respectively, and is included in due from related parties on the Consolidated Balance Sheets.</w:t>
      </w:r>
    </w:p>
    <w:p>
      <w:pPr>
        <w:spacing w:after="0" w:line="171"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pays ECH for the use of their employees to provide services to Enhanced PC at the direction of ECG. The Company recognized $3.0 million and $6.2 million for the three and six months ended June 30, 2023, respectively, and $2.4 million and $4.6 million for the three and six months ended June 30, 2022, respectively, related to this agreement within compensation and benefits on our Consolidated Statements of Operations.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jc w:val="both"/>
        <w:ind w:right="20" w:firstLine="509"/>
        <w:spacing w:after="0" w:line="279" w:lineRule="auto"/>
        <w:rPr>
          <w:sz w:val="20"/>
          <w:szCs w:val="20"/>
          <w:color w:val="auto"/>
        </w:rPr>
      </w:pPr>
      <w:r>
        <w:rPr>
          <w:rFonts w:ascii="Arial" w:cs="Arial" w:eastAsia="Arial" w:hAnsi="Arial"/>
          <w:sz w:val="17"/>
          <w:szCs w:val="17"/>
          <w:color w:val="auto"/>
        </w:rPr>
        <w:t>On September 10, 2021, Enhanced entered into a strategic partnership with Crossroads Impact Corp ("Crossroads"), the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CPF will pay an advisory fee to Enhanced.</w:t>
      </w:r>
    </w:p>
    <w:p>
      <w:pPr>
        <w:spacing w:after="0" w:line="171" w:lineRule="exact"/>
        <w:rPr>
          <w:sz w:val="20"/>
          <w:szCs w:val="20"/>
          <w:color w:val="auto"/>
        </w:rPr>
      </w:pPr>
    </w:p>
    <w:p>
      <w:pPr>
        <w:ind w:right="220" w:firstLine="509"/>
        <w:spacing w:after="0" w:line="291" w:lineRule="auto"/>
        <w:rPr>
          <w:sz w:val="20"/>
          <w:szCs w:val="20"/>
          <w:color w:val="auto"/>
        </w:rPr>
      </w:pPr>
      <w:r>
        <w:rPr>
          <w:rFonts w:ascii="Arial" w:cs="Arial" w:eastAsia="Arial" w:hAnsi="Arial"/>
          <w:sz w:val="16"/>
          <w:szCs w:val="16"/>
          <w:color w:val="auto"/>
        </w:rPr>
        <w:t>On July 6, 2022, Crossroads entered into the Advisory Agreement (the "Crossroads Advisory Agreement") with ECG. The Crossroads Advisory Agreement provides for ECG to receive a services fee of 1.5% per year of the capital deployed by Crossroads under the Crossroads Advisory Agreement</w:t>
      </w:r>
    </w:p>
    <w:p>
      <w:pPr>
        <w:spacing w:after="0" w:line="253" w:lineRule="auto"/>
        <w:rPr>
          <w:sz w:val="20"/>
          <w:szCs w:val="20"/>
          <w:color w:val="auto"/>
        </w:rPr>
      </w:pPr>
      <w:r>
        <w:rPr>
          <w:rFonts w:ascii="Arial" w:cs="Arial" w:eastAsia="Arial" w:hAnsi="Arial"/>
          <w:sz w:val="18"/>
          <w:szCs w:val="18"/>
          <w:color w:val="auto"/>
        </w:rPr>
        <w:t>(0.375% quarterly), and an incentive fee of 15% over a 7% hurdle rate. In relation to the strategic partnership with Crossroads effective September 10, 2021 and the Crossroads Advisory Agreement, the Company recognized $2.6 million and $5.0 million for the three and six months ended June 30, 2023, respectively, and $0.6 million and $1.0 million for the three and six months ended June 30, 2022, respectively, which is included in management and advisory fees on the Consolidated Statements of Operations.</w:t>
      </w:r>
    </w:p>
    <w:p>
      <w:pPr>
        <w:spacing w:after="0" w:line="193"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On July 6, 2022, certain funds managed by the Company purchased 4,646,840 shares of Crossroads common stock at $10.76 per shares, for an aggregate amount of approximately $50 million. On August 1, 2022, an additional purchase of 1,394,052 shares of Crossroads common stock at $10.76 per share occurred. The Co-CEOs of the Company are directors of Crossroads. The Company recognizes an annual fee of $20 thousand of which $5 thousand and $10 thousand has been recognized for the three and six months ended June 30, 2023, respectively, which is included in management and advisory fees on the Consolidated Statements of Operations. The Company recognized $20 thousand and $20 thousand for the three and six months ended June 30, 2022, respectively.</w:t>
      </w:r>
    </w:p>
    <w:p>
      <w:pPr>
        <w:spacing w:after="0" w:line="19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Upon the closing of the Bonaccord acquisition on September 30, 2021, an Advance Agreement and Secured Promissory Note was signed with BCP, an entity that was formed by employees of the Company. For details, see Note 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35"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Company leases office space and various equipment under non-cancelable operating leases, with the longest lease expiring in 2032. These lease agreements provide for various renewal options. Rent expense for the various leased office space and equipment was approximately $1.1 million and $1.9 million for the three and six months ended June 30, 2023, respectively, and $0.8 million and $1.6 million for the three and six months ended June 30, 2022, respectively.</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information regarding the Company’s operating leases as of June 30,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Pr>
          <w:p>
            <w:pPr>
              <w:spacing w:after="0"/>
              <w:rPr>
                <w:sz w:val="21"/>
                <w:szCs w:val="21"/>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17,888</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21,219</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lease liabilities</w:t>
            </w:r>
          </w:p>
        </w:tc>
        <w:tc>
          <w:tcPr>
            <w:tcW w:w="4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1,316</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7.22</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26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440" w:type="dxa"/>
            <w:vAlign w:val="bottom"/>
          </w:tcPr>
          <w:p>
            <w:pPr>
              <w:spacing w:after="0"/>
              <w:rPr>
                <w:sz w:val="21"/>
                <w:szCs w:val="21"/>
                <w:color w:val="auto"/>
              </w:rPr>
            </w:pPr>
          </w:p>
        </w:tc>
        <w:tc>
          <w:tcPr>
            <w:tcW w:w="3080" w:type="dxa"/>
            <w:vAlign w:val="bottom"/>
            <w:gridSpan w:val="2"/>
          </w:tcPr>
          <w:p>
            <w:pPr>
              <w:jc w:val="right"/>
              <w:ind w:right="2140"/>
              <w:spacing w:after="0"/>
              <w:rPr>
                <w:sz w:val="20"/>
                <w:szCs w:val="20"/>
                <w:color w:val="auto"/>
              </w:rPr>
            </w:pPr>
            <w:r>
              <w:rPr>
                <w:rFonts w:ascii="Arial" w:cs="Arial" w:eastAsia="Arial" w:hAnsi="Arial"/>
                <w:sz w:val="18"/>
                <w:szCs w:val="18"/>
                <w:color w:val="auto"/>
              </w:rPr>
              <w:t>4.37 %</w:t>
            </w:r>
          </w:p>
        </w:tc>
        <w:tc>
          <w:tcPr>
            <w:tcW w:w="0" w:type="dxa"/>
            <w:vAlign w:val="bottom"/>
          </w:tcPr>
          <w:p>
            <w:pPr>
              <w:spacing w:after="0"/>
              <w:rPr>
                <w:sz w:val="1"/>
                <w:szCs w:val="1"/>
                <w:color w:val="auto"/>
              </w:rPr>
            </w:pPr>
          </w:p>
        </w:tc>
      </w:tr>
      <w:tr>
        <w:trPr>
          <w:trHeight w:val="445"/>
        </w:trPr>
        <w:tc>
          <w:tcPr>
            <w:tcW w:w="7720" w:type="dxa"/>
            <w:vAlign w:val="bottom"/>
            <w:gridSpan w:val="2"/>
          </w:tcPr>
          <w:p>
            <w:pPr>
              <w:jc w:val="right"/>
              <w:ind w:right="1850"/>
              <w:spacing w:after="0"/>
              <w:rPr>
                <w:sz w:val="20"/>
                <w:szCs w:val="20"/>
                <w:color w:val="auto"/>
              </w:rPr>
            </w:pPr>
            <w:r>
              <w:rPr>
                <w:rFonts w:ascii="Arial" w:cs="Arial" w:eastAsia="Arial" w:hAnsi="Arial"/>
                <w:sz w:val="18"/>
                <w:szCs w:val="18"/>
                <w:color w:val="auto"/>
                <w:w w:val="97"/>
              </w:rPr>
              <w:t>The future contractual lease payments as of June 30, 2023 are as follows: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vMerge w:val="continue"/>
          </w:tcPr>
          <w:p>
            <w:pPr>
              <w:spacing w:after="0"/>
              <w:rPr>
                <w:sz w:val="21"/>
                <w:szCs w:val="21"/>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1,755</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3,959</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FF0FC"/>
          </w:tcPr>
          <w:p>
            <w:pPr>
              <w:spacing w:after="0"/>
              <w:rPr>
                <w:sz w:val="22"/>
                <w:szCs w:val="22"/>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2,917</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60" w:type="dxa"/>
            <w:vAlign w:val="bottom"/>
          </w:tcPr>
          <w:p>
            <w:pPr>
              <w:spacing w:after="0"/>
              <w:rPr>
                <w:sz w:val="22"/>
                <w:szCs w:val="22"/>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FF0FC"/>
          </w:tcPr>
          <w:p>
            <w:pPr>
              <w:spacing w:after="0"/>
              <w:rPr>
                <w:sz w:val="22"/>
                <w:szCs w:val="22"/>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10,293</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60" w:type="dxa"/>
            <w:vAlign w:val="bottom"/>
          </w:tcPr>
          <w:p>
            <w:pPr>
              <w:spacing w:after="0"/>
              <w:rPr>
                <w:sz w:val="21"/>
                <w:szCs w:val="21"/>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44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25,005</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6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Less imputed interest</w:t>
            </w: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(3,786 )</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2260" w:type="dxa"/>
            <w:vAlign w:val="bottom"/>
          </w:tcPr>
          <w:p>
            <w:pPr>
              <w:spacing w:after="0"/>
              <w:rPr>
                <w:sz w:val="24"/>
                <w:szCs w:val="24"/>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21,219</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5"/>
        </w:trPr>
        <w:tc>
          <w:tcPr>
            <w:tcW w:w="7720" w:type="dxa"/>
            <w:vAlign w:val="bottom"/>
            <w:gridSpan w:val="2"/>
          </w:tcPr>
          <w:p>
            <w:pPr>
              <w:jc w:val="right"/>
              <w:ind w:right="1910"/>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260" w:type="dxa"/>
            <w:vAlign w:val="bottom"/>
            <w:tcBorders>
              <w:bottom w:val="single" w:sz="8" w:color="9A9A9A"/>
            </w:tcBorders>
          </w:tcPr>
          <w:p>
            <w:pPr>
              <w:spacing w:after="0"/>
              <w:rPr>
                <w:sz w:val="8"/>
                <w:szCs w:val="8"/>
                <w:color w:val="auto"/>
              </w:rPr>
            </w:pPr>
          </w:p>
        </w:tc>
        <w:tc>
          <w:tcPr>
            <w:tcW w:w="54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-2485390</wp:posOffset>
            </wp:positionV>
            <wp:extent cx="427736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-513715</wp:posOffset>
            </wp:positionV>
            <wp:extent cx="34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-496570</wp:posOffset>
            </wp:positionV>
            <wp:extent cx="342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Earnout Payment</w:t>
      </w:r>
    </w:p>
    <w:p>
      <w:pPr>
        <w:spacing w:after="0" w:line="229"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With the acquisition of WTI, an earnout payment of up to $70.0 million of cash and common stock may be earned upon meeting certain performance metrics.Upon the achievement of $20.0 million, $22.5 million, and $25.0 million of EBTIDA, $35.0 million, $17.5 million, and $17.5 million are earned, respectively. Of the total amount, $50.0 million can be earned by the sellers and the remaining $20.0 million would be allocated to employees of the Company at the time the earnout is earned. Payment to both sellers and employees is contingent on continued employment and, therefore, these earnout payments are recorded as compensation and benefits expense on the Consolidated Statements of Operations. The Company will evaluate whether each earn-out hurdle is probable of occurring and recognize an expense over the period the hurdle is expected to be achieved. As of June 30, 2023, the Company has determined that only the first two EBITDA hurdles are probable of being achieved. Total payment will not exceed $70.0 million and any amounts paid will be paid by October 2027, at which point the earnout expires. For the three and six months ended June 30, 2023, $5.9 million and $11.8 million, respectively, was recognized and for the three and six months ended June 30, 2022, $0 and $0 was recognized, respectively. As of June 30, 2023 and December 31, 2022, the balance was $17.0 million and $5.2 million, respectively, and is included in accrued compensation and benefits in the Consolidated Balance Sheets. No payments have been made on the earnout.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Bonus Payment</w:t>
      </w:r>
    </w:p>
    <w:p>
      <w:pPr>
        <w:spacing w:after="0" w:line="229"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In connection with the acquisition of WTI, certain employees entered into employment agreements. As part of these employment agreements, certain employees may receive a one-time bonus payment if the employee is employed by the Company as of the fifth anniversary of the effective date and the trailing-twelve month EBITDA of WTI at that time is equal to or greater than $20.0 million. Payment can be made in cash or stock of P10, provided that no more than $5.0 million will be payable in cash. Total payment will not exceed $10.0 million and any amounts will be paid in October 2027, the fifth anniversary of the effective date. For the three and six months ended June 30, 2023, $0.5 million and $1.0 million, respectively, of expense was recognized and for the three and six months ended June 30, 2022, no expense was recognized. Recognized expense is included in compensation and benefits on the Consolidated Statement of Operations. As of June 30, 2023 and December 31, 2022, the balance was $1.4 million and $0.4 million, respectively, and is included in accrued compensation and benefits on the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Share Arrangement</w:t>
      </w:r>
    </w:p>
    <w:p>
      <w:pPr>
        <w:spacing w:after="0" w:line="229" w:lineRule="exact"/>
        <w:rPr>
          <w:sz w:val="20"/>
          <w:szCs w:val="20"/>
          <w:color w:val="auto"/>
        </w:rPr>
      </w:pPr>
    </w:p>
    <w:p>
      <w:pPr>
        <w:ind w:right="100" w:firstLine="509"/>
        <w:spacing w:after="0" w:line="287" w:lineRule="auto"/>
        <w:rPr>
          <w:sz w:val="20"/>
          <w:szCs w:val="20"/>
          <w:color w:val="auto"/>
        </w:rPr>
      </w:pPr>
      <w:r>
        <w:rPr>
          <w:rFonts w:ascii="Arial" w:cs="Arial" w:eastAsia="Arial" w:hAnsi="Arial"/>
          <w:sz w:val="16"/>
          <w:szCs w:val="16"/>
          <w:color w:val="auto"/>
        </w:rPr>
        <w:t>The Company recognizes accrued contingent liabilities and contingent payments to customers asset in our Consolidated Balance Sheets for an agreement that exists between ECG and third parties. The agreements require ECG to share in certain revenues earned with the third parties and also includes an option for the third parties to sell back the revenue share to ECG at a set multiple. The Company’s contingent liabilities and corresponding contingent payments to customers are recognized once determined to be probable and estimable. The contingent payments to customers are amortized and recorded within management and advisory fees on the Consolidated Statements of Operations over the revenue share agreement. As of June 30, 2023, the Company has determined that the put options are probable and have accrued estimated contingent liabilities and contingent payments to customers. As of June 30, 2023 and December 31, 2022, the balance was $14.3 million and $14.3 million, respectively, and is included in accrued contingent liabilities on the Consolidated Balance Sheets. The associated contingent payments to customers asset balance was $12.9 million and $13.6 million as of June 30, 2023 and December 31, 2022, respectively. The Company recognized $0.6 million and $0.2 million of amortization of contingent payments to customers for the three and six months ended June 30, 2023, respectively, and $0 and $0 of amortization of contingent payments to customers for the three and six months ended June 30, 2022, respectively, which is included in management and advisory fees on the Consolidated Statements of Operations. The Company will reassess each period and recognize all changes as if they occurred at inception.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35"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disclosed anything more likely than not to be recognized below. We do not believe that any of these matters, individually or in the aggregate, will result in losses that are materially in excess of amounts already recognized, if any.</w:t>
      </w:r>
    </w:p>
    <w:p>
      <w:pPr>
        <w:spacing w:after="0" w:line="157" w:lineRule="exact"/>
        <w:rPr>
          <w:sz w:val="20"/>
          <w:szCs w:val="20"/>
          <w:color w:val="auto"/>
        </w:rPr>
      </w:pPr>
    </w:p>
    <w:p>
      <w:pPr>
        <w:ind w:right="600" w:firstLine="509"/>
        <w:spacing w:after="0" w:line="258" w:lineRule="auto"/>
        <w:rPr>
          <w:sz w:val="20"/>
          <w:szCs w:val="20"/>
          <w:color w:val="auto"/>
        </w:rPr>
      </w:pPr>
      <w:r>
        <w:rPr>
          <w:rFonts w:ascii="Arial" w:cs="Arial" w:eastAsia="Arial" w:hAnsi="Arial"/>
          <w:sz w:val="18"/>
          <w:szCs w:val="18"/>
          <w:color w:val="auto"/>
        </w:rPr>
        <w:t>In 2021, the Civil Enforcement Division of the Oregon Department of Justice (Oregon DOJ) initiated an investigation of certain transactions involving the Oregon Low Income Community Jobs Initiative, also known as the Oregon New</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Markets Tax Credit (NMTC) program, to which a subsidiary of Enhanced Capital, among others, was a party. The Oregon DOJ contends that the subsidiary of Enhanced Capital omitted from the NMTC application information regarding the application of leveraged financing in the transaction and the sources and uses of funds in the proposed transactions. No formal claims have been filed by the Oregon DOJ. The Company continues to assert that it followed all program requirements and met all disclosure obligations. The subsidiary of Enhanced Capital completed non-binding mediation in July 2023 and settlement discussions continue. Based on our assessment of the current stage of this investigation and settlement, our financial results as of June 30, 2023, includes an immaterial accrual related thereto in accrued expenses on the Consolidated Balance Sheets and other (expense)/income on the Consolidated Statements of Operation. At this time, we do not believe any outcome in this investigation will have a material adverse effect on our business, operating results, or financial position.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ind w:right="180" w:firstLine="509"/>
        <w:spacing w:after="0" w:line="286" w:lineRule="auto"/>
        <w:rPr>
          <w:sz w:val="20"/>
          <w:szCs w:val="20"/>
          <w:color w:val="auto"/>
        </w:rPr>
      </w:pPr>
      <w:r>
        <w:rPr>
          <w:rFonts w:ascii="Arial" w:cs="Arial" w:eastAsia="Arial" w:hAnsi="Arial"/>
          <w:sz w:val="17"/>
          <w:szCs w:val="17"/>
          <w:color w:val="auto"/>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spacing w:after="0" w:line="57" w:lineRule="exact"/>
        <w:rPr>
          <w:sz w:val="20"/>
          <w:szCs w:val="20"/>
          <w:color w:val="auto"/>
        </w:rPr>
      </w:pPr>
    </w:p>
    <w:p>
      <w:pPr>
        <w:ind w:right="80" w:firstLine="509"/>
        <w:spacing w:after="0" w:line="265" w:lineRule="auto"/>
        <w:rPr>
          <w:sz w:val="20"/>
          <w:szCs w:val="20"/>
          <w:color w:val="auto"/>
        </w:rPr>
      </w:pPr>
      <w:r>
        <w:rPr>
          <w:rFonts w:ascii="Arial" w:cs="Arial" w:eastAsia="Arial" w:hAnsi="Arial"/>
          <w:sz w:val="18"/>
          <w:szCs w:val="18"/>
          <w:color w:val="auto"/>
        </w:rPr>
        <w:t>Based on these methodologies, the Company’s effective income tax rate was 59.62% and 29.80% for the three and six months ended June 30, 2023, respectively. The effective tax rate differs from the federal statutory rate of 21% due to executive compensation subject to 162(m) limitation, state taxes, and a discrete period recognition of windfall tax adjustments related to options exercised year-to-date. The Company's effective income tax rate for the three and six months ended June 30, 2022 was 26.11% and 25.94%, respectively. The effective tax rate differs from the federal statutory rate of 21% due primarily to state and local income taxes.</w:t>
      </w:r>
    </w:p>
    <w:p>
      <w:pPr>
        <w:spacing w:after="0" w:line="72"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June 30, 2023, the Company has recorded a $12.8 million valuation allowance against deferred tax assets, primarily related to a note impairment. There was no change to the valuation allowance during the period.</w:t>
      </w:r>
    </w:p>
    <w:p>
      <w:pPr>
        <w:spacing w:after="0" w:line="56"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The Company monitors federal and state legislative activity and other developments that may impact our tax positions and their relation to the income tax provision. Any impacts will be recorded in the period in which the legislation is enacted or new regulations are issued. The Company is subject to examination by the United States Internal Revenue Service as well as state and local tax authorities. The Company is not currently under audit.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29"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On July 20, 2021, the Board of Directors approved the P10 Holdings, Inc. 2021 Stock Incentive Plan (the "Plan"), which replaced the 2018 Incentive Plan ("2018 Plan"), our previously existing equity compensation plan. The Compensation Committee of the Board of Directors may issue equity-based awards including stock options, stock appreciation rights, restricted stock units and restricted stock awards. Options previously granted under the 2018 Plan cliff vest over a period of four or five years.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Terms of all future awards will be granted under the Plan, and no additional awards will be granted under the 2018 Plan. Awards granted under the 2018 Plan continue to follow the 2018 Plan.</w:t>
      </w:r>
    </w:p>
    <w:p>
      <w:pPr>
        <w:spacing w:after="0" w:line="166" w:lineRule="exact"/>
        <w:rPr>
          <w:sz w:val="20"/>
          <w:szCs w:val="20"/>
          <w:color w:val="auto"/>
        </w:rPr>
      </w:pPr>
    </w:p>
    <w:p>
      <w:pPr>
        <w:ind w:right="120" w:firstLine="509"/>
        <w:spacing w:after="0" w:line="258" w:lineRule="auto"/>
        <w:rPr>
          <w:sz w:val="20"/>
          <w:szCs w:val="20"/>
          <w:color w:val="auto"/>
        </w:rPr>
      </w:pPr>
      <w:r>
        <w:rPr>
          <w:rFonts w:ascii="Arial" w:cs="Arial" w:eastAsia="Arial" w:hAnsi="Arial"/>
          <w:sz w:val="18"/>
          <w:szCs w:val="18"/>
          <w:color w:val="auto"/>
        </w:rPr>
        <w:t>The 2018 Plan provided for an initial 6,300,000 shares (adjusted for the reverse stock split). The Plan provided for the issuance of 3,000,000 shares available for grant, in addition to those approved in the 2018 Plan for a total of 9,300,000 shares.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22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On March 15, 2022, the Board of Directors approved the settlement of 1.1 million options from a grantee with a fair market value option price of $11.83, less a negotiated discount of 2.5%, totaling $12.5 million. This was paid on April 4, 2022.</w:t>
      </w:r>
    </w:p>
    <w:p>
      <w:pPr>
        <w:spacing w:after="0" w:line="170" w:lineRule="exact"/>
        <w:rPr>
          <w:sz w:val="20"/>
          <w:szCs w:val="20"/>
          <w:color w:val="auto"/>
        </w:rPr>
      </w:pPr>
    </w:p>
    <w:p>
      <w:pPr>
        <w:jc w:val="both"/>
        <w:ind w:right="40" w:firstLine="509"/>
        <w:spacing w:after="0" w:line="311" w:lineRule="auto"/>
        <w:rPr>
          <w:sz w:val="20"/>
          <w:szCs w:val="20"/>
          <w:color w:val="auto"/>
        </w:rPr>
      </w:pPr>
      <w:r>
        <w:rPr>
          <w:rFonts w:ascii="Arial" w:cs="Arial" w:eastAsia="Arial" w:hAnsi="Arial"/>
          <w:sz w:val="16"/>
          <w:szCs w:val="16"/>
          <w:color w:val="auto"/>
        </w:rPr>
        <w:t>On June 17, 2022, at the Annual Meeting of Stockholders, the shareholders authorized an increase of 5,000,000 shares that may be issued under the Plan creating a total of 14,300,000 shares available for grant under the Plan and the 2018 Plan. On October 21, 2022, a special meeting of stockholders was held to increase the number of shares issuable under the Plan by 4,000,000 shares. As of June 30, 2023, there are 3,965,756 shares available for grant.</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the period ended June 30, 2023 is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339"/>
              <w:spacing w:after="0"/>
              <w:rPr>
                <w:sz w:val="20"/>
                <w:szCs w:val="20"/>
                <w:color w:val="auto"/>
              </w:rPr>
            </w:pPr>
            <w:r>
              <w:rPr>
                <w:rFonts w:ascii="Arial" w:cs="Arial" w:eastAsia="Arial" w:hAnsi="Arial"/>
                <w:sz w:val="14"/>
                <w:szCs w:val="14"/>
                <w:b w:val="1"/>
                <w:bCs w:val="1"/>
                <w:color w:val="auto"/>
              </w:rPr>
              <w:t>Aggregate</w:t>
            </w:r>
          </w:p>
        </w:tc>
        <w:tc>
          <w:tcPr>
            <w:tcW w:w="100" w:type="dxa"/>
            <w:vAlign w:val="bottom"/>
          </w:tcPr>
          <w:p>
            <w:pPr>
              <w:spacing w:after="0"/>
              <w:rPr>
                <w:sz w:val="15"/>
                <w:szCs w:val="15"/>
                <w:color w:val="auto"/>
              </w:rPr>
            </w:pPr>
          </w:p>
        </w:tc>
      </w:tr>
      <w:tr>
        <w:trPr>
          <w:trHeight w:val="175"/>
        </w:trPr>
        <w:tc>
          <w:tcPr>
            <w:tcW w:w="3240" w:type="dxa"/>
            <w:vAlign w:val="bottom"/>
          </w:tcPr>
          <w:p>
            <w:pPr>
              <w:spacing w:after="0"/>
              <w:rPr>
                <w:sz w:val="15"/>
                <w:szCs w:val="15"/>
                <w:color w:val="auto"/>
              </w:rPr>
            </w:pPr>
          </w:p>
        </w:tc>
        <w:tc>
          <w:tcPr>
            <w:tcW w:w="1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5"/>
                <w:szCs w:val="15"/>
                <w:color w:val="auto"/>
              </w:rPr>
            </w:pPr>
          </w:p>
        </w:tc>
        <w:tc>
          <w:tcPr>
            <w:tcW w:w="1360" w:type="dxa"/>
            <w:vAlign w:val="bottom"/>
          </w:tcPr>
          <w:p>
            <w:pPr>
              <w:jc w:val="right"/>
              <w:ind w:right="114"/>
              <w:spacing w:after="0"/>
              <w:rPr>
                <w:sz w:val="20"/>
                <w:szCs w:val="20"/>
                <w:color w:val="auto"/>
              </w:rPr>
            </w:pPr>
            <w:r>
              <w:rPr>
                <w:rFonts w:ascii="Arial" w:cs="Arial" w:eastAsia="Arial" w:hAnsi="Arial"/>
                <w:sz w:val="14"/>
                <w:szCs w:val="14"/>
                <w:b w:val="1"/>
                <w:bCs w:val="1"/>
                <w:color w:val="auto"/>
                <w:w w:val="93"/>
              </w:rPr>
              <w:t>Weighted Average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199"/>
              <w:spacing w:after="0"/>
              <w:rPr>
                <w:sz w:val="20"/>
                <w:szCs w:val="20"/>
                <w:color w:val="auto"/>
              </w:rPr>
            </w:pPr>
            <w:r>
              <w:rPr>
                <w:rFonts w:ascii="Arial" w:cs="Arial" w:eastAsia="Arial" w:hAnsi="Arial"/>
                <w:sz w:val="14"/>
                <w:szCs w:val="14"/>
                <w:b w:val="1"/>
                <w:bCs w:val="1"/>
                <w:color w:val="auto"/>
              </w:rPr>
              <w:t>Intrinsic Value</w:t>
            </w:r>
          </w:p>
        </w:tc>
        <w:tc>
          <w:tcPr>
            <w:tcW w:w="100" w:type="dxa"/>
            <w:vAlign w:val="bottom"/>
          </w:tcPr>
          <w:p>
            <w:pPr>
              <w:spacing w:after="0"/>
              <w:rPr>
                <w:sz w:val="15"/>
                <w:szCs w:val="15"/>
                <w:color w:val="auto"/>
              </w:rPr>
            </w:pPr>
          </w:p>
        </w:tc>
      </w:tr>
      <w:tr>
        <w:trPr>
          <w:trHeight w:val="185"/>
        </w:trPr>
        <w:tc>
          <w:tcPr>
            <w:tcW w:w="3240" w:type="dxa"/>
            <w:vAlign w:val="bottom"/>
          </w:tcPr>
          <w:p>
            <w:pPr>
              <w:spacing w:after="0"/>
              <w:rPr>
                <w:sz w:val="16"/>
                <w:szCs w:val="16"/>
                <w:color w:val="auto"/>
              </w:rPr>
            </w:pPr>
          </w:p>
        </w:tc>
        <w:tc>
          <w:tcPr>
            <w:tcW w:w="15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9"/>
              </w:rPr>
              <w:t>(whole dollars)</w:t>
            </w:r>
          </w:p>
        </w:tc>
        <w:tc>
          <w:tcPr>
            <w:tcW w:w="100" w:type="dxa"/>
            <w:vAlign w:val="bottom"/>
          </w:tcPr>
          <w:p>
            <w:pPr>
              <w:spacing w:after="0"/>
              <w:rPr>
                <w:sz w:val="16"/>
                <w:szCs w:val="16"/>
                <w:color w:val="auto"/>
              </w:rPr>
            </w:pPr>
          </w:p>
        </w:tc>
      </w:tr>
      <w:tr>
        <w:trPr>
          <w:trHeight w:val="250"/>
        </w:trPr>
        <w:tc>
          <w:tcPr>
            <w:tcW w:w="3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720" w:type="dxa"/>
            <w:vAlign w:val="bottom"/>
            <w:gridSpan w:val="2"/>
          </w:tcPr>
          <w:p>
            <w:pPr>
              <w:spacing w:after="0"/>
              <w:rPr>
                <w:sz w:val="21"/>
                <w:szCs w:val="21"/>
                <w:color w:val="auto"/>
              </w:rPr>
            </w:pPr>
          </w:p>
        </w:tc>
        <w:tc>
          <w:tcPr>
            <w:tcW w:w="440" w:type="dxa"/>
            <w:vAlign w:val="bottom"/>
            <w:gridSpan w:val="2"/>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2022</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10,612,231</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39,004,141</w:t>
            </w:r>
          </w:p>
        </w:tc>
        <w:tc>
          <w:tcPr>
            <w:tcW w:w="100" w:type="dxa"/>
            <w:vAlign w:val="bottom"/>
            <w:shd w:val="clear" w:color="auto" w:fill="CFF0FC"/>
          </w:tcPr>
          <w:p>
            <w:pPr>
              <w:spacing w:after="0"/>
              <w:rPr>
                <w:sz w:val="22"/>
                <w:szCs w:val="22"/>
                <w:color w:val="auto"/>
              </w:rPr>
            </w:pPr>
          </w:p>
        </w:tc>
      </w:tr>
      <w:tr>
        <w:trPr>
          <w:trHeight w:val="250"/>
        </w:trPr>
        <w:tc>
          <w:tcPr>
            <w:tcW w:w="32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3,027,974</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10.07</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(657,902 )</w:t>
            </w:r>
          </w:p>
        </w:tc>
        <w:tc>
          <w:tcPr>
            <w:tcW w:w="14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FF0FC"/>
          </w:tcPr>
          <w:p>
            <w:pPr>
              <w:spacing w:after="0"/>
              <w:rPr>
                <w:sz w:val="22"/>
                <w:szCs w:val="22"/>
                <w:color w:val="auto"/>
              </w:rPr>
            </w:pPr>
          </w:p>
        </w:tc>
        <w:tc>
          <w:tcPr>
            <w:tcW w:w="15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240" w:type="dxa"/>
            <w:vAlign w:val="bottom"/>
          </w:tcPr>
          <w:p>
            <w:pPr>
              <w:ind w:left="180"/>
              <w:spacing w:after="0"/>
              <w:rPr>
                <w:sz w:val="20"/>
                <w:szCs w:val="20"/>
                <w:color w:val="auto"/>
              </w:rPr>
            </w:pPr>
            <w:r>
              <w:rPr>
                <w:rFonts w:ascii="Arial" w:cs="Arial" w:eastAsia="Arial" w:hAnsi="Arial"/>
                <w:sz w:val="18"/>
                <w:szCs w:val="18"/>
                <w:color w:val="auto"/>
              </w:rPr>
              <w:t>Settled</w:t>
            </w:r>
          </w:p>
        </w:tc>
        <w:tc>
          <w:tcPr>
            <w:tcW w:w="1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32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Expired/Forfeited</w:t>
            </w: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(832,960 )</w:t>
            </w: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10.33</w:t>
            </w:r>
          </w:p>
        </w:tc>
        <w:tc>
          <w:tcPr>
            <w:tcW w:w="20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32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as of June 30, 2023</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12,149,343</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Borders>
              <w:top w:val="single" w:sz="8" w:color="CFF0FC"/>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41,642,102</w:t>
            </w:r>
          </w:p>
        </w:tc>
        <w:tc>
          <w:tcPr>
            <w:tcW w:w="100" w:type="dxa"/>
            <w:vAlign w:val="bottom"/>
            <w:tcBorders>
              <w:top w:val="single" w:sz="8" w:color="CFF0FC"/>
            </w:tcBorders>
          </w:tcPr>
          <w:p>
            <w:pPr>
              <w:spacing w:after="0"/>
              <w:rPr>
                <w:sz w:val="20"/>
                <w:szCs w:val="20"/>
                <w:color w:val="auto"/>
              </w:rPr>
            </w:pPr>
          </w:p>
        </w:tc>
      </w:tr>
      <w:tr>
        <w:trPr>
          <w:trHeight w:val="20"/>
        </w:trPr>
        <w:tc>
          <w:tcPr>
            <w:tcW w:w="3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as of June 30, 2023</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906,865</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7,683,858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-368300</wp:posOffset>
            </wp:positionV>
            <wp:extent cx="6858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-368300</wp:posOffset>
            </wp:positionV>
            <wp:extent cx="60325"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-368300</wp:posOffset>
            </wp:positionV>
            <wp:extent cx="6032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-368300</wp:posOffset>
            </wp:positionV>
            <wp:extent cx="60325"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-25400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-25400</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03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22"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Compensation expense equal to the grant date fair value is recognized for these awards over the vesting period and is included in compensation and benefits on our Consolidated Statements of Operations. The stock-based compensation expense was $8.1 million and $15.2 million for the three and six months ended June 30, 2023, respectively, and $2.7 million and $4.2 million for the three and six months ended June 30, 2022, respectively. Unrecognized stock-based compensation expense related to outstanding unvested stock options as of June 30, 2023 was $7.1 million and is expected to be recognized over a weighted average period of 3.39 years. Any future forfeitures will impact this amount.</w:t>
      </w:r>
    </w:p>
    <w:p>
      <w:pPr>
        <w:spacing w:after="0" w:line="244"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weighted average assumptions used in calculating the fair value of stock options granted during the six months ended June 30, 2023 and June 30, 2022 were as follows:</w:t>
      </w:r>
    </w:p>
    <w:p>
      <w:pPr>
        <w:spacing w:after="0" w:line="175" w:lineRule="exact"/>
        <w:rPr>
          <w:sz w:val="20"/>
          <w:szCs w:val="20"/>
          <w:color w:val="auto"/>
        </w:rPr>
      </w:pPr>
    </w:p>
    <w:tbl>
      <w:tblPr>
        <w:tblLayout w:type="fixed"/>
        <w:tblInd w:w="182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5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6"/>
              </w:rPr>
              <w:t>For the Six Months Ended June 30,</w:t>
            </w:r>
          </w:p>
        </w:tc>
      </w:tr>
      <w:tr>
        <w:trPr>
          <w:trHeight w:val="169"/>
        </w:trPr>
        <w:tc>
          <w:tcPr>
            <w:tcW w:w="52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 (yrs)</w:t>
            </w:r>
          </w:p>
        </w:tc>
        <w:tc>
          <w:tcPr>
            <w:tcW w:w="180" w:type="dxa"/>
            <w:vAlign w:val="bottom"/>
            <w:shd w:val="clear" w:color="auto" w:fill="CFF0FC"/>
          </w:tcPr>
          <w:p>
            <w:pPr>
              <w:spacing w:after="0"/>
              <w:rPr>
                <w:sz w:val="20"/>
                <w:szCs w:val="20"/>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 (yrs)</w:t>
            </w:r>
          </w:p>
        </w:tc>
        <w:tc>
          <w:tcPr>
            <w:tcW w:w="100" w:type="dxa"/>
            <w:vAlign w:val="bottom"/>
          </w:tcPr>
          <w:p>
            <w:pPr>
              <w:spacing w:after="0"/>
              <w:rPr>
                <w:sz w:val="20"/>
                <w:szCs w:val="20"/>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Expected volatility</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38.60 %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35.40 %</w:t>
            </w:r>
          </w:p>
        </w:tc>
      </w:tr>
      <w:tr>
        <w:trPr>
          <w:trHeight w:val="242"/>
        </w:trPr>
        <w:tc>
          <w:tcPr>
            <w:tcW w:w="5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4.07 %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1.98 %</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1.20 %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-299720</wp:posOffset>
            </wp:positionV>
            <wp:extent cx="484314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43145" cy="154305"/>
                    </a:xfrm>
                    <a:prstGeom prst="rect">
                      <a:avLst/>
                    </a:prstGeom>
                    <a:noFill/>
                  </pic:spPr>
                </pic:pic>
              </a:graphicData>
            </a:graphic>
          </wp:anchor>
        </w:drawing>
      </w:r>
    </w:p>
    <w:p>
      <w:pPr>
        <w:spacing w:after="0" w:line="195"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Company has granted restricted stock awards ("RSAs") to certain employees. Holders of RSAs have no voting rights and accrue dividends until vesting with payment being made once they vest. All of the shares currently vest one year from the grant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900" w:type="dxa"/>
            <w:vAlign w:val="bottom"/>
          </w:tcPr>
          <w:p>
            <w:pPr>
              <w:jc w:val="center"/>
              <w:ind w:left="688"/>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jc w:val="right"/>
              <w:ind w:right="435"/>
              <w:spacing w:after="0"/>
              <w:rPr>
                <w:sz w:val="20"/>
                <w:szCs w:val="20"/>
                <w:color w:val="auto"/>
              </w:rPr>
            </w:pPr>
            <w:r>
              <w:rPr>
                <w:rFonts w:ascii="Arial" w:cs="Arial" w:eastAsia="Arial" w:hAnsi="Arial"/>
                <w:sz w:val="14"/>
                <w:szCs w:val="14"/>
                <w:b w:val="1"/>
                <w:bCs w:val="1"/>
                <w:color w:val="auto"/>
              </w:rPr>
              <w:t>Weighted-Average Grant</w:t>
            </w:r>
          </w:p>
        </w:tc>
        <w:tc>
          <w:tcPr>
            <w:tcW w:w="100" w:type="dxa"/>
            <w:vAlign w:val="bottom"/>
          </w:tcPr>
          <w:p>
            <w:pPr>
              <w:spacing w:after="0"/>
              <w:rPr>
                <w:sz w:val="15"/>
                <w:szCs w:val="15"/>
                <w:color w:val="auto"/>
              </w:rPr>
            </w:pPr>
          </w:p>
        </w:tc>
      </w:tr>
      <w:tr>
        <w:trPr>
          <w:trHeight w:val="185"/>
        </w:trPr>
        <w:tc>
          <w:tcPr>
            <w:tcW w:w="5540" w:type="dxa"/>
            <w:vAlign w:val="bottom"/>
          </w:tcPr>
          <w:p>
            <w:pPr>
              <w:spacing w:after="0"/>
              <w:rPr>
                <w:sz w:val="16"/>
                <w:szCs w:val="16"/>
                <w:color w:val="auto"/>
              </w:rPr>
            </w:pPr>
          </w:p>
        </w:tc>
        <w:tc>
          <w:tcPr>
            <w:tcW w:w="190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b w:val="1"/>
                <w:bCs w:val="1"/>
                <w:color w:val="auto"/>
                <w:w w:val="90"/>
              </w:rPr>
              <w:t>RSAs</w:t>
            </w:r>
          </w:p>
        </w:tc>
        <w:tc>
          <w:tcPr>
            <w:tcW w:w="7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Date Fair Value Per RSA</w:t>
            </w:r>
          </w:p>
        </w:tc>
        <w:tc>
          <w:tcPr>
            <w:tcW w:w="100" w:type="dxa"/>
            <w:vAlign w:val="bottom"/>
          </w:tcPr>
          <w:p>
            <w:pPr>
              <w:spacing w:after="0"/>
              <w:rPr>
                <w:sz w:val="16"/>
                <w:szCs w:val="16"/>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8"/>
                <w:szCs w:val="18"/>
                <w:color w:val="auto"/>
              </w:rPr>
              <w:t>Outstanding as of December 31, 2022</w:t>
            </w:r>
          </w:p>
        </w:tc>
        <w:tc>
          <w:tcPr>
            <w:tcW w:w="19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33,346</w:t>
            </w:r>
          </w:p>
        </w:tc>
        <w:tc>
          <w:tcPr>
            <w:tcW w:w="3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226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0"/>
                <w:szCs w:val="20"/>
                <w:color w:val="auto"/>
              </w:rPr>
            </w:pPr>
          </w:p>
        </w:tc>
      </w:tr>
      <w:tr>
        <w:trPr>
          <w:trHeight w:val="249"/>
        </w:trPr>
        <w:tc>
          <w:tcPr>
            <w:tcW w:w="74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Granted</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gridSpan w:val="2"/>
          </w:tcPr>
          <w:p>
            <w:pPr>
              <w:ind w:left="200"/>
              <w:spacing w:after="0"/>
              <w:rPr>
                <w:sz w:val="20"/>
                <w:szCs w:val="20"/>
                <w:color w:val="auto"/>
              </w:rPr>
            </w:pPr>
            <w:r>
              <w:rPr>
                <w:rFonts w:ascii="Arial" w:cs="Arial" w:eastAsia="Arial" w:hAnsi="Arial"/>
                <w:sz w:val="18"/>
                <w:szCs w:val="18"/>
                <w:color w:val="auto"/>
              </w:rPr>
              <w:t>Vested</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5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2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Outstanding as of June 30, 2023</w:t>
            </w:r>
          </w:p>
        </w:tc>
        <w:tc>
          <w:tcPr>
            <w:tcW w:w="19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33,346</w:t>
            </w:r>
          </w:p>
        </w:tc>
        <w:tc>
          <w:tcPr>
            <w:tcW w:w="38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0"/>
                <w:szCs w:val="20"/>
                <w:color w:val="auto"/>
              </w:rPr>
            </w:pPr>
          </w:p>
        </w:tc>
      </w:tr>
      <w:tr>
        <w:trPr>
          <w:trHeight w:val="20"/>
        </w:trPr>
        <w:tc>
          <w:tcPr>
            <w:tcW w:w="55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7440" w:type="dxa"/>
            <w:vAlign w:val="bottom"/>
            <w:gridSpan w:val="2"/>
          </w:tcPr>
          <w:p>
            <w:pPr>
              <w:ind w:left="5540"/>
              <w:spacing w:after="0"/>
              <w:rPr>
                <w:sz w:val="20"/>
                <w:szCs w:val="20"/>
                <w:color w:val="auto"/>
              </w:rPr>
            </w:pPr>
            <w:r>
              <w:rPr>
                <w:rFonts w:ascii="Arial" w:cs="Arial" w:eastAsia="Arial" w:hAnsi="Arial"/>
                <w:sz w:val="18"/>
                <w:szCs w:val="18"/>
                <w:color w:val="auto"/>
              </w:rPr>
              <w:t>26</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
        </w:trPr>
        <w:tc>
          <w:tcPr>
            <w:tcW w:w="554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-539115</wp:posOffset>
            </wp:positionV>
            <wp:extent cx="68580" cy="1885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-539115</wp:posOffset>
            </wp:positionV>
            <wp:extent cx="6858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11" w:lineRule="exact"/>
        <w:rPr>
          <w:sz w:val="20"/>
          <w:szCs w:val="20"/>
          <w:color w:val="auto"/>
        </w:rPr>
      </w:pPr>
    </w:p>
    <w:p>
      <w:pPr>
        <w:ind w:right="320" w:firstLine="509"/>
        <w:spacing w:after="0" w:line="263" w:lineRule="auto"/>
        <w:rPr>
          <w:sz w:val="20"/>
          <w:szCs w:val="20"/>
          <w:color w:val="auto"/>
        </w:rPr>
      </w:pPr>
      <w:r>
        <w:rPr>
          <w:rFonts w:ascii="Arial" w:cs="Arial" w:eastAsia="Arial" w:hAnsi="Arial"/>
          <w:sz w:val="18"/>
          <w:szCs w:val="18"/>
          <w:color w:val="auto"/>
        </w:rPr>
        <w:t>The Company has granted restricted stock units ("RSUs") to certain employees. Holders of RSUs have no voting rights and are not eligible to receive dividends or other distributions paid with respect to any RSUs that have not vested. All of the shares currently vest one year from the grant date excluding the restricted stock units at Hark and Bonaccord which are discussed in more detail below.</w:t>
      </w:r>
    </w:p>
    <w:p>
      <w:pPr>
        <w:spacing w:after="0" w:line="184"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At the time of the Bonaccord acquisition, the Company entered into a Notice of Restricted Stock Units with certain employees of Bonaccord for grants of Restricted Stock Units ("Bonaccord Units") to be allocated to employees at a later date for meeting certain performance metrics. The Bonaccord Units may not be transferred, sold, pledged, exchanged, assigned or otherwise encumbered or disposed of by any grantee until it has become vested. On August 16, 2022, allocations were finalized pursuant to which an aggregate a value of $17.5 million of units may vest at each future achievement of performance metrics. As of June 30, 2023, certain performance metrics have been met and 348,931 units have been issued to specific employees. The Company evaluates whether it is probable that the Bonaccord Units will vest and applies the tranche method to determine the amount of expense to recognized during the period. An expense of $1.6 million and $5.2 million has been recorded for the three and six months ended June 30, 2023, respectively, on the Consolidated Statements of Operations. The unrecognized expense associated with the Bonaccord Units was $5.3 million as of June 30, 2023.</w:t>
      </w:r>
    </w:p>
    <w:p>
      <w:pPr>
        <w:spacing w:after="0" w:line="196"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At the time of the Hark acquisition, the Company entered into a Notice of Restricted Stock Units with an employee, which grants Restricted Stock Units ("Hark Units") for meeting a certain performance metric. The Hark Units may not be transferred, sold, pledged, exchanged, assigned or otherwise encumbered or disposed of by any grantee until they have become vested. As of June 30, 2023, all Hark Units have vested and been issued. An expense of $0.3 million has been recorded for the three and six months ended June 30, 2023 on the Consolidated Statements of Operations.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below table does not include Bonaccord or Hark Units that were issued outside of the Plan, that have not vested and are recorded as a liability.</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40" w:type="dxa"/>
            <w:vAlign w:val="bottom"/>
          </w:tcPr>
          <w:p>
            <w:pPr>
              <w:spacing w:after="0"/>
              <w:rPr>
                <w:sz w:val="15"/>
                <w:szCs w:val="15"/>
                <w:color w:val="auto"/>
              </w:rPr>
            </w:pPr>
          </w:p>
        </w:tc>
        <w:tc>
          <w:tcPr>
            <w:tcW w:w="1780" w:type="dxa"/>
            <w:vAlign w:val="bottom"/>
          </w:tcPr>
          <w:p>
            <w:pPr>
              <w:jc w:val="center"/>
              <w:ind w:left="808"/>
              <w:spacing w:after="0"/>
              <w:rPr>
                <w:sz w:val="20"/>
                <w:szCs w:val="20"/>
                <w:color w:val="auto"/>
              </w:rPr>
            </w:pPr>
            <w:r>
              <w:rPr>
                <w:rFonts w:ascii="Arial" w:cs="Arial" w:eastAsia="Arial" w:hAnsi="Arial"/>
                <w:sz w:val="14"/>
                <w:szCs w:val="14"/>
                <w:b w:val="1"/>
                <w:bCs w:val="1"/>
                <w:color w:val="auto"/>
                <w:w w:val="94"/>
              </w:rPr>
              <w:t>Number of</w:t>
            </w: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60" w:type="dxa"/>
            <w:vAlign w:val="bottom"/>
          </w:tcPr>
          <w:p>
            <w:pPr>
              <w:jc w:val="right"/>
              <w:ind w:right="435"/>
              <w:spacing w:after="0"/>
              <w:rPr>
                <w:sz w:val="20"/>
                <w:szCs w:val="20"/>
                <w:color w:val="auto"/>
              </w:rPr>
            </w:pPr>
            <w:r>
              <w:rPr>
                <w:rFonts w:ascii="Arial" w:cs="Arial" w:eastAsia="Arial" w:hAnsi="Arial"/>
                <w:sz w:val="14"/>
                <w:szCs w:val="14"/>
                <w:b w:val="1"/>
                <w:bCs w:val="1"/>
                <w:color w:val="auto"/>
              </w:rPr>
              <w:t>Weighted-Average Grant</w:t>
            </w:r>
          </w:p>
        </w:tc>
        <w:tc>
          <w:tcPr>
            <w:tcW w:w="100" w:type="dxa"/>
            <w:vAlign w:val="bottom"/>
          </w:tcPr>
          <w:p>
            <w:pPr>
              <w:spacing w:after="0"/>
              <w:rPr>
                <w:sz w:val="15"/>
                <w:szCs w:val="15"/>
                <w:color w:val="auto"/>
              </w:rPr>
            </w:pPr>
          </w:p>
        </w:tc>
      </w:tr>
      <w:tr>
        <w:trPr>
          <w:trHeight w:val="185"/>
        </w:trPr>
        <w:tc>
          <w:tcPr>
            <w:tcW w:w="5540" w:type="dxa"/>
            <w:vAlign w:val="bottom"/>
          </w:tcPr>
          <w:p>
            <w:pPr>
              <w:spacing w:after="0"/>
              <w:rPr>
                <w:sz w:val="16"/>
                <w:szCs w:val="16"/>
                <w:color w:val="auto"/>
              </w:rPr>
            </w:pPr>
          </w:p>
        </w:tc>
        <w:tc>
          <w:tcPr>
            <w:tcW w:w="1780" w:type="dxa"/>
            <w:vAlign w:val="bottom"/>
            <w:tcBorders>
              <w:bottom w:val="single" w:sz="8" w:color="auto"/>
            </w:tcBorders>
          </w:tcPr>
          <w:p>
            <w:pPr>
              <w:jc w:val="center"/>
              <w:ind w:left="808"/>
              <w:spacing w:after="0"/>
              <w:rPr>
                <w:sz w:val="20"/>
                <w:szCs w:val="20"/>
                <w:color w:val="auto"/>
              </w:rPr>
            </w:pPr>
            <w:r>
              <w:rPr>
                <w:rFonts w:ascii="Arial" w:cs="Arial" w:eastAsia="Arial" w:hAnsi="Arial"/>
                <w:sz w:val="14"/>
                <w:szCs w:val="14"/>
                <w:b w:val="1"/>
                <w:bCs w:val="1"/>
                <w:color w:val="auto"/>
                <w:w w:val="90"/>
              </w:rPr>
              <w:t>RSUs</w:t>
            </w:r>
          </w:p>
        </w:tc>
        <w:tc>
          <w:tcPr>
            <w:tcW w:w="8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Date Fair Value Per RSU</w:t>
            </w:r>
          </w:p>
        </w:tc>
        <w:tc>
          <w:tcPr>
            <w:tcW w:w="100" w:type="dxa"/>
            <w:vAlign w:val="bottom"/>
          </w:tcPr>
          <w:p>
            <w:pPr>
              <w:spacing w:after="0"/>
              <w:rPr>
                <w:sz w:val="16"/>
                <w:szCs w:val="16"/>
                <w:color w:val="auto"/>
              </w:rPr>
            </w:pPr>
          </w:p>
        </w:tc>
      </w:tr>
      <w:tr>
        <w:trPr>
          <w:trHeight w:val="236"/>
        </w:trPr>
        <w:tc>
          <w:tcPr>
            <w:tcW w:w="5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2022</w:t>
            </w:r>
          </w:p>
        </w:tc>
        <w:tc>
          <w:tcPr>
            <w:tcW w:w="17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508,135</w:t>
            </w:r>
          </w:p>
        </w:tc>
        <w:tc>
          <w:tcPr>
            <w:tcW w:w="3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CFF0FC"/>
          </w:tcPr>
          <w:p>
            <w:pPr>
              <w:spacing w:after="0"/>
              <w:rPr>
                <w:sz w:val="20"/>
                <w:szCs w:val="20"/>
                <w:color w:val="auto"/>
              </w:rPr>
            </w:pPr>
          </w:p>
        </w:tc>
      </w:tr>
      <w:tr>
        <w:trPr>
          <w:trHeight w:val="237"/>
        </w:trPr>
        <w:tc>
          <w:tcPr>
            <w:tcW w:w="732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1,273,209</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0"/>
                <w:szCs w:val="20"/>
                <w:color w:val="auto"/>
              </w:rPr>
            </w:pPr>
          </w:p>
        </w:tc>
      </w:tr>
      <w:tr>
        <w:trPr>
          <w:trHeight w:val="249"/>
        </w:trPr>
        <w:tc>
          <w:tcPr>
            <w:tcW w:w="73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(875,001 )</w:t>
            </w:r>
          </w:p>
        </w:tc>
        <w:tc>
          <w:tcPr>
            <w:tcW w:w="320" w:type="dxa"/>
            <w:vAlign w:val="bottom"/>
            <w:shd w:val="clear" w:color="auto" w:fill="CFF0FC"/>
          </w:tcPr>
          <w:p>
            <w:pPr>
              <w:spacing w:after="0"/>
              <w:rPr>
                <w:sz w:val="21"/>
                <w:szCs w:val="21"/>
                <w:color w:val="auto"/>
              </w:rPr>
            </w:pPr>
          </w:p>
        </w:tc>
        <w:tc>
          <w:tcPr>
            <w:tcW w:w="2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FF0FC"/>
          </w:tcPr>
          <w:p>
            <w:pPr>
              <w:spacing w:after="0"/>
              <w:rPr>
                <w:sz w:val="21"/>
                <w:szCs w:val="21"/>
                <w:color w:val="auto"/>
              </w:rPr>
            </w:pPr>
          </w:p>
        </w:tc>
      </w:tr>
      <w:tr>
        <w:trPr>
          <w:trHeight w:val="243"/>
        </w:trPr>
        <w:tc>
          <w:tcPr>
            <w:tcW w:w="554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7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7"/>
        </w:trPr>
        <w:tc>
          <w:tcPr>
            <w:tcW w:w="5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June 30, 2023</w:t>
            </w:r>
          </w:p>
        </w:tc>
        <w:tc>
          <w:tcPr>
            <w:tcW w:w="178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906,343</w:t>
            </w:r>
          </w:p>
        </w:tc>
        <w:tc>
          <w:tcPr>
            <w:tcW w:w="3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3"/>
        </w:trPr>
        <w:tc>
          <w:tcPr>
            <w:tcW w:w="7320" w:type="dxa"/>
            <w:vAlign w:val="bottom"/>
            <w:gridSpan w:val="2"/>
          </w:tcPr>
          <w:p>
            <w:pPr>
              <w:ind w:left="5540"/>
              <w:spacing w:after="0"/>
              <w:rPr>
                <w:sz w:val="20"/>
                <w:szCs w:val="20"/>
                <w:color w:val="auto"/>
              </w:rPr>
            </w:pPr>
            <w:r>
              <w:rPr>
                <w:rFonts w:ascii="Arial" w:cs="Arial" w:eastAsia="Arial" w:hAnsi="Arial"/>
                <w:sz w:val="18"/>
                <w:szCs w:val="18"/>
                <w:color w:val="auto"/>
              </w:rPr>
              <w:t>27</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5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-385445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-367665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 except share and per share amounts)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For the three and six months ended June 30, 2023, diluted EPS reflects the potential dilution that could occur assuming that all units in P10 Intermediate that were granted as a result of the WTI acquisition are converted to shares of Class A common stock.</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the numerators and denominators used in the computation of basic and diluted EPS:</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For the Three Months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For the Six Months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4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100"/>
              <w:spacing w:after="0"/>
              <w:rPr>
                <w:sz w:val="20"/>
                <w:szCs w:val="20"/>
                <w:color w:val="auto"/>
              </w:rPr>
            </w:pPr>
            <w:r>
              <w:rPr>
                <w:rFonts w:ascii="Arial" w:cs="Arial" w:eastAsia="Arial" w:hAnsi="Arial"/>
                <w:sz w:val="18"/>
                <w:szCs w:val="18"/>
                <w:color w:val="auto"/>
              </w:rPr>
              <w:t>Numerator for basic calculation—Net income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Numerator for basic calculation—Net income</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attributable to P10</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64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11,154</w:t>
            </w:r>
          </w:p>
        </w:tc>
        <w:tc>
          <w:tcPr>
            <w:tcW w:w="5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w:t>
            </w:r>
          </w:p>
        </w:tc>
        <w:tc>
          <w:tcPr>
            <w:tcW w:w="5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color w:val="auto"/>
              </w:rPr>
              <w:t>Adjustment for:</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income attributable to noncontrolling interest in P10</w:t>
            </w:r>
          </w:p>
        </w:tc>
        <w:tc>
          <w:tcPr>
            <w:tcW w:w="2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Intermediate</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Numerator for earnings per share</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Numerator for earnings per share assuming</w:t>
            </w:r>
          </w:p>
        </w:tc>
        <w:tc>
          <w:tcPr>
            <w:tcW w:w="26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2,102</w:t>
            </w:r>
          </w:p>
        </w:tc>
        <w:tc>
          <w:tcPr>
            <w:tcW w:w="64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11,154</w:t>
            </w:r>
          </w:p>
        </w:tc>
        <w:tc>
          <w:tcPr>
            <w:tcW w:w="520" w:type="dxa"/>
            <w:vAlign w:val="bottom"/>
            <w:gridSpan w:val="2"/>
            <w:vMerge w:val="restart"/>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580" w:type="dxa"/>
            <w:vAlign w:val="bottom"/>
            <w:gridSpan w:val="2"/>
            <w:vMerge w:val="restart"/>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18,946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00" w:type="dxa"/>
            <w:vAlign w:val="bottom"/>
            <w:shd w:val="clear" w:color="auto" w:fill="CFF0FC"/>
          </w:tcPr>
          <w:p>
            <w:pPr>
              <w:ind w:left="320"/>
              <w:spacing w:after="0" w:line="203" w:lineRule="exact"/>
              <w:rPr>
                <w:sz w:val="20"/>
                <w:szCs w:val="20"/>
                <w:color w:val="auto"/>
              </w:rPr>
            </w:pPr>
            <w:r>
              <w:rPr>
                <w:rFonts w:ascii="Arial" w:cs="Arial" w:eastAsia="Arial" w:hAnsi="Arial"/>
                <w:sz w:val="18"/>
                <w:szCs w:val="18"/>
                <w:color w:val="auto"/>
              </w:rPr>
              <w:t>dilution</w:t>
            </w:r>
          </w:p>
        </w:tc>
        <w:tc>
          <w:tcPr>
            <w:tcW w:w="260" w:type="dxa"/>
            <w:vAlign w:val="bottom"/>
            <w:vMerge w:val="continue"/>
            <w:shd w:val="clear" w:color="auto" w:fill="CFF0FC"/>
          </w:tcPr>
          <w:p>
            <w:pPr>
              <w:spacing w:after="0"/>
              <w:rPr>
                <w:sz w:val="21"/>
                <w:szCs w:val="21"/>
                <w:color w:val="auto"/>
              </w:rPr>
            </w:pPr>
          </w:p>
        </w:tc>
        <w:tc>
          <w:tcPr>
            <w:tcW w:w="860" w:type="dxa"/>
            <w:vAlign w:val="bottom"/>
            <w:vMerge w:val="continue"/>
            <w:shd w:val="clear" w:color="auto" w:fill="CFF0FC"/>
          </w:tcPr>
          <w:p>
            <w:pPr>
              <w:spacing w:after="0"/>
              <w:rPr>
                <w:sz w:val="21"/>
                <w:szCs w:val="21"/>
                <w:color w:val="auto"/>
              </w:rPr>
            </w:pPr>
          </w:p>
        </w:tc>
        <w:tc>
          <w:tcPr>
            <w:tcW w:w="640" w:type="dxa"/>
            <w:vAlign w:val="bottom"/>
            <w:gridSpan w:val="2"/>
            <w:vMerge w:val="continue"/>
            <w:shd w:val="clear" w:color="auto" w:fill="CFF0FC"/>
          </w:tcPr>
          <w:p>
            <w:pPr>
              <w:spacing w:after="0"/>
              <w:rPr>
                <w:sz w:val="21"/>
                <w:szCs w:val="21"/>
                <w:color w:val="auto"/>
              </w:rPr>
            </w:pPr>
          </w:p>
        </w:tc>
        <w:tc>
          <w:tcPr>
            <w:tcW w:w="720" w:type="dxa"/>
            <w:vAlign w:val="bottom"/>
            <w:vMerge w:val="continue"/>
            <w:shd w:val="clear" w:color="auto" w:fill="CFF0FC"/>
          </w:tcPr>
          <w:p>
            <w:pPr>
              <w:spacing w:after="0"/>
              <w:rPr>
                <w:sz w:val="21"/>
                <w:szCs w:val="21"/>
                <w:color w:val="auto"/>
              </w:rPr>
            </w:pPr>
          </w:p>
        </w:tc>
        <w:tc>
          <w:tcPr>
            <w:tcW w:w="520" w:type="dxa"/>
            <w:vAlign w:val="bottom"/>
            <w:gridSpan w:val="2"/>
            <w:vMerge w:val="continue"/>
            <w:shd w:val="clear" w:color="auto" w:fill="CFF0FC"/>
          </w:tcPr>
          <w:p>
            <w:pPr>
              <w:spacing w:after="0"/>
              <w:rPr>
                <w:sz w:val="21"/>
                <w:szCs w:val="21"/>
                <w:color w:val="auto"/>
              </w:rPr>
            </w:pPr>
          </w:p>
        </w:tc>
        <w:tc>
          <w:tcPr>
            <w:tcW w:w="860" w:type="dxa"/>
            <w:vAlign w:val="bottom"/>
            <w:vMerge w:val="continue"/>
            <w:shd w:val="clear" w:color="auto" w:fill="CFF0FC"/>
          </w:tcPr>
          <w:p>
            <w:pPr>
              <w:spacing w:after="0"/>
              <w:rPr>
                <w:sz w:val="21"/>
                <w:szCs w:val="21"/>
                <w:color w:val="auto"/>
              </w:rPr>
            </w:pPr>
          </w:p>
        </w:tc>
        <w:tc>
          <w:tcPr>
            <w:tcW w:w="580" w:type="dxa"/>
            <w:vAlign w:val="bottom"/>
            <w:gridSpan w:val="2"/>
            <w:vMerge w:val="continue"/>
            <w:shd w:val="clear" w:color="auto" w:fill="CFF0FC"/>
          </w:tcPr>
          <w:p>
            <w:pPr>
              <w:spacing w:after="0"/>
              <w:rPr>
                <w:sz w:val="21"/>
                <w:szCs w:val="21"/>
                <w:color w:val="auto"/>
              </w:rPr>
            </w:pPr>
          </w:p>
        </w:tc>
        <w:tc>
          <w:tcPr>
            <w:tcW w:w="72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54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Denominator:</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Denominator for basic calculation—Weighted-</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54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average shares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116,168</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117,193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116,063</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117,193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400" w:type="dxa"/>
            <w:vAlign w:val="bottom"/>
          </w:tcPr>
          <w:p>
            <w:pPr>
              <w:ind w:left="180"/>
              <w:spacing w:after="0"/>
              <w:rPr>
                <w:sz w:val="20"/>
                <w:szCs w:val="20"/>
                <w:color w:val="auto"/>
              </w:rPr>
            </w:pPr>
            <w:r>
              <w:rPr>
                <w:rFonts w:ascii="Arial" w:cs="Arial" w:eastAsia="Arial" w:hAnsi="Arial"/>
                <w:sz w:val="18"/>
                <w:szCs w:val="18"/>
                <w:color w:val="auto"/>
              </w:rPr>
              <w:t>Weighted shares assumed upon exercise of partnership units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3,917</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3,917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Weighted shares assumed upon exercise of stock</w:t>
            </w:r>
          </w:p>
        </w:tc>
        <w:tc>
          <w:tcPr>
            <w:tcW w:w="2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3,789</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3,788</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4,066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Borders>
              <w:bottom w:val="single" w:sz="8" w:color="CFF0FC"/>
            </w:tcBorders>
            <w:shd w:val="clear" w:color="auto" w:fill="CFF0FC"/>
          </w:tcPr>
          <w:p>
            <w:pPr>
              <w:ind w:left="320"/>
              <w:spacing w:after="0"/>
              <w:rPr>
                <w:sz w:val="20"/>
                <w:szCs w:val="20"/>
                <w:color w:val="auto"/>
              </w:rPr>
            </w:pPr>
            <w:r>
              <w:rPr>
                <w:rFonts w:ascii="Arial" w:cs="Arial" w:eastAsia="Arial" w:hAnsi="Arial"/>
                <w:sz w:val="18"/>
                <w:szCs w:val="18"/>
                <w:color w:val="auto"/>
              </w:rPr>
              <w:t>options</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Denominator for earnings per share assuming dilution</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123,874</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120,981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123,918</w:t>
            </w: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Earnings per share—basic</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40" w:type="dxa"/>
            <w:vAlign w:val="bottom"/>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Earnings per share—diluted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6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0.09</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c>
          <w:tcPr>
            <w:tcW w:w="5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-1825625</wp:posOffset>
            </wp:positionV>
            <wp:extent cx="6858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-1825625</wp:posOffset>
            </wp:positionV>
            <wp:extent cx="6858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-1825625</wp:posOffset>
            </wp:positionV>
            <wp:extent cx="60325"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-1825625</wp:posOffset>
            </wp:positionV>
            <wp:extent cx="60325" cy="1631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-1397000</wp:posOffset>
            </wp:positionV>
            <wp:extent cx="2623185" cy="1797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23185" cy="17970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-488315</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-488315</wp:posOffset>
            </wp:positionV>
            <wp:extent cx="685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-488315</wp:posOffset>
            </wp:positionV>
            <wp:extent cx="60325" cy="1885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6897370</wp:posOffset>
            </wp:positionH>
            <wp:positionV relativeFrom="paragraph">
              <wp:posOffset>-488315</wp:posOffset>
            </wp:positionV>
            <wp:extent cx="60325"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94"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 computations of diluted earnings per share on a weighted average basis excluded 5.2 million and 4.0 million options for the three and six months ended June 30, 2023, respectively, and 1.4 million and 1.0 million options for the three and six months ended June 30, 2022, because the options were anti-dilutive.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229"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The Board of Directors of the Company has declared a quarterly cash dividend of $0.0325 per share of Class A and Class B common stock, payable on September 20, 2023, to the holders of record as of the close of business on August 31, 2023.</w:t>
      </w:r>
    </w:p>
    <w:p>
      <w:pPr>
        <w:spacing w:after="0" w:line="170"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 xml:space="preserve">In accordance with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the Company evaluated all material events or transactions that occurred after June 30, 2023, the Consolidated Balance Sheet date, through the date the Consolidated Financial Statements were issued, and determined there have been no additional events or transactions that would materially impact the Consolidated Financial Statements.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Our historical results discussed below, and the way we evaluate our results, may differ significantly from the descriptions of our business and key metrics used elsewhere in this quarterly report on Form 10-Q due to the effects of acquisitions which occurred during the year ended December 31, 2022, but may not have had a material impact on our statements of operations due to the limited period of time which they were included in our consolidated results.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10-Q, and in our annual report on Form 10-K for the year ended December 31, 2022, particularly in "Risk Factors" and the "Forward-Looking Information." Unless otherwise indicated, references in this Quarterly Report on Form 10-Q to fiscal 2023 and 2022 are to our fiscal years ended December 31, 2023 and 2022, respectively.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95"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On October 13, 2022, we completed the acquisition of WTI that again further expanded on solutions available to our investors by entering into the venture debt space. The effect of this acquisition is reflected in our Consolidated Balance Sheet at December 31, 2022 and Consolidated Statement of Operations beginning with the period from October 13, 2022 to December 31, 2022 and forward. The acquisition was accounted for as a business combination and WTI is reported as a consolidated subsidiary of P10.</w:t>
      </w:r>
    </w:p>
    <w:p>
      <w:pPr>
        <w:spacing w:after="0" w:line="187"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During 2022, the Board approved a program to repurchase up to $40.0 million of outstanding shares of our Class A and Class B common stock. These shares may be repurchased from time to time in the open market at prevailing market prices, in privately negotiated transactions, in block trades, in accordance with Rule 10b5-1 trading plans and/or through other legally permissible means. The timing and amount of any repurchases pursuant to the program will depend on various factors including, the market price of our Class A Common Stock, trading volume, ongoing assessment of our working capital needs, general market conditions, and other factors. As of June 30, 2023, $21.1 million has been used to buy back shares under this program.</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our private market solutions were comprised of the following:</w:t>
      </w:r>
    </w:p>
    <w:p>
      <w:pPr>
        <w:spacing w:after="0" w:line="117" w:lineRule="exact"/>
        <w:rPr>
          <w:sz w:val="20"/>
          <w:szCs w:val="20"/>
          <w:color w:val="auto"/>
        </w:rPr>
      </w:pPr>
    </w:p>
    <w:p>
      <w:pPr>
        <w:ind w:left="1020" w:right="20" w:hanging="503"/>
        <w:spacing w:after="0" w:line="288" w:lineRule="auto"/>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Private Equity Solutions (PES)</w:t>
      </w:r>
      <w:r>
        <w:rPr>
          <w:rFonts w:ascii="Arial" w:cs="Arial" w:eastAsia="Arial" w:hAnsi="Arial"/>
          <w:sz w:val="16"/>
          <w:szCs w:val="16"/>
          <w:color w:val="auto"/>
        </w:rPr>
        <w:t>. Under PES, we make direct and indirect investments in middle and lower- middle market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across North America. PES also makes minority equity investments in a diversified portfolio of mid-sized managers across private equity, private credit, real estate and real assets. The PES investment team, which is comprised of 41 investment professionals with an average of 25+ years of experience, has deep and long-standing investor and fund manager relationships in the middle and lower-middle market which it has cultivated over the past 20 years, including over 1,900+ investors, 280+ fund managers, 750+ private market funds and 2,000+ portfolio companies. We have 53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4,900 investment firms, 9,800 funds, 44,000 individual transactions, 29,000 private companies and 276,000 financial metrics. As of June 30, 2023, PES managed $11.8 billion of FPAUM.</w:t>
      </w:r>
    </w:p>
    <w:p>
      <w:pPr>
        <w:spacing w:after="0" w:line="60" w:lineRule="exact"/>
        <w:rPr>
          <w:rFonts w:ascii="Arial" w:cs="Arial" w:eastAsia="Arial" w:hAnsi="Arial"/>
          <w:sz w:val="16"/>
          <w:szCs w:val="16"/>
          <w:color w:val="auto"/>
        </w:rPr>
      </w:pPr>
    </w:p>
    <w:p>
      <w:pPr>
        <w:ind w:left="1020" w:right="20" w:hanging="503"/>
        <w:spacing w:after="0" w:line="255"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Venture Capital Solutions (VCS). </w:t>
      </w:r>
      <w:r>
        <w:rPr>
          <w:rFonts w:ascii="Arial" w:cs="Arial" w:eastAsia="Arial" w:hAnsi="Arial"/>
          <w:sz w:val="18"/>
          <w:szCs w:val="18"/>
          <w:color w:val="auto"/>
        </w:rPr>
        <w:t>Under VCS, we make investments in venture capital funds across North America and specialize in targeting</w:t>
      </w:r>
      <w:r>
        <w:rPr>
          <w:rFonts w:ascii="Arial" w:cs="Arial" w:eastAsia="Arial" w:hAnsi="Arial"/>
          <w:sz w:val="18"/>
          <w:szCs w:val="18"/>
          <w:i w:val="1"/>
          <w:iCs w:val="1"/>
          <w:color w:val="auto"/>
        </w:rPr>
        <w:t xml:space="preserve"> </w:t>
      </w:r>
      <w:r>
        <w:rPr>
          <w:rFonts w:ascii="Arial" w:cs="Arial" w:eastAsia="Arial" w:hAnsi="Arial"/>
          <w:sz w:val="18"/>
          <w:szCs w:val="18"/>
          <w:color w:val="auto"/>
        </w:rPr>
        <w:t>high-performing, access-constrained opportunities. The VCS investment team, which is comprised of 11 investment professionals with an average of 23+ years of experience, has deep</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left="1020" w:right="60"/>
        <w:spacing w:after="0" w:line="296" w:lineRule="auto"/>
        <w:rPr>
          <w:sz w:val="20"/>
          <w:szCs w:val="20"/>
          <w:color w:val="auto"/>
        </w:rPr>
      </w:pPr>
      <w:r>
        <w:rPr>
          <w:rFonts w:ascii="Arial" w:cs="Arial" w:eastAsia="Arial" w:hAnsi="Arial"/>
          <w:sz w:val="16"/>
          <w:szCs w:val="16"/>
          <w:color w:val="auto"/>
        </w:rPr>
        <w:t>and long-standing investor and fund manager relationships in the venture market which it has cultivated over the past 14+ years, including over 1,000+ investors, 75+ fund managers, 81 direct investments, 340+ private market funds and 12,000+ portfolio companies. We have 19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June 30, 2023, VCS managed $5.8 billion of FPAUM.</w:t>
      </w:r>
    </w:p>
    <w:p>
      <w:pPr>
        <w:spacing w:after="0" w:line="53" w:lineRule="exact"/>
        <w:rPr>
          <w:sz w:val="20"/>
          <w:szCs w:val="20"/>
          <w:color w:val="auto"/>
        </w:rPr>
      </w:pPr>
    </w:p>
    <w:p>
      <w:pPr>
        <w:ind w:left="1020" w:hanging="503"/>
        <w:spacing w:after="0" w:line="288"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Impact Investing Solutions (IIS). </w:t>
      </w:r>
      <w:r>
        <w:rPr>
          <w:rFonts w:ascii="Arial" w:cs="Arial" w:eastAsia="Arial" w:hAnsi="Arial"/>
          <w:sz w:val="16"/>
          <w:szCs w:val="16"/>
          <w:color w:val="auto"/>
        </w:rPr>
        <w:t>Under IIS, we make equity, tax equity, and debt investments in impact initiatives across North America. IIS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targets investments in renewable energy development and historic building renovation projects, as well as providing capital to small businesses that are women or minority owned or operating in underserved communities. The IIS investment team, which is comprised of 15 investment professionals with an average of 23+ years of experience, has deep and long-standing relationships in the impact market which it has cultivated over the past 20 years, including deploying capital on behalf of over 110 investors. We currently have 34 active investment vehicles. We are differentiated in both the breadth of impact areas served, the type of capital deployed and the duration of our track record. From inception in 1999 through June 30, 2023, inclusive of proprietary assets and assets managed by affiliates, Enhanced Capital has raised a total of $5.7 billion. Of the total AUM, impact assets represent $3.5 billion invested in over 1,000 projects and businesses across 39 states, Washington DC, and Puerto Rico and does not include investments made by non-impact affiliates. Investments in solar assets have generated over 1.6 billion KWh of renewable energy from inception to December 31, 2022. As of June 30, 2023, IIS managed $1.9 billion of FPAUM</w:t>
      </w:r>
      <w:r>
        <w:rPr>
          <w:rFonts w:ascii="Arial" w:cs="Arial" w:eastAsia="Arial" w:hAnsi="Arial"/>
          <w:sz w:val="16"/>
          <w:szCs w:val="16"/>
          <w:i w:val="1"/>
          <w:iCs w:val="1"/>
          <w:color w:val="auto"/>
        </w:rPr>
        <w:t>.</w:t>
      </w:r>
    </w:p>
    <w:p>
      <w:pPr>
        <w:spacing w:after="0" w:line="60" w:lineRule="exact"/>
        <w:rPr>
          <w:rFonts w:ascii="Arial" w:cs="Arial" w:eastAsia="Arial" w:hAnsi="Arial"/>
          <w:sz w:val="16"/>
          <w:szCs w:val="16"/>
          <w:color w:val="auto"/>
        </w:rPr>
      </w:pPr>
    </w:p>
    <w:p>
      <w:pPr>
        <w:ind w:left="1020" w:right="220" w:hanging="503"/>
        <w:spacing w:after="0" w:line="269"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Private Credit Solutions (PCS).</w:t>
      </w:r>
      <w:r>
        <w:rPr>
          <w:rFonts w:ascii="Arial" w:cs="Arial" w:eastAsia="Arial" w:hAnsi="Arial"/>
          <w:sz w:val="17"/>
          <w:szCs w:val="17"/>
          <w:color w:val="auto"/>
        </w:rPr>
        <w:t>Under PCS, we primarily make debt investments across North America, targeting lower middle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37 investment professionals with an average of 24+ years of experience, has deep and long-standing relationships in the private credit market which it has cultivated over the past 22 years, including 300+ investors across 11 active investment vehicles and 1,600+ portfolio companies with $9.8+ billion capital deployed. Our PCS is differentiated by our relationship-driven sourcing approach providing capital solutions for growth-oriented companies. We are further synergistically strengthened by our PES network of fund managers, characterized by more than 690 credit opportunities annually. We currently maintain 50+ active sponsor relationships and have 45+ platform investments. As of June 30, 2023, PCS managed approximately $2.7 billion of FPAUM.</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Sources of Revenue</w:t>
      </w:r>
    </w:p>
    <w:p>
      <w:pPr>
        <w:spacing w:after="0" w:line="229"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76" w:lineRule="exact"/>
        <w:rPr>
          <w:sz w:val="20"/>
          <w:szCs w:val="20"/>
          <w:color w:val="auto"/>
        </w:rPr>
      </w:pPr>
    </w:p>
    <w:p>
      <w:pPr>
        <w:ind w:left="1020" w:right="140" w:hanging="503"/>
        <w:spacing w:after="0" w:line="290"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Primary Investment Funds. </w:t>
      </w:r>
      <w:r>
        <w:rPr>
          <w:rFonts w:ascii="Arial" w:cs="Arial" w:eastAsia="Arial" w:hAnsi="Arial"/>
          <w:sz w:val="16"/>
          <w:szCs w:val="16"/>
          <w:color w:val="auto"/>
        </w:rPr>
        <w:t>Primary investment funds refer to investment vehicles which target investments in new private markets funds,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$13.0 billion of our FPAUM as of June 30, 2023.</w:t>
      </w:r>
    </w:p>
    <w:p>
      <w:pPr>
        <w:spacing w:after="0" w:line="57" w:lineRule="exact"/>
        <w:rPr>
          <w:rFonts w:ascii="Arial" w:cs="Arial" w:eastAsia="Arial" w:hAnsi="Arial"/>
          <w:sz w:val="16"/>
          <w:szCs w:val="16"/>
          <w:color w:val="auto"/>
        </w:rPr>
      </w:pPr>
    </w:p>
    <w:p>
      <w:pPr>
        <w:ind w:left="1020" w:right="120" w:hanging="503"/>
        <w:spacing w:after="0" w:line="285"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Direct and Co-Investment Funds. </w:t>
      </w:r>
      <w:r>
        <w:rPr>
          <w:rFonts w:ascii="Arial" w:cs="Arial" w:eastAsia="Arial" w:hAnsi="Arial"/>
          <w:sz w:val="16"/>
          <w:szCs w:val="16"/>
          <w:color w:val="auto"/>
        </w:rPr>
        <w:t>Direct and co-investments involve acquiring an equity interest in or making a loan to an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w:t>
      </w:r>
    </w:p>
    <w:p>
      <w:pPr>
        <w:spacing w:after="0" w:line="2" w:lineRule="exact"/>
        <w:rPr>
          <w:sz w:val="20"/>
          <w:szCs w:val="20"/>
          <w:color w:val="auto"/>
        </w:rPr>
      </w:pPr>
    </w:p>
    <w:p>
      <w:pPr>
        <w:ind w:left="1020" w:right="480"/>
        <w:spacing w:after="0" w:line="250" w:lineRule="auto"/>
        <w:rPr>
          <w:sz w:val="20"/>
          <w:szCs w:val="20"/>
          <w:color w:val="auto"/>
        </w:rPr>
      </w:pPr>
      <w:r>
        <w:rPr>
          <w:rFonts w:ascii="Arial" w:cs="Arial" w:eastAsia="Arial" w:hAnsi="Arial"/>
          <w:sz w:val="18"/>
          <w:szCs w:val="18"/>
          <w:color w:val="auto"/>
        </w:rPr>
        <w:t>from investors based upon committed capital, with some funds receiving fees based on invested capital; capital commitments, typically average ten to fifteen years, though they may vary by fund. We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jc w:val="both"/>
        <w:ind w:left="1020" w:right="200"/>
        <w:spacing w:after="0" w:line="263" w:lineRule="auto"/>
        <w:rPr>
          <w:sz w:val="20"/>
          <w:szCs w:val="20"/>
          <w:color w:val="auto"/>
        </w:rPr>
      </w:pPr>
      <w:r>
        <w:rPr>
          <w:rFonts w:ascii="Arial" w:cs="Arial" w:eastAsia="Arial" w:hAnsi="Arial"/>
          <w:sz w:val="18"/>
          <w:szCs w:val="18"/>
          <w:color w:val="auto"/>
        </w:rPr>
        <w:t>offer direct and co-investment funds across our private equity, venture capital, impact investing and private credit solutions. Often, the fees are structured such that they step down, or decrease, over the life of the fund. Our direct investing platform comprises approximately $7.8 billion of our FPAUM as of June 30, 2023.</w:t>
      </w:r>
    </w:p>
    <w:p>
      <w:pPr>
        <w:spacing w:after="0" w:line="76" w:lineRule="exact"/>
        <w:rPr>
          <w:sz w:val="20"/>
          <w:szCs w:val="20"/>
          <w:color w:val="auto"/>
        </w:rPr>
      </w:pPr>
    </w:p>
    <w:p>
      <w:pPr>
        <w:ind w:left="1020" w:right="60" w:hanging="503"/>
        <w:spacing w:after="0" w:line="29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Secondaries. </w:t>
      </w:r>
      <w:r>
        <w:rPr>
          <w:rFonts w:ascii="Arial" w:cs="Arial" w:eastAsia="Arial" w:hAnsi="Arial"/>
          <w:sz w:val="16"/>
          <w:szCs w:val="16"/>
          <w:color w:val="auto"/>
        </w:rPr>
        <w:t>Secondaries refer to investments in existing private markets funds through the acquisition of an existing interest in a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$1.4 billion of our FPAUM as of June 30, 2023.</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Operating Segments</w:t>
      </w:r>
    </w:p>
    <w:p>
      <w:pPr>
        <w:spacing w:after="0" w:line="229"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We operate our business as a single operating segment, which is how our chief operating decision makers (our Co-Chief Executive Officers) evaluate financial performance and make decisions regarding the allocation of resources.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Affecting Our Business</w:t>
      </w:r>
    </w:p>
    <w:p>
      <w:pPr>
        <w:spacing w:after="0" w:line="229"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Our business is affected by a variety of factors, including conditions in the financial markets and economic and political conditions in the North American markets in which we operate, as well as changes in global economic conditions, and regulatory or other governmental policies or actions, which can materially affect the values of the funds our platforms manage, as well as our ability to effectively manage investments and attract capital. Despite rising interest rates and the global economy outlook remaining uncertain, we continue to see investors turning towards alternative investments to achieve consistent and higher yields with our contractually guaranteed fee rate.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continued growth of our business may be influenced by several factors, including the following market trends:</w:t>
      </w:r>
    </w:p>
    <w:p>
      <w:pPr>
        <w:spacing w:after="0" w:line="117" w:lineRule="exact"/>
        <w:rPr>
          <w:sz w:val="20"/>
          <w:szCs w:val="20"/>
          <w:color w:val="auto"/>
        </w:rPr>
      </w:pPr>
    </w:p>
    <w:p>
      <w:pPr>
        <w:ind w:left="1020" w:hanging="503"/>
        <w:spacing w:after="0" w:line="284"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Accelerating demand for private markets solutions. </w:t>
      </w:r>
      <w:r>
        <w:rPr>
          <w:rFonts w:ascii="Arial" w:cs="Arial" w:eastAsia="Arial" w:hAnsi="Arial"/>
          <w:sz w:val="16"/>
          <w:szCs w:val="16"/>
          <w:color w:val="auto"/>
        </w:rPr>
        <w:t>Our ability to attract new capital is dependent on investor demand for private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w:t>
      </w:r>
    </w:p>
    <w:p>
      <w:pPr>
        <w:spacing w:after="0" w:line="4" w:lineRule="exact"/>
        <w:rPr>
          <w:rFonts w:ascii="Arial" w:cs="Arial" w:eastAsia="Arial" w:hAnsi="Arial"/>
          <w:sz w:val="16"/>
          <w:szCs w:val="16"/>
          <w:color w:val="auto"/>
        </w:rPr>
      </w:pPr>
    </w:p>
    <w:p>
      <w:pPr>
        <w:ind w:left="1020" w:right="200"/>
        <w:spacing w:after="0" w:line="255" w:lineRule="auto"/>
        <w:rPr>
          <w:rFonts w:ascii="Arial" w:cs="Arial" w:eastAsia="Arial" w:hAnsi="Arial"/>
          <w:sz w:val="16"/>
          <w:szCs w:val="16"/>
          <w:color w:val="auto"/>
        </w:rPr>
      </w:pPr>
      <w:r>
        <w:rPr>
          <w:rFonts w:ascii="Arial" w:cs="Arial" w:eastAsia="Arial" w:hAnsi="Arial"/>
          <w:sz w:val="18"/>
          <w:szCs w:val="18"/>
          <w:color w:val="auto"/>
        </w:rPr>
        <w:t>(a) increasing long-term investor allocations towards private market asset classes, (b) legislation that allows retirement plans to add private equity vehicles as an investment option, and (c) the adoption of Environmental, Social, and Corporate Governance (“ESG”) and impact investing by the institutional and high net worth investor community.</w:t>
      </w:r>
    </w:p>
    <w:p>
      <w:pPr>
        <w:spacing w:after="0" w:line="81" w:lineRule="exact"/>
        <w:rPr>
          <w:rFonts w:ascii="Arial" w:cs="Arial" w:eastAsia="Arial" w:hAnsi="Arial"/>
          <w:sz w:val="16"/>
          <w:szCs w:val="16"/>
          <w:color w:val="auto"/>
        </w:rPr>
      </w:pPr>
    </w:p>
    <w:p>
      <w:pPr>
        <w:ind w:left="1020" w:right="40" w:hanging="503"/>
        <w:spacing w:after="0" w:line="269"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Favorable lower and lower-middle market dynamics, and data driven sourcing. </w:t>
      </w:r>
      <w:r>
        <w:rPr>
          <w:rFonts w:ascii="Arial" w:cs="Arial" w:eastAsia="Arial" w:hAnsi="Arial"/>
          <w:sz w:val="17"/>
          <w:szCs w:val="17"/>
          <w:color w:val="auto"/>
        </w:rPr>
        <w:t>We attribute our strong investment performance track record</w:t>
      </w:r>
      <w:r>
        <w:rPr>
          <w:rFonts w:ascii="Arial" w:cs="Arial" w:eastAsia="Arial" w:hAnsi="Arial"/>
          <w:sz w:val="17"/>
          <w:szCs w:val="17"/>
          <w:i w:val="1"/>
          <w:iCs w:val="1"/>
          <w:color w:val="auto"/>
        </w:rPr>
        <w:t xml:space="preserve"> </w:t>
      </w:r>
      <w:r>
        <w:rPr>
          <w:rFonts w:ascii="Arial" w:cs="Arial" w:eastAsia="Arial" w:hAnsi="Arial"/>
          <w:sz w:val="17"/>
          <w:szCs w:val="17"/>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construction, management, and monitoring and enable a portfolio grading system, as well as repository of investment evaluation scorecards. Our ability to maintain our data advantage is dependent on several factors, including our continued access to a broad set of private market information on an on-going basis.</w:t>
      </w:r>
    </w:p>
    <w:p>
      <w:pPr>
        <w:spacing w:after="0" w:line="70" w:lineRule="exact"/>
        <w:rPr>
          <w:rFonts w:ascii="Arial" w:cs="Arial" w:eastAsia="Arial" w:hAnsi="Arial"/>
          <w:sz w:val="17"/>
          <w:szCs w:val="17"/>
          <w:color w:val="auto"/>
        </w:rPr>
      </w:pPr>
    </w:p>
    <w:p>
      <w:pPr>
        <w:ind w:left="1020" w:right="100" w:hanging="503"/>
        <w:spacing w:after="0" w:line="291"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Expanding asset class solutions, broaden geographic reach and grow private markets network effect. </w:t>
      </w:r>
      <w:r>
        <w:rPr>
          <w:rFonts w:ascii="Arial" w:cs="Arial" w:eastAsia="Arial" w:hAnsi="Arial"/>
          <w:sz w:val="16"/>
          <w:szCs w:val="16"/>
          <w:color w:val="auto"/>
        </w:rPr>
        <w:t>Our ability to continue growing is</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our scalability and ability to maximize investor relationships. The purview of private markets has meaningfully broadened over</w:t>
      </w:r>
    </w:p>
    <w:p>
      <w:pPr>
        <w:ind w:left="1020"/>
        <w:spacing w:after="0"/>
        <w:rPr>
          <w:sz w:val="20"/>
          <w:szCs w:val="20"/>
          <w:color w:val="auto"/>
        </w:rPr>
      </w:pPr>
      <w:r>
        <w:rPr>
          <w:rFonts w:ascii="Arial" w:cs="Arial" w:eastAsia="Arial" w:hAnsi="Arial"/>
          <w:sz w:val="18"/>
          <w:szCs w:val="18"/>
          <w:color w:val="auto"/>
        </w:rPr>
        <w:t>the last decade. As investors increase their allocations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left="503" w:right="80"/>
        <w:spacing w:after="0" w:line="269" w:lineRule="auto"/>
        <w:rPr>
          <w:sz w:val="20"/>
          <w:szCs w:val="20"/>
          <w:color w:val="auto"/>
        </w:rPr>
      </w:pPr>
      <w:r>
        <w:rPr>
          <w:rFonts w:ascii="Arial" w:cs="Arial" w:eastAsia="Arial" w:hAnsi="Arial"/>
          <w:sz w:val="17"/>
          <w:szCs w:val="17"/>
          <w:color w:val="auto"/>
        </w:rPr>
        <w:t>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can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77" w:lineRule="exact"/>
        <w:rPr>
          <w:sz w:val="20"/>
          <w:szCs w:val="20"/>
          <w:color w:val="auto"/>
        </w:rPr>
      </w:pPr>
    </w:p>
    <w:p>
      <w:pPr>
        <w:ind w:left="503" w:right="120" w:hanging="503"/>
        <w:spacing w:after="0" w:line="259"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Increasing regulatory requirements and political uncertainty. </w:t>
      </w:r>
      <w:r>
        <w:rPr>
          <w:rFonts w:ascii="Arial" w:cs="Arial" w:eastAsia="Arial" w:hAnsi="Arial"/>
          <w:sz w:val="18"/>
          <w:szCs w:val="18"/>
          <w:color w:val="auto"/>
        </w:rPr>
        <w:t>The complex regulatory and tax environment could restrict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us to increased compliance costs and administrative burdens, as well as restrictions on our business activities. There is additional uncertainty around potential legal, regulatory, and tax changes, which may impact our profitability or impact our ability to operate and grow our business.</w:t>
      </w:r>
    </w:p>
    <w:p>
      <w:pPr>
        <w:spacing w:after="0" w:line="78" w:lineRule="exact"/>
        <w:rPr>
          <w:rFonts w:ascii="Arial" w:cs="Arial" w:eastAsia="Arial" w:hAnsi="Arial"/>
          <w:sz w:val="18"/>
          <w:szCs w:val="18"/>
          <w:color w:val="auto"/>
        </w:rPr>
      </w:pPr>
    </w:p>
    <w:p>
      <w:pPr>
        <w:ind w:left="503" w:right="100" w:hanging="503"/>
        <w:spacing w:after="0" w:line="254"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raise capital in order to fund acquisitions and strategic growth initiatives. </w:t>
      </w:r>
      <w:r>
        <w:rPr>
          <w:rFonts w:ascii="Arial" w:cs="Arial" w:eastAsia="Arial" w:hAnsi="Arial"/>
          <w:sz w:val="18"/>
          <w:szCs w:val="18"/>
          <w:color w:val="auto"/>
        </w:rPr>
        <w:t>In addition to organic growth of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and services, our growth will continue to depend, in part, on our ability to identify, evaluate and acquire high performing and high-quality asset management businesses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86" w:lineRule="exact"/>
        <w:rPr>
          <w:rFonts w:ascii="Arial" w:cs="Arial" w:eastAsia="Arial" w:hAnsi="Arial"/>
          <w:sz w:val="18"/>
          <w:szCs w:val="18"/>
          <w:color w:val="auto"/>
        </w:rPr>
      </w:pPr>
    </w:p>
    <w:p>
      <w:pPr>
        <w:ind w:left="503" w:right="60" w:hanging="503"/>
        <w:spacing w:after="0" w:line="296" w:lineRule="auto"/>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Increased competition to work with top private equity fund managers. </w:t>
      </w:r>
      <w:r>
        <w:rPr>
          <w:rFonts w:ascii="Arial" w:cs="Arial" w:eastAsia="Arial" w:hAnsi="Arial"/>
          <w:sz w:val="16"/>
          <w:szCs w:val="16"/>
          <w:color w:val="auto"/>
        </w:rPr>
        <w:t>There has been a trend amongst larger private markets investors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53" w:lineRule="exact"/>
        <w:rPr>
          <w:rFonts w:ascii="Arial" w:cs="Arial" w:eastAsia="Arial" w:hAnsi="Arial"/>
          <w:sz w:val="16"/>
          <w:szCs w:val="16"/>
          <w:color w:val="auto"/>
        </w:rPr>
      </w:pPr>
    </w:p>
    <w:p>
      <w:pPr>
        <w:ind w:left="503" w:right="40" w:hanging="503"/>
        <w:spacing w:after="0" w:line="254"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Data advantage relative to competitors. </w:t>
      </w:r>
      <w:r>
        <w:rPr>
          <w:rFonts w:ascii="Arial" w:cs="Arial" w:eastAsia="Arial" w:hAnsi="Arial"/>
          <w:sz w:val="18"/>
          <w:szCs w:val="18"/>
          <w:color w:val="auto"/>
        </w:rPr>
        <w:t>We believe that the general trend towards transparency and consistency in private markets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several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86" w:lineRule="exact"/>
        <w:rPr>
          <w:rFonts w:ascii="Arial" w:cs="Arial" w:eastAsia="Arial" w:hAnsi="Arial"/>
          <w:sz w:val="18"/>
          <w:szCs w:val="18"/>
          <w:color w:val="auto"/>
        </w:rPr>
      </w:pPr>
    </w:p>
    <w:p>
      <w:pPr>
        <w:ind w:left="503" w:hanging="503"/>
        <w:spacing w:after="0" w:line="255" w:lineRule="auto"/>
        <w:tabs>
          <w:tab w:leader="none" w:pos="503"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Consolidation of Manager relationships and flight to quality. </w:t>
      </w:r>
      <w:r>
        <w:rPr>
          <w:rFonts w:ascii="Arial" w:cs="Arial" w:eastAsia="Arial" w:hAnsi="Arial"/>
          <w:sz w:val="18"/>
          <w:szCs w:val="18"/>
          <w:color w:val="auto"/>
        </w:rPr>
        <w:t>As global financial markets continue to remain uncertain and private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evaluate their exposure and allocation to private markets, a trend of consolidating managers has emerged. Our strategies, with long-track records of success, deep industry experience, well-established relationships, and high-quality investment opportunities, can benefit from a trend toward reducing the number of managers to which capital is allocated. Furthermore, we believe that by offering investors access to access-constrained investment opportunities, investors may favor our strategies as they make decisions on market exposure and allocation levels.</w:t>
      </w:r>
    </w:p>
    <w:p>
      <w:pPr>
        <w:spacing w:after="0" w:line="84" w:lineRule="exact"/>
        <w:rPr>
          <w:rFonts w:ascii="Arial" w:cs="Arial" w:eastAsia="Arial" w:hAnsi="Arial"/>
          <w:sz w:val="18"/>
          <w:szCs w:val="18"/>
          <w:color w:val="auto"/>
        </w:rPr>
      </w:pPr>
    </w:p>
    <w:p>
      <w:pPr>
        <w:jc w:val="both"/>
        <w:ind w:left="503" w:right="20" w:hanging="503"/>
        <w:spacing w:after="0" w:line="287" w:lineRule="auto"/>
        <w:tabs>
          <w:tab w:leader="none" w:pos="503"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Counter-cyclical strategies can thrive in a higher-rate environment. </w:t>
      </w:r>
      <w:r>
        <w:rPr>
          <w:rFonts w:ascii="Arial" w:cs="Arial" w:eastAsia="Arial" w:hAnsi="Arial"/>
          <w:sz w:val="16"/>
          <w:szCs w:val="16"/>
          <w:color w:val="auto"/>
        </w:rPr>
        <w:t>Some strategies are counter-cyclical in nature and can take advantage of</w:t>
      </w:r>
      <w:r>
        <w:rPr>
          <w:rFonts w:ascii="Arial" w:cs="Arial" w:eastAsia="Arial" w:hAnsi="Arial"/>
          <w:sz w:val="16"/>
          <w:szCs w:val="16"/>
          <w:i w:val="1"/>
          <w:iCs w:val="1"/>
          <w:color w:val="auto"/>
        </w:rPr>
        <w:t xml:space="preserve"> </w:t>
      </w:r>
      <w:r>
        <w:rPr>
          <w:rFonts w:ascii="Arial" w:cs="Arial" w:eastAsia="Arial" w:hAnsi="Arial"/>
          <w:sz w:val="16"/>
          <w:szCs w:val="16"/>
          <w:color w:val="auto"/>
        </w:rPr>
        <w:t>a higher rate environment. Specifically, private credit products, including our NAV lending strategy, with floating rate terms, benefit from the current environment, with floating rates and longer duration. The higher rate environment also benefits our venture debt strategy as rates float</w:t>
      </w:r>
    </w:p>
    <w:p>
      <w:pPr>
        <w:spacing w:after="0" w:line="2" w:lineRule="exact"/>
        <w:rPr>
          <w:sz w:val="20"/>
          <w:szCs w:val="20"/>
          <w:color w:val="auto"/>
        </w:rPr>
      </w:pPr>
    </w:p>
    <w:p>
      <w:pPr>
        <w:ind w:left="503"/>
        <w:spacing w:after="0"/>
        <w:rPr>
          <w:sz w:val="20"/>
          <w:szCs w:val="20"/>
          <w:color w:val="auto"/>
        </w:rPr>
      </w:pPr>
      <w:r>
        <w:rPr>
          <w:rFonts w:ascii="Arial" w:cs="Arial" w:eastAsia="Arial" w:hAnsi="Arial"/>
          <w:sz w:val="18"/>
          <w:szCs w:val="18"/>
          <w:color w:val="auto"/>
        </w:rPr>
        <w:t>throughout the investment period.</w:t>
      </w:r>
    </w:p>
    <w:p>
      <w:pPr>
        <w:spacing w:after="0" w:line="9"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61595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Key Financial &amp; Operating Metrics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84"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We earn management and advisory fees based on a percentage of investors’ capital commitments to, in funds or deployed capital.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("catch 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6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192"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The Company recognizes an accrued contingent liability and contingent payments to customers in our Consolidated Balance Sheets for agreements between ECG and third parties. The agreements require ECG to share in certain revenues earned with the third party and also includes an option for the third party to sell back the revenue share to ECG at a set multiple. Additionally, ECG holds the option to buy back 50% of the revenue share at a set multiple. The options to repurchase the revenue share are not exercisable until a certain period of time has lapsed per the agreements. The Company believes it is probable that the third parties will exercise their options to sell back the revenue share and has recognized a liability on the Consolidated Balance Sheets. The Company has also recognized a contingent payments to customers asset associated with the agreement and will amortize the asset against revenue over the length of the management contracts. The amortization is reported in management and advisory fees on the Consolidated Statements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Compensation and benefits are our largest expense and consists of salaries, bonuses, stock-based compensation, earnout and bonus payments related to the acquisition of WTI,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w:t>
      </w:r>
    </w:p>
    <w:p>
      <w:pPr>
        <w:spacing w:after="0" w:line="178"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Professional fees primarily consist of legal, advisory, accounting and tax fees which may include services related to our strategic development opportunities such as due diligence performed in connection with potential acquisitions. Our professional fees will fluctuate commensurate with our strategic objectives and potential acquisitions, and certain recurring accounting advisory, audit and tax expenses are expected to increase as our Company has become an SEC registrant and we must comply with additional regulatory requirements.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ind w:right="520" w:firstLine="509"/>
        <w:spacing w:after="0" w:line="277" w:lineRule="auto"/>
        <w:rPr>
          <w:sz w:val="20"/>
          <w:szCs w:val="20"/>
          <w:color w:val="auto"/>
        </w:rPr>
      </w:pPr>
      <w:r>
        <w:rPr>
          <w:rFonts w:ascii="Arial" w:cs="Arial" w:eastAsia="Arial" w:hAnsi="Arial"/>
          <w:sz w:val="18"/>
          <w:szCs w:val="18"/>
          <w:color w:val="auto"/>
        </w:rPr>
        <w:t>General, administrative and other includes occupancy, travel and entertainment, technology, insurance and other general costs associated with operating our business.</w:t>
      </w:r>
    </w:p>
    <w:p>
      <w:pPr>
        <w:spacing w:after="0" w:line="170"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auto"/>
        </w:rPr>
        <w:t>Strategic alliance expense is included in operating expenses. This expense is driven by the SAA that Bonaccord entered into with an investor at the time Bonaccord was acquired in exchange for a portion of net management fee earnings and net distributable carried interest at the time of acquisition.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includes interest paid and accrued on our outstanding debt, along with the amortization of deferred financing costs.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Income tax benefit (expense) is comprised of current and deferred tax benefit (expense). Current income tax benefit (expense)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Fee-Paying Assets Under Management, or FPAUM</w:t>
      </w:r>
    </w:p>
    <w:p>
      <w:pPr>
        <w:spacing w:after="0" w:line="117"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13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and six months ended June 30, 2023 and June 30,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00" w:type="dxa"/>
            <w:vAlign w:val="bottom"/>
            <w:gridSpan w:val="5"/>
          </w:tcPr>
          <w:p>
            <w:pPr>
              <w:jc w:val="right"/>
              <w:ind w:right="497"/>
              <w:spacing w:after="0"/>
              <w:rPr>
                <w:sz w:val="20"/>
                <w:szCs w:val="20"/>
                <w:color w:val="auto"/>
              </w:rPr>
            </w:pPr>
            <w:r>
              <w:rPr>
                <w:rFonts w:ascii="Arial" w:cs="Arial" w:eastAsia="Arial" w:hAnsi="Arial"/>
                <w:sz w:val="13"/>
                <w:szCs w:val="13"/>
                <w:b w:val="1"/>
                <w:bCs w:val="1"/>
                <w:color w:val="auto"/>
              </w:rPr>
              <w:t>For the three months</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5"/>
          </w:tcPr>
          <w:p>
            <w:pPr>
              <w:jc w:val="right"/>
              <w:ind w:right="518"/>
              <w:spacing w:after="0"/>
              <w:rPr>
                <w:sz w:val="20"/>
                <w:szCs w:val="20"/>
                <w:color w:val="auto"/>
              </w:rPr>
            </w:pPr>
            <w:r>
              <w:rPr>
                <w:rFonts w:ascii="Arial" w:cs="Arial" w:eastAsia="Arial" w:hAnsi="Arial"/>
                <w:sz w:val="13"/>
                <w:szCs w:val="13"/>
                <w:b w:val="1"/>
                <w:bCs w:val="1"/>
                <w:color w:val="auto"/>
              </w:rPr>
              <w:t>For the six months</w:t>
            </w:r>
          </w:p>
        </w:tc>
        <w:tc>
          <w:tcPr>
            <w:tcW w:w="940" w:type="dxa"/>
            <w:vAlign w:val="bottom"/>
          </w:tcPr>
          <w:p>
            <w:pPr>
              <w:spacing w:after="0"/>
              <w:rPr>
                <w:sz w:val="12"/>
                <w:szCs w:val="12"/>
                <w:color w:val="auto"/>
              </w:rPr>
            </w:pPr>
          </w:p>
        </w:tc>
      </w:tr>
      <w:tr>
        <w:trPr>
          <w:trHeight w:val="164"/>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677"/>
              <w:spacing w:after="0"/>
              <w:rPr>
                <w:sz w:val="20"/>
                <w:szCs w:val="20"/>
                <w:color w:val="auto"/>
              </w:rPr>
            </w:pPr>
            <w:r>
              <w:rPr>
                <w:rFonts w:ascii="Arial" w:cs="Arial" w:eastAsia="Arial" w:hAnsi="Arial"/>
                <w:sz w:val="13"/>
                <w:szCs w:val="13"/>
                <w:b w:val="1"/>
                <w:bCs w:val="1"/>
                <w:color w:val="auto"/>
              </w:rPr>
              <w:t>ended June 30,</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5"/>
          </w:tcPr>
          <w:p>
            <w:pPr>
              <w:jc w:val="right"/>
              <w:ind w:right="618"/>
              <w:spacing w:after="0"/>
              <w:rPr>
                <w:sz w:val="20"/>
                <w:szCs w:val="20"/>
                <w:color w:val="auto"/>
              </w:rPr>
            </w:pPr>
            <w:r>
              <w:rPr>
                <w:rFonts w:ascii="Arial" w:cs="Arial" w:eastAsia="Arial" w:hAnsi="Arial"/>
                <w:sz w:val="13"/>
                <w:szCs w:val="13"/>
                <w:b w:val="1"/>
                <w:bCs w:val="1"/>
                <w:color w:val="auto"/>
              </w:rPr>
              <w:t>ended June 30,</w:t>
            </w:r>
          </w:p>
        </w:tc>
        <w:tc>
          <w:tcPr>
            <w:tcW w:w="940" w:type="dxa"/>
            <w:vAlign w:val="bottom"/>
          </w:tcPr>
          <w:p>
            <w:pPr>
              <w:spacing w:after="0"/>
              <w:rPr>
                <w:sz w:val="14"/>
                <w:szCs w:val="14"/>
                <w:color w:val="auto"/>
              </w:rPr>
            </w:pPr>
          </w:p>
        </w:tc>
      </w:tr>
      <w:tr>
        <w:trPr>
          <w:trHeight w:val="165"/>
        </w:trPr>
        <w:tc>
          <w:tcPr>
            <w:tcW w:w="3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r>
      <w:tr>
        <w:trPr>
          <w:trHeight w:val="155"/>
        </w:trPr>
        <w:tc>
          <w:tcPr>
            <w:tcW w:w="3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8"/>
              </w:rPr>
              <w:t>$ Change</w:t>
            </w:r>
          </w:p>
        </w:tc>
        <w:tc>
          <w:tcPr>
            <w:tcW w:w="220" w:type="dxa"/>
            <w:vAlign w:val="bottom"/>
          </w:tcPr>
          <w:p>
            <w:pPr>
              <w:spacing w:after="0"/>
              <w:rPr>
                <w:sz w:val="13"/>
                <w:szCs w:val="13"/>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 Change</w:t>
            </w: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2022</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2"/>
              </w:rPr>
              <w:t>$ Change</w:t>
            </w:r>
          </w:p>
        </w:tc>
        <w:tc>
          <w:tcPr>
            <w:tcW w:w="200" w:type="dxa"/>
            <w:vAlign w:val="bottom"/>
          </w:tcPr>
          <w:p>
            <w:pPr>
              <w:spacing w:after="0"/>
              <w:rPr>
                <w:sz w:val="13"/>
                <w:szCs w:val="13"/>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 Change</w:t>
            </w:r>
          </w:p>
        </w:tc>
      </w:tr>
      <w:tr>
        <w:trPr>
          <w:trHeight w:val="155"/>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REVENUES</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w w:val="87"/>
              </w:rPr>
              <w:t>(in thousands)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57"/>
              <w:spacing w:after="0"/>
              <w:rPr>
                <w:sz w:val="20"/>
                <w:szCs w:val="20"/>
                <w:color w:val="auto"/>
              </w:rPr>
            </w:pPr>
            <w:r>
              <w:rPr>
                <w:rFonts w:ascii="Arial" w:cs="Arial" w:eastAsia="Arial" w:hAnsi="Arial"/>
                <w:sz w:val="13"/>
                <w:szCs w:val="13"/>
                <w:b w:val="1"/>
                <w:bCs w:val="1"/>
                <w:color w:val="auto"/>
              </w:rPr>
              <w:t>(in</w:t>
            </w:r>
          </w:p>
        </w:tc>
        <w:tc>
          <w:tcPr>
            <w:tcW w:w="1020" w:type="dxa"/>
            <w:vAlign w:val="bottom"/>
            <w:gridSpan w:val="3"/>
          </w:tcPr>
          <w:p>
            <w:pPr>
              <w:jc w:val="center"/>
              <w:ind w:right="457"/>
              <w:spacing w:after="0"/>
              <w:rPr>
                <w:sz w:val="20"/>
                <w:szCs w:val="20"/>
                <w:color w:val="auto"/>
              </w:rPr>
            </w:pPr>
            <w:r>
              <w:rPr>
                <w:rFonts w:ascii="Arial" w:cs="Arial" w:eastAsia="Arial" w:hAnsi="Arial"/>
                <w:sz w:val="13"/>
                <w:szCs w:val="13"/>
                <w:b w:val="1"/>
                <w:bCs w:val="1"/>
                <w:color w:val="auto"/>
                <w:w w:val="71"/>
              </w:rPr>
              <w:t>thousands)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Management and advisory fees</w:t>
            </w: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61,657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46,451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15,206</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33%</w:t>
            </w:r>
          </w:p>
        </w:tc>
        <w:tc>
          <w:tcPr>
            <w:tcW w:w="2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118,244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center"/>
              <w:ind w:right="1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89,478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28,766</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32%</w:t>
            </w:r>
          </w:p>
        </w:tc>
      </w:tr>
      <w:tr>
        <w:trPr>
          <w:trHeight w:val="162"/>
        </w:trPr>
        <w:tc>
          <w:tcPr>
            <w:tcW w:w="3120" w:type="dxa"/>
            <w:vAlign w:val="bottom"/>
          </w:tcPr>
          <w:p>
            <w:pPr>
              <w:ind w:left="160"/>
              <w:spacing w:after="0"/>
              <w:rPr>
                <w:sz w:val="20"/>
                <w:szCs w:val="20"/>
                <w:color w:val="auto"/>
              </w:rPr>
            </w:pPr>
            <w:r>
              <w:rPr>
                <w:rFonts w:ascii="Arial" w:cs="Arial" w:eastAsia="Arial" w:hAnsi="Arial"/>
                <w:sz w:val="13"/>
                <w:szCs w:val="13"/>
                <w:color w:val="auto"/>
              </w:rPr>
              <w:t>Other revenue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528</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84"/>
              </w:rPr>
              <w:t>184%</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1,481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541</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174%</w:t>
            </w:r>
          </w:p>
        </w:tc>
      </w:tr>
      <w:tr>
        <w:trPr>
          <w:trHeight w:val="155"/>
        </w:trPr>
        <w:tc>
          <w:tcPr>
            <w:tcW w:w="31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Total revenues</w:t>
            </w: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62,472</w:t>
            </w: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46,738</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15,734</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34%</w:t>
            </w: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119,725</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90,019</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29,706</w:t>
            </w:r>
          </w:p>
        </w:tc>
        <w:tc>
          <w:tcPr>
            <w:tcW w:w="200" w:type="dxa"/>
            <w:vAlign w:val="bottom"/>
            <w:shd w:val="clear" w:color="auto" w:fill="CFF0FC"/>
          </w:tcPr>
          <w:p>
            <w:pPr>
              <w:spacing w:after="0"/>
              <w:rPr>
                <w:sz w:val="13"/>
                <w:szCs w:val="13"/>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33%</w:t>
            </w:r>
          </w:p>
        </w:tc>
      </w:tr>
      <w:tr>
        <w:trPr>
          <w:trHeight w:val="162"/>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Compensation and benefits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36,311</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17,815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18,496</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104%</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71,953</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36,309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35,644</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98%</w:t>
            </w:r>
          </w:p>
        </w:tc>
      </w:tr>
      <w:tr>
        <w:trPr>
          <w:trHeight w:val="161"/>
        </w:trPr>
        <w:tc>
          <w:tcPr>
            <w:tcW w:w="3120" w:type="dxa"/>
            <w:vAlign w:val="bottom"/>
          </w:tcPr>
          <w:p>
            <w:pPr>
              <w:ind w:left="160"/>
              <w:spacing w:after="0"/>
              <w:rPr>
                <w:sz w:val="20"/>
                <w:szCs w:val="20"/>
                <w:color w:val="auto"/>
              </w:rPr>
            </w:pPr>
            <w:r>
              <w:rPr>
                <w:rFonts w:ascii="Arial" w:cs="Arial" w:eastAsia="Arial" w:hAnsi="Arial"/>
                <w:sz w:val="13"/>
                <w:szCs w:val="13"/>
                <w:color w:val="auto"/>
              </w:rPr>
              <w:t>Professional fees</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2,992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2,740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252</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84"/>
              </w:rPr>
              <w:t>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6,834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5,352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1,482</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84"/>
              </w:rPr>
              <w:t>28%</w:t>
            </w:r>
          </w:p>
        </w:tc>
      </w:tr>
      <w:tr>
        <w:trPr>
          <w:trHeight w:val="163"/>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General, administrative and other</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5,037</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787</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9,894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8,362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1,532</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18%</w:t>
            </w:r>
          </w:p>
        </w:tc>
      </w:tr>
      <w:tr>
        <w:trPr>
          <w:trHeight w:val="161"/>
        </w:trPr>
        <w:tc>
          <w:tcPr>
            <w:tcW w:w="3120" w:type="dxa"/>
            <w:vAlign w:val="bottom"/>
          </w:tcPr>
          <w:p>
            <w:pPr>
              <w:ind w:left="160"/>
              <w:spacing w:after="0"/>
              <w:rPr>
                <w:sz w:val="20"/>
                <w:szCs w:val="20"/>
                <w:color w:val="auto"/>
              </w:rPr>
            </w:pPr>
            <w:r>
              <w:rPr>
                <w:rFonts w:ascii="Arial" w:cs="Arial" w:eastAsia="Arial" w:hAnsi="Arial"/>
                <w:sz w:val="13"/>
                <w:szCs w:val="13"/>
                <w:color w:val="auto"/>
              </w:rPr>
              <w:t>Contingent consideration expense</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(140 )</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220</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0"/>
              </w:rPr>
              <w:t>(157)%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470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(13 )</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483</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(3,715)%</w:t>
            </w:r>
          </w:p>
        </w:tc>
      </w:tr>
      <w:tr>
        <w:trPr>
          <w:trHeight w:val="163"/>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Amortization of intangibles</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7,326</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6,153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1,173</w:t>
            </w: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19%</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14,574</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12,334</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2,240</w:t>
            </w: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84"/>
              </w:rPr>
              <w:t>18%</w:t>
            </w:r>
          </w:p>
        </w:tc>
      </w:tr>
      <w:tr>
        <w:trPr>
          <w:trHeight w:val="162"/>
        </w:trPr>
        <w:tc>
          <w:tcPr>
            <w:tcW w:w="3120" w:type="dxa"/>
            <w:vAlign w:val="bottom"/>
          </w:tcPr>
          <w:p>
            <w:pPr>
              <w:ind w:left="160"/>
              <w:spacing w:after="0"/>
              <w:rPr>
                <w:sz w:val="20"/>
                <w:szCs w:val="20"/>
                <w:color w:val="auto"/>
              </w:rPr>
            </w:pPr>
            <w:r>
              <w:rPr>
                <w:rFonts w:ascii="Arial" w:cs="Arial" w:eastAsia="Arial" w:hAnsi="Arial"/>
                <w:sz w:val="13"/>
                <w:szCs w:val="13"/>
                <w:color w:val="auto"/>
              </w:rPr>
              <w:t>Strategic alliance expense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84"/>
              </w:rPr>
              <w:t>163%</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805</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164%</w:t>
            </w:r>
          </w:p>
        </w:tc>
      </w:tr>
      <w:tr>
        <w:trPr>
          <w:trHeight w:val="156"/>
        </w:trPr>
        <w:tc>
          <w:tcPr>
            <w:tcW w:w="31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Total operating expenses</w:t>
            </w: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52,148</w:t>
            </w:r>
          </w:p>
        </w:tc>
        <w:tc>
          <w:tcPr>
            <w:tcW w:w="24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30,971</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21,177</w:t>
            </w:r>
          </w:p>
        </w:tc>
        <w:tc>
          <w:tcPr>
            <w:tcW w:w="220" w:type="dxa"/>
            <w:vAlign w:val="bottom"/>
            <w:tcBorders>
              <w:bottom w:val="single" w:sz="8" w:color="CFF0FC"/>
            </w:tcBorders>
            <w:shd w:val="clear" w:color="auto" w:fill="CFF0FC"/>
          </w:tcPr>
          <w:p>
            <w:pPr>
              <w:spacing w:after="0"/>
              <w:rPr>
                <w:sz w:val="13"/>
                <w:szCs w:val="13"/>
                <w:color w:val="auto"/>
              </w:rPr>
            </w:pPr>
          </w:p>
        </w:tc>
        <w:tc>
          <w:tcPr>
            <w:tcW w:w="8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2"/>
              </w:rPr>
              <w:t>68%</w:t>
            </w:r>
          </w:p>
        </w:tc>
        <w:tc>
          <w:tcPr>
            <w:tcW w:w="10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104,530</w:t>
            </w:r>
          </w:p>
        </w:tc>
        <w:tc>
          <w:tcPr>
            <w:tcW w:w="220" w:type="dxa"/>
            <w:vAlign w:val="bottom"/>
            <w:tcBorders>
              <w:bottom w:val="single" w:sz="8" w:color="CFF0FC"/>
            </w:tcBorders>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spacing w:after="0"/>
              <w:rPr>
                <w:sz w:val="13"/>
                <w:szCs w:val="13"/>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62,649</w:t>
            </w:r>
          </w:p>
        </w:tc>
        <w:tc>
          <w:tcPr>
            <w:tcW w:w="2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41,881</w:t>
            </w:r>
          </w:p>
        </w:tc>
        <w:tc>
          <w:tcPr>
            <w:tcW w:w="200" w:type="dxa"/>
            <w:vAlign w:val="bottom"/>
            <w:tcBorders>
              <w:bottom w:val="single" w:sz="8" w:color="CFF0FC"/>
            </w:tcBorders>
            <w:shd w:val="clear" w:color="auto" w:fill="CFF0FC"/>
          </w:tcPr>
          <w:p>
            <w:pPr>
              <w:spacing w:after="0"/>
              <w:rPr>
                <w:sz w:val="13"/>
                <w:szCs w:val="13"/>
                <w:color w:val="auto"/>
              </w:rPr>
            </w:pPr>
          </w:p>
        </w:tc>
        <w:tc>
          <w:tcPr>
            <w:tcW w:w="9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84"/>
              </w:rPr>
              <w:t>67%</w:t>
            </w:r>
          </w:p>
        </w:tc>
      </w:tr>
      <w:tr>
        <w:trPr>
          <w:trHeight w:val="315"/>
        </w:trPr>
        <w:tc>
          <w:tcPr>
            <w:tcW w:w="31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10,324</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15,767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97"/>
              <w:spacing w:after="0"/>
              <w:rPr>
                <w:sz w:val="20"/>
                <w:szCs w:val="20"/>
                <w:color w:val="auto"/>
              </w:rPr>
            </w:pPr>
            <w:r>
              <w:rPr>
                <w:rFonts w:ascii="Arial" w:cs="Arial" w:eastAsia="Arial" w:hAnsi="Arial"/>
                <w:sz w:val="13"/>
                <w:szCs w:val="13"/>
                <w:color w:val="auto"/>
              </w:rPr>
              <w:t>(5,443 )</w:t>
            </w: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(35)%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15,195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27,370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18"/>
              <w:spacing w:after="0"/>
              <w:rPr>
                <w:sz w:val="20"/>
                <w:szCs w:val="20"/>
                <w:color w:val="auto"/>
              </w:rPr>
            </w:pPr>
            <w:r>
              <w:rPr>
                <w:rFonts w:ascii="Arial" w:cs="Arial" w:eastAsia="Arial" w:hAnsi="Arial"/>
                <w:sz w:val="13"/>
                <w:szCs w:val="13"/>
                <w:color w:val="auto"/>
              </w:rPr>
              <w:t>(12,175 )</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(44)%</w:t>
            </w:r>
          </w:p>
        </w:tc>
      </w:tr>
      <w:tr>
        <w:trPr>
          <w:trHeight w:val="165"/>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2"/>
        </w:trPr>
        <w:tc>
          <w:tcPr>
            <w:tcW w:w="31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OTHER (EXPENSE)/INCOME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323"/>
        </w:trPr>
        <w:tc>
          <w:tcPr>
            <w:tcW w:w="3120" w:type="dxa"/>
            <w:vAlign w:val="bottom"/>
          </w:tcPr>
          <w:p>
            <w:pPr>
              <w:ind w:left="160"/>
              <w:spacing w:after="0"/>
              <w:rPr>
                <w:sz w:val="20"/>
                <w:szCs w:val="20"/>
                <w:color w:val="auto"/>
              </w:rPr>
            </w:pPr>
            <w:r>
              <w:rPr>
                <w:rFonts w:ascii="Arial" w:cs="Arial" w:eastAsia="Arial" w:hAnsi="Arial"/>
                <w:sz w:val="13"/>
                <w:szCs w:val="13"/>
                <w:color w:val="auto"/>
              </w:rPr>
              <w:t>Interest expense, net</w:t>
            </w:r>
          </w:p>
        </w:tc>
        <w:tc>
          <w:tcPr>
            <w:tcW w:w="18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(5,426 )</w:t>
            </w:r>
          </w:p>
        </w:tc>
        <w:tc>
          <w:tcPr>
            <w:tcW w:w="18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(1,525 )</w:t>
            </w:r>
          </w:p>
        </w:tc>
        <w:tc>
          <w:tcPr>
            <w:tcW w:w="120" w:type="dxa"/>
            <w:vAlign w:val="bottom"/>
          </w:tcPr>
          <w:p>
            <w:pPr>
              <w:spacing w:after="0"/>
              <w:rPr>
                <w:sz w:val="24"/>
                <w:szCs w:val="24"/>
                <w:color w:val="auto"/>
              </w:rPr>
            </w:pPr>
          </w:p>
        </w:tc>
        <w:tc>
          <w:tcPr>
            <w:tcW w:w="920" w:type="dxa"/>
            <w:vAlign w:val="bottom"/>
            <w:gridSpan w:val="2"/>
          </w:tcPr>
          <w:p>
            <w:pPr>
              <w:jc w:val="right"/>
              <w:ind w:right="97"/>
              <w:spacing w:after="0"/>
              <w:rPr>
                <w:sz w:val="20"/>
                <w:szCs w:val="20"/>
                <w:color w:val="auto"/>
              </w:rPr>
            </w:pPr>
            <w:r>
              <w:rPr>
                <w:rFonts w:ascii="Arial" w:cs="Arial" w:eastAsia="Arial" w:hAnsi="Arial"/>
                <w:sz w:val="13"/>
                <w:szCs w:val="13"/>
                <w:color w:val="auto"/>
              </w:rPr>
              <w:t>(3,901 )</w:t>
            </w:r>
          </w:p>
        </w:tc>
        <w:tc>
          <w:tcPr>
            <w:tcW w:w="880" w:type="dxa"/>
            <w:vAlign w:val="bottom"/>
          </w:tcPr>
          <w:p>
            <w:pPr>
              <w:jc w:val="center"/>
              <w:spacing w:after="0"/>
              <w:rPr>
                <w:sz w:val="20"/>
                <w:szCs w:val="20"/>
                <w:color w:val="auto"/>
              </w:rPr>
            </w:pPr>
            <w:r>
              <w:rPr>
                <w:rFonts w:ascii="Arial" w:cs="Arial" w:eastAsia="Arial" w:hAnsi="Arial"/>
                <w:sz w:val="13"/>
                <w:szCs w:val="13"/>
                <w:color w:val="auto"/>
                <w:w w:val="84"/>
              </w:rPr>
              <w:t>256%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97"/>
              <w:spacing w:after="0"/>
              <w:rPr>
                <w:sz w:val="20"/>
                <w:szCs w:val="20"/>
                <w:color w:val="auto"/>
              </w:rPr>
            </w:pPr>
            <w:r>
              <w:rPr>
                <w:rFonts w:ascii="Arial" w:cs="Arial" w:eastAsia="Arial" w:hAnsi="Arial"/>
                <w:sz w:val="13"/>
                <w:szCs w:val="13"/>
                <w:color w:val="auto"/>
              </w:rPr>
              <w:t>(10,598 )</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(2,910 )</w:t>
            </w:r>
          </w:p>
        </w:tc>
        <w:tc>
          <w:tcPr>
            <w:tcW w:w="120" w:type="dxa"/>
            <w:vAlign w:val="bottom"/>
          </w:tcPr>
          <w:p>
            <w:pPr>
              <w:spacing w:after="0"/>
              <w:rPr>
                <w:sz w:val="24"/>
                <w:szCs w:val="24"/>
                <w:color w:val="auto"/>
              </w:rPr>
            </w:pPr>
          </w:p>
        </w:tc>
        <w:tc>
          <w:tcPr>
            <w:tcW w:w="920" w:type="dxa"/>
            <w:vAlign w:val="bottom"/>
            <w:gridSpan w:val="2"/>
          </w:tcPr>
          <w:p>
            <w:pPr>
              <w:jc w:val="right"/>
              <w:ind w:right="118"/>
              <w:spacing w:after="0"/>
              <w:rPr>
                <w:sz w:val="20"/>
                <w:szCs w:val="20"/>
                <w:color w:val="auto"/>
              </w:rPr>
            </w:pPr>
            <w:r>
              <w:rPr>
                <w:rFonts w:ascii="Arial" w:cs="Arial" w:eastAsia="Arial" w:hAnsi="Arial"/>
                <w:sz w:val="13"/>
                <w:szCs w:val="13"/>
                <w:color w:val="auto"/>
              </w:rPr>
              <w:t>(7,688 )</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264%</w:t>
            </w:r>
          </w:p>
        </w:tc>
      </w:tr>
      <w:tr>
        <w:trPr>
          <w:trHeight w:val="163"/>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Other (expense)/income</w:t>
            </w:r>
          </w:p>
        </w:tc>
        <w:tc>
          <w:tcPr>
            <w:tcW w:w="1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(832 )</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791</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(1,623 )</w:t>
            </w: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0"/>
              </w:rPr>
              <w:t>(205)%</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(719 )</w:t>
            </w: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(1,839 )</w:t>
            </w: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0"/>
              </w:rPr>
              <w:t>(164)%</w:t>
            </w:r>
          </w:p>
        </w:tc>
      </w:tr>
      <w:tr>
        <w:trPr>
          <w:trHeight w:val="20"/>
        </w:trPr>
        <w:tc>
          <w:tcPr>
            <w:tcW w:w="3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r>
      <w:tr>
        <w:trPr>
          <w:trHeight w:val="155"/>
        </w:trPr>
        <w:tc>
          <w:tcPr>
            <w:tcW w:w="3120" w:type="dxa"/>
            <w:vAlign w:val="bottom"/>
          </w:tcPr>
          <w:p>
            <w:pPr>
              <w:ind w:left="300"/>
              <w:spacing w:after="0"/>
              <w:rPr>
                <w:sz w:val="20"/>
                <w:szCs w:val="20"/>
                <w:color w:val="auto"/>
              </w:rPr>
            </w:pPr>
            <w:r>
              <w:rPr>
                <w:rFonts w:ascii="Arial" w:cs="Arial" w:eastAsia="Arial" w:hAnsi="Arial"/>
                <w:sz w:val="13"/>
                <w:szCs w:val="13"/>
                <w:color w:val="auto"/>
              </w:rPr>
              <w:t>Total other (expense)</w:t>
            </w:r>
          </w:p>
        </w:tc>
        <w:tc>
          <w:tcPr>
            <w:tcW w:w="18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(6,258 )</w:t>
            </w:r>
          </w:p>
        </w:tc>
        <w:tc>
          <w:tcPr>
            <w:tcW w:w="18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(734 )</w:t>
            </w:r>
          </w:p>
        </w:tc>
        <w:tc>
          <w:tcPr>
            <w:tcW w:w="120" w:type="dxa"/>
            <w:vAlign w:val="bottom"/>
          </w:tcPr>
          <w:p>
            <w:pPr>
              <w:spacing w:after="0"/>
              <w:rPr>
                <w:sz w:val="13"/>
                <w:szCs w:val="13"/>
                <w:color w:val="auto"/>
              </w:rPr>
            </w:pPr>
          </w:p>
        </w:tc>
        <w:tc>
          <w:tcPr>
            <w:tcW w:w="920" w:type="dxa"/>
            <w:vAlign w:val="bottom"/>
            <w:gridSpan w:val="2"/>
          </w:tcPr>
          <w:p>
            <w:pPr>
              <w:jc w:val="right"/>
              <w:ind w:right="97"/>
              <w:spacing w:after="0"/>
              <w:rPr>
                <w:sz w:val="20"/>
                <w:szCs w:val="20"/>
                <w:color w:val="auto"/>
              </w:rPr>
            </w:pPr>
            <w:r>
              <w:rPr>
                <w:rFonts w:ascii="Arial" w:cs="Arial" w:eastAsia="Arial" w:hAnsi="Arial"/>
                <w:sz w:val="13"/>
                <w:szCs w:val="13"/>
                <w:color w:val="auto"/>
              </w:rPr>
              <w:t>(5,524 )</w:t>
            </w:r>
          </w:p>
        </w:tc>
        <w:tc>
          <w:tcPr>
            <w:tcW w:w="880" w:type="dxa"/>
            <w:vAlign w:val="bottom"/>
          </w:tcPr>
          <w:p>
            <w:pPr>
              <w:jc w:val="center"/>
              <w:spacing w:after="0"/>
              <w:rPr>
                <w:sz w:val="20"/>
                <w:szCs w:val="20"/>
                <w:color w:val="auto"/>
              </w:rPr>
            </w:pPr>
            <w:r>
              <w:rPr>
                <w:rFonts w:ascii="Arial" w:cs="Arial" w:eastAsia="Arial" w:hAnsi="Arial"/>
                <w:sz w:val="13"/>
                <w:szCs w:val="13"/>
                <w:color w:val="auto"/>
                <w:w w:val="84"/>
              </w:rPr>
              <w:t>753%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97"/>
              <w:spacing w:after="0"/>
              <w:rPr>
                <w:sz w:val="20"/>
                <w:szCs w:val="20"/>
                <w:color w:val="auto"/>
              </w:rPr>
            </w:pPr>
            <w:r>
              <w:rPr>
                <w:rFonts w:ascii="Arial" w:cs="Arial" w:eastAsia="Arial" w:hAnsi="Arial"/>
                <w:sz w:val="13"/>
                <w:szCs w:val="13"/>
                <w:color w:val="auto"/>
              </w:rPr>
              <w:t>(11,317 )</w:t>
            </w:r>
          </w:p>
        </w:tc>
        <w:tc>
          <w:tcPr>
            <w:tcW w:w="1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(1,790 )</w:t>
            </w:r>
          </w:p>
        </w:tc>
        <w:tc>
          <w:tcPr>
            <w:tcW w:w="120" w:type="dxa"/>
            <w:vAlign w:val="bottom"/>
          </w:tcPr>
          <w:p>
            <w:pPr>
              <w:spacing w:after="0"/>
              <w:rPr>
                <w:sz w:val="13"/>
                <w:szCs w:val="13"/>
                <w:color w:val="auto"/>
              </w:rPr>
            </w:pPr>
          </w:p>
        </w:tc>
        <w:tc>
          <w:tcPr>
            <w:tcW w:w="920" w:type="dxa"/>
            <w:vAlign w:val="bottom"/>
            <w:gridSpan w:val="2"/>
          </w:tcPr>
          <w:p>
            <w:pPr>
              <w:jc w:val="right"/>
              <w:ind w:right="118"/>
              <w:spacing w:after="0"/>
              <w:rPr>
                <w:sz w:val="20"/>
                <w:szCs w:val="20"/>
                <w:color w:val="auto"/>
              </w:rPr>
            </w:pPr>
            <w:r>
              <w:rPr>
                <w:rFonts w:ascii="Arial" w:cs="Arial" w:eastAsia="Arial" w:hAnsi="Arial"/>
                <w:sz w:val="13"/>
                <w:szCs w:val="13"/>
                <w:color w:val="auto"/>
              </w:rPr>
              <w:t>(9,527 )</w:t>
            </w:r>
          </w:p>
        </w:tc>
        <w:tc>
          <w:tcPr>
            <w:tcW w:w="940" w:type="dxa"/>
            <w:vAlign w:val="bottom"/>
          </w:tcPr>
          <w:p>
            <w:pPr>
              <w:jc w:val="center"/>
              <w:spacing w:after="0"/>
              <w:rPr>
                <w:sz w:val="20"/>
                <w:szCs w:val="20"/>
                <w:color w:val="auto"/>
              </w:rPr>
            </w:pPr>
            <w:r>
              <w:rPr>
                <w:rFonts w:ascii="Arial" w:cs="Arial" w:eastAsia="Arial" w:hAnsi="Arial"/>
                <w:sz w:val="13"/>
                <w:szCs w:val="13"/>
                <w:color w:val="auto"/>
                <w:w w:val="90"/>
              </w:rPr>
              <w:t>532%</w:t>
            </w:r>
          </w:p>
        </w:tc>
      </w:tr>
      <w:tr>
        <w:trPr>
          <w:trHeight w:val="156"/>
        </w:trPr>
        <w:tc>
          <w:tcPr>
            <w:tcW w:w="31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Net income before income taxes</w:t>
            </w:r>
          </w:p>
        </w:tc>
        <w:tc>
          <w:tcPr>
            <w:tcW w:w="1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4,066</w:t>
            </w:r>
          </w:p>
        </w:tc>
        <w:tc>
          <w:tcPr>
            <w:tcW w:w="2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15,033</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(10,967</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8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(73)%</w:t>
            </w:r>
          </w:p>
        </w:tc>
        <w:tc>
          <w:tcPr>
            <w:tcW w:w="10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3,878</w:t>
            </w: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25,580</w:t>
            </w:r>
          </w:p>
        </w:tc>
        <w:tc>
          <w:tcPr>
            <w:tcW w:w="20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(21,702</w:t>
            </w:r>
          </w:p>
        </w:tc>
        <w:tc>
          <w:tcPr>
            <w:tcW w:w="200" w:type="dxa"/>
            <w:vAlign w:val="bottom"/>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9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2"/>
              </w:rPr>
              <w:t>(85)%</w:t>
            </w:r>
          </w:p>
        </w:tc>
      </w:tr>
      <w:tr>
        <w:trPr>
          <w:trHeight w:val="162"/>
        </w:trPr>
        <w:tc>
          <w:tcPr>
            <w:tcW w:w="3120" w:type="dxa"/>
            <w:vAlign w:val="bottom"/>
          </w:tcPr>
          <w:p>
            <w:pPr>
              <w:ind w:left="160"/>
              <w:spacing w:after="0"/>
              <w:rPr>
                <w:sz w:val="20"/>
                <w:szCs w:val="20"/>
                <w:color w:val="auto"/>
              </w:rPr>
            </w:pPr>
            <w:r>
              <w:rPr>
                <w:rFonts w:ascii="Arial" w:cs="Arial" w:eastAsia="Arial" w:hAnsi="Arial"/>
                <w:sz w:val="13"/>
                <w:szCs w:val="13"/>
                <w:color w:val="auto"/>
              </w:rPr>
              <w:t>Income tax (expense)</w:t>
            </w:r>
          </w:p>
        </w:tc>
        <w:tc>
          <w:tcPr>
            <w:tcW w:w="18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(1,964 )</w:t>
            </w:r>
          </w:p>
        </w:tc>
        <w:tc>
          <w:tcPr>
            <w:tcW w:w="1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(3,879 )</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1,915</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color w:val="auto"/>
                <w:w w:val="92"/>
              </w:rPr>
              <w:t>(49)%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97"/>
              <w:spacing w:after="0"/>
              <w:rPr>
                <w:sz w:val="20"/>
                <w:szCs w:val="20"/>
                <w:color w:val="auto"/>
              </w:rPr>
            </w:pPr>
            <w:r>
              <w:rPr>
                <w:rFonts w:ascii="Arial" w:cs="Arial" w:eastAsia="Arial" w:hAnsi="Arial"/>
                <w:sz w:val="13"/>
                <w:szCs w:val="13"/>
                <w:color w:val="auto"/>
              </w:rPr>
              <w:t>(1,007 )</w:t>
            </w:r>
          </w:p>
        </w:tc>
        <w:tc>
          <w:tcPr>
            <w:tcW w:w="18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(6,634 )</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5,627</w:t>
            </w:r>
          </w:p>
        </w:tc>
        <w:tc>
          <w:tcPr>
            <w:tcW w:w="2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(85)%</w:t>
            </w:r>
          </w:p>
        </w:tc>
      </w:tr>
      <w:tr>
        <w:trPr>
          <w:trHeight w:val="209"/>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NET INCOME</w:t>
            </w:r>
          </w:p>
        </w:tc>
        <w:tc>
          <w:tcPr>
            <w:tcW w:w="18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2,102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11,154</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(9,052</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8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2"/>
              </w:rPr>
              <w:t>(81)%</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2,871</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center"/>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18,946</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(16,075</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9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2"/>
              </w:rPr>
              <w:t>(85)%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-1190625</wp:posOffset>
            </wp:positionV>
            <wp:extent cx="76835" cy="3168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31686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-1190625</wp:posOffset>
            </wp:positionV>
            <wp:extent cx="68580" cy="3168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-1190625</wp:posOffset>
            </wp:positionV>
            <wp:extent cx="68580" cy="316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-1190625</wp:posOffset>
            </wp:positionV>
            <wp:extent cx="68580" cy="316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-1190625</wp:posOffset>
            </wp:positionV>
            <wp:extent cx="68580" cy="31686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-1190625</wp:posOffset>
            </wp:positionV>
            <wp:extent cx="68580" cy="3168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-462280</wp:posOffset>
            </wp:positionV>
            <wp:extent cx="76835" cy="1200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-462280</wp:posOffset>
            </wp:positionV>
            <wp:extent cx="68580"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-462280</wp:posOffset>
            </wp:positionV>
            <wp:extent cx="68580"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-462280</wp:posOffset>
            </wp:positionV>
            <wp:extent cx="68580" cy="1200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-462280</wp:posOffset>
            </wp:positionV>
            <wp:extent cx="68580" cy="120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-462280</wp:posOffset>
            </wp:positionV>
            <wp:extent cx="68580" cy="1200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-24765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-8255</wp:posOffset>
            </wp:positionV>
            <wp:extent cx="768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-8255</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-8255</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June 30, 2023 and June 30, 2022</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three months ended June 30, 2023 and June 30, 2022. For the three months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ind w:right="200"/>
        <w:spacing w:after="0" w:line="263" w:lineRule="auto"/>
        <w:rPr>
          <w:sz w:val="20"/>
          <w:szCs w:val="20"/>
          <w:color w:val="auto"/>
        </w:rPr>
      </w:pPr>
      <w:r>
        <w:rPr>
          <w:rFonts w:ascii="Arial" w:cs="Arial" w:eastAsia="Arial" w:hAnsi="Arial"/>
          <w:sz w:val="18"/>
          <w:szCs w:val="18"/>
          <w:color w:val="auto"/>
        </w:rPr>
        <w:t>ended June 30, 2023 compared to the three months ended June 30, 2022, revenues increased by $15.7 million or 34% due to higher management fees from the impact of inorganic growth of $6.9 million driven by the acquisition of WTI and $8.8 million of organic growth across Bonaccord, Hark, ECG, RCP, and Truebridge.</w:t>
      </w:r>
    </w:p>
    <w:p>
      <w:pPr>
        <w:spacing w:after="0" w:line="184"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Management and advisory fees increased by $15.2 million, or 33%, to $61.7 million for the three months ended June 30, 2023 as compared to the three months ended June 30, 2022 due to inorganic growth due to the acquisition of WTI which brought $6.9 million of revenue in the first quarter of 2023 and organic FPAUM growth at Bonaccord, Hark, RCP, TrueBridge, and ECG were the primary drivers of the increase in management and advisory fees of $8.3 million. Catch-up fees for the three months ended June 30, 2023 were $4.7 million associated with the fund closings at Bonaccord, TrueBridge and RCP.</w:t>
      </w:r>
    </w:p>
    <w:p>
      <w:pPr>
        <w:spacing w:after="0" w:line="188" w:lineRule="exact"/>
        <w:rPr>
          <w:sz w:val="20"/>
          <w:szCs w:val="20"/>
          <w:color w:val="auto"/>
        </w:rPr>
      </w:pPr>
    </w:p>
    <w:p>
      <w:pPr>
        <w:ind w:right="340" w:firstLine="509"/>
        <w:spacing w:after="0" w:line="342" w:lineRule="auto"/>
        <w:rPr>
          <w:sz w:val="20"/>
          <w:szCs w:val="20"/>
          <w:color w:val="auto"/>
        </w:rPr>
      </w:pPr>
      <w:r>
        <w:rPr>
          <w:rFonts w:ascii="Arial" w:cs="Arial" w:eastAsia="Arial" w:hAnsi="Arial"/>
          <w:sz w:val="16"/>
          <w:szCs w:val="16"/>
          <w:color w:val="auto"/>
        </w:rPr>
        <w:t>Other revenues, which represent ancillary elements of our business, increased by $0.5 million or 184% to $0.8 million for the three months ended June 30, 2023 as compared to the three months ended June 30, 2022 driven primarily by an increase of $0.6 million of interest income in other revenue.</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and June 30, 2022</w:t>
      </w:r>
    </w:p>
    <w:p>
      <w:pPr>
        <w:spacing w:after="0" w:line="1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six months ended June 30, 2023 and June 30, 2022. For the six months ended June 30, 2023 compared to the six months ended June 30, 2022, revenues increased by $29.7 million or 33% due to higher management fees from the impact of inorganic growth of $14.0 million driven by the acquisition of WTI and $15.7 million of organic growth across Bonaccord, Hark, ECG, RCP, and Truebridge.</w:t>
      </w:r>
    </w:p>
    <w:p>
      <w:pPr>
        <w:spacing w:after="0" w:line="176"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Management and advisory fees increased by $28.8 million, or 32%, to $118.2 million for the six months ended June 30, 2023 as compared to the six months ended June 30, 2022 due to inorganic growth due to the acquisition of WTI which brought $14.0 million of revenue in the first quarter of 2023 and organic FPAUM growth at Bonaccord, Hark, RCP, TrueBridge, and ECG were the primary drivers of the increase in management and advisory fees of $14.8 million. Catch-up fees for the six months ended June 30, 2023 were $7.8 million associated with the fund closings at Bonaccord, TrueBridge and RCP.</w:t>
      </w:r>
    </w:p>
    <w:p>
      <w:pPr>
        <w:spacing w:after="0" w:line="188" w:lineRule="exact"/>
        <w:rPr>
          <w:sz w:val="20"/>
          <w:szCs w:val="20"/>
          <w:color w:val="auto"/>
        </w:rPr>
      </w:pPr>
    </w:p>
    <w:p>
      <w:pPr>
        <w:ind w:right="120" w:firstLine="509"/>
        <w:spacing w:after="0" w:line="342" w:lineRule="auto"/>
        <w:rPr>
          <w:sz w:val="20"/>
          <w:szCs w:val="20"/>
          <w:color w:val="auto"/>
        </w:rPr>
      </w:pPr>
      <w:r>
        <w:rPr>
          <w:rFonts w:ascii="Arial" w:cs="Arial" w:eastAsia="Arial" w:hAnsi="Arial"/>
          <w:sz w:val="16"/>
          <w:szCs w:val="16"/>
          <w:color w:val="auto"/>
        </w:rPr>
        <w:t>Other revenues, which represent ancillary elements of our business, increased by $0.9 million or 174% to $1.5 million for the six months ended June 30, 2023 as compared to the six months ended June 30, 2022 driven primarily by an increase of $0.7 million of interest income in other revenue.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For the six months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6"/>
        </w:trPr>
        <w:tc>
          <w:tcPr>
            <w:tcW w:w="3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ended June 30,</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ended June 30,</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74"/>
        </w:trPr>
        <w:tc>
          <w:tcPr>
            <w:tcW w:w="3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69"/>
        </w:trPr>
        <w:tc>
          <w:tcPr>
            <w:tcW w:w="30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8"/>
              </w:rPr>
              <w:t>$ Change</w:t>
            </w: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4"/>
                <w:szCs w:val="14"/>
                <w:color w:val="auto"/>
              </w:rPr>
            </w:pPr>
          </w:p>
        </w:tc>
      </w:tr>
      <w:tr>
        <w:trPr>
          <w:trHeight w:val="237"/>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60" w:type="dxa"/>
            <w:vAlign w:val="bottom"/>
          </w:tcPr>
          <w:p>
            <w:pPr>
              <w:spacing w:after="0"/>
              <w:rPr>
                <w:sz w:val="20"/>
                <w:szCs w:val="20"/>
                <w:color w:val="auto"/>
              </w:rPr>
            </w:pPr>
          </w:p>
        </w:tc>
        <w:tc>
          <w:tcPr>
            <w:tcW w:w="19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color w:val="auto"/>
              </w:rPr>
              <w:t>Compensation and benefits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36,311</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17,815</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18,496</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104 %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71,953</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36,309</w:t>
            </w:r>
          </w:p>
        </w:tc>
        <w:tc>
          <w:tcPr>
            <w:tcW w:w="1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35,644</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98 %</w:t>
            </w:r>
          </w:p>
        </w:tc>
      </w:tr>
      <w:tr>
        <w:trPr>
          <w:trHeight w:val="230"/>
        </w:trPr>
        <w:tc>
          <w:tcPr>
            <w:tcW w:w="300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2,992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2,740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252</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9 %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5,352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1,482</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28 %</w:t>
            </w:r>
          </w:p>
        </w:tc>
      </w:tr>
      <w:tr>
        <w:trPr>
          <w:trHeight w:val="229"/>
        </w:trPr>
        <w:tc>
          <w:tcPr>
            <w:tcW w:w="3000" w:type="dxa"/>
            <w:vAlign w:val="bottom"/>
          </w:tcPr>
          <w:p>
            <w:pPr>
              <w:ind w:left="20"/>
              <w:spacing w:after="0"/>
              <w:rPr>
                <w:sz w:val="20"/>
                <w:szCs w:val="20"/>
                <w:color w:val="auto"/>
              </w:rPr>
            </w:pPr>
            <w:r>
              <w:rPr>
                <w:rFonts w:ascii="Arial" w:cs="Arial" w:eastAsia="Arial" w:hAnsi="Arial"/>
                <w:sz w:val="16"/>
                <w:szCs w:val="16"/>
                <w:color w:val="auto"/>
              </w:rPr>
              <w:t>General, administrative, and other</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4,250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787</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19 %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9,894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8,362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1,532</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18 %</w:t>
            </w:r>
          </w:p>
        </w:tc>
      </w:tr>
      <w:tr>
        <w:trPr>
          <w:trHeight w:val="230"/>
        </w:trPr>
        <w:tc>
          <w:tcPr>
            <w:tcW w:w="3000" w:type="dxa"/>
            <w:vAlign w:val="bottom"/>
          </w:tcPr>
          <w:p>
            <w:pPr>
              <w:ind w:left="20"/>
              <w:spacing w:after="0"/>
              <w:rPr>
                <w:sz w:val="20"/>
                <w:szCs w:val="20"/>
                <w:color w:val="auto"/>
              </w:rPr>
            </w:pPr>
            <w:r>
              <w:rPr>
                <w:rFonts w:ascii="Arial" w:cs="Arial" w:eastAsia="Arial" w:hAnsi="Arial"/>
                <w:sz w:val="16"/>
                <w:szCs w:val="16"/>
                <w:color w:val="auto"/>
              </w:rPr>
              <w:t>Contingent consideration expense</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(140 )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220</w:t>
            </w:r>
          </w:p>
        </w:tc>
        <w:tc>
          <w:tcPr>
            <w:tcW w:w="1380" w:type="dxa"/>
            <w:vAlign w:val="bottom"/>
            <w:gridSpan w:val="3"/>
          </w:tcPr>
          <w:p>
            <w:pPr>
              <w:jc w:val="right"/>
              <w:ind w:right="20"/>
              <w:spacing w:after="0"/>
              <w:rPr>
                <w:sz w:val="20"/>
                <w:szCs w:val="20"/>
                <w:color w:val="auto"/>
              </w:rPr>
            </w:pPr>
            <w:r>
              <w:rPr>
                <w:rFonts w:ascii="Arial" w:cs="Arial" w:eastAsia="Arial" w:hAnsi="Arial"/>
                <w:sz w:val="16"/>
                <w:szCs w:val="16"/>
                <w:color w:val="auto"/>
              </w:rPr>
              <w:t>(157 )%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483</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(3,715 )%</w:t>
            </w:r>
          </w:p>
        </w:tc>
      </w:tr>
      <w:tr>
        <w:trPr>
          <w:trHeight w:val="230"/>
        </w:trPr>
        <w:tc>
          <w:tcPr>
            <w:tcW w:w="3000" w:type="dxa"/>
            <w:vAlign w:val="bottom"/>
          </w:tcPr>
          <w:p>
            <w:pPr>
              <w:ind w:left="20"/>
              <w:spacing w:after="0"/>
              <w:rPr>
                <w:sz w:val="20"/>
                <w:szCs w:val="20"/>
                <w:color w:val="auto"/>
              </w:rPr>
            </w:pPr>
            <w:r>
              <w:rPr>
                <w:rFonts w:ascii="Arial" w:cs="Arial" w:eastAsia="Arial" w:hAnsi="Arial"/>
                <w:sz w:val="16"/>
                <w:szCs w:val="16"/>
                <w:color w:val="auto"/>
              </w:rPr>
              <w:t>Amortization of intangibles</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6,153</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1,173</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19 %</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14,574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12,334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2,240</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18 %</w:t>
            </w:r>
          </w:p>
        </w:tc>
      </w:tr>
      <w:tr>
        <w:trPr>
          <w:trHeight w:val="246"/>
        </w:trPr>
        <w:tc>
          <w:tcPr>
            <w:tcW w:w="3000" w:type="dxa"/>
            <w:vAlign w:val="bottom"/>
          </w:tcPr>
          <w:p>
            <w:pPr>
              <w:ind w:left="20"/>
              <w:spacing w:after="0"/>
              <w:rPr>
                <w:sz w:val="20"/>
                <w:szCs w:val="20"/>
                <w:color w:val="auto"/>
              </w:rPr>
            </w:pPr>
            <w:r>
              <w:rPr>
                <w:rFonts w:ascii="Arial" w:cs="Arial" w:eastAsia="Arial" w:hAnsi="Arial"/>
                <w:sz w:val="16"/>
                <w:szCs w:val="16"/>
                <w:color w:val="auto"/>
              </w:rPr>
              <w:t>Strategic alliance expense</w:t>
            </w: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2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163 %</w:t>
            </w: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164 %</w:t>
            </w:r>
          </w:p>
        </w:tc>
      </w:tr>
      <w:tr>
        <w:trPr>
          <w:trHeight w:val="226"/>
        </w:trPr>
        <w:tc>
          <w:tcPr>
            <w:tcW w:w="300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52,148</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30,971</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21,177</w:t>
            </w:r>
          </w:p>
        </w:tc>
        <w:tc>
          <w:tcPr>
            <w:tcW w:w="1380" w:type="dxa"/>
            <w:vAlign w:val="bottom"/>
            <w:gridSpan w:val="3"/>
          </w:tcPr>
          <w:p>
            <w:pPr>
              <w:jc w:val="right"/>
              <w:ind w:right="80"/>
              <w:spacing w:after="0"/>
              <w:rPr>
                <w:sz w:val="20"/>
                <w:szCs w:val="20"/>
                <w:color w:val="auto"/>
              </w:rPr>
            </w:pPr>
            <w:r>
              <w:rPr>
                <w:rFonts w:ascii="Arial" w:cs="Arial" w:eastAsia="Arial" w:hAnsi="Arial"/>
                <w:sz w:val="16"/>
                <w:szCs w:val="16"/>
                <w:color w:val="auto"/>
              </w:rPr>
              <w:t>68 %</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104,530</w:t>
            </w:r>
          </w:p>
        </w:tc>
        <w:tc>
          <w:tcPr>
            <w:tcW w:w="4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62,649</w:t>
            </w:r>
          </w:p>
        </w:tc>
        <w:tc>
          <w:tcPr>
            <w:tcW w:w="120" w:type="dxa"/>
            <w:vAlign w:val="bottom"/>
          </w:tcPr>
          <w:p>
            <w:pPr>
              <w:spacing w:after="0"/>
              <w:rPr>
                <w:sz w:val="19"/>
                <w:szCs w:val="19"/>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41,881</w:t>
            </w:r>
          </w:p>
        </w:tc>
        <w:tc>
          <w:tcPr>
            <w:tcW w:w="1320" w:type="dxa"/>
            <w:vAlign w:val="bottom"/>
            <w:gridSpan w:val="3"/>
          </w:tcPr>
          <w:p>
            <w:pPr>
              <w:jc w:val="right"/>
              <w:ind w:right="60"/>
              <w:spacing w:after="0"/>
              <w:rPr>
                <w:sz w:val="20"/>
                <w:szCs w:val="20"/>
                <w:color w:val="auto"/>
              </w:rPr>
            </w:pPr>
            <w:r>
              <w:rPr>
                <w:rFonts w:ascii="Arial" w:cs="Arial" w:eastAsia="Arial" w:hAnsi="Arial"/>
                <w:sz w:val="16"/>
                <w:szCs w:val="16"/>
                <w:color w:val="auto"/>
              </w:rPr>
              <w:t>67 %</w:t>
            </w:r>
          </w:p>
        </w:tc>
      </w:tr>
      <w:tr>
        <w:trPr>
          <w:trHeight w:val="20"/>
        </w:trPr>
        <w:tc>
          <w:tcPr>
            <w:tcW w:w="3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46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45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46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June 30, 2023 and June 30, 2022</w:t>
      </w:r>
    </w:p>
    <w:p>
      <w:pPr>
        <w:spacing w:after="0" w:line="117" w:lineRule="exact"/>
        <w:rPr>
          <w:sz w:val="20"/>
          <w:szCs w:val="20"/>
          <w:color w:val="auto"/>
        </w:rPr>
      </w:pPr>
    </w:p>
    <w:p>
      <w:pPr>
        <w:ind w:right="580" w:firstLine="509"/>
        <w:spacing w:after="0" w:line="342" w:lineRule="auto"/>
        <w:rPr>
          <w:sz w:val="20"/>
          <w:szCs w:val="20"/>
          <w:color w:val="auto"/>
        </w:rPr>
      </w:pPr>
      <w:r>
        <w:rPr>
          <w:rFonts w:ascii="Arial" w:cs="Arial" w:eastAsia="Arial" w:hAnsi="Arial"/>
          <w:sz w:val="16"/>
          <w:szCs w:val="16"/>
          <w:color w:val="auto"/>
        </w:rPr>
        <w:t>Total operating expenses increased by $21.2 million, or 68%, to $52.1 million for the three months ended June 30, 2023 compared to the three months ended June 30, 2022. This increase was primarily due to increases in compensation and benefits as well as amortization expense.</w:t>
      </w:r>
    </w:p>
    <w:p>
      <w:pPr>
        <w:spacing w:after="0" w:line="124" w:lineRule="exact"/>
        <w:rPr>
          <w:sz w:val="20"/>
          <w:szCs w:val="20"/>
          <w:color w:val="auto"/>
        </w:rPr>
      </w:pPr>
    </w:p>
    <w:p>
      <w:pPr>
        <w:ind w:right="320" w:firstLine="509"/>
        <w:spacing w:after="0" w:line="258" w:lineRule="auto"/>
        <w:rPr>
          <w:sz w:val="20"/>
          <w:szCs w:val="20"/>
          <w:color w:val="auto"/>
        </w:rPr>
      </w:pPr>
      <w:r>
        <w:rPr>
          <w:rFonts w:ascii="Arial" w:cs="Arial" w:eastAsia="Arial" w:hAnsi="Arial"/>
          <w:sz w:val="18"/>
          <w:szCs w:val="18"/>
          <w:color w:val="auto"/>
        </w:rPr>
        <w:t>Compensation and benefits expense increased by $18.5 million, or 104%, to $36.3 million, for the three months ended June 30, 2023 compared to the three months ended June 30, 2022. The acquisition of WTI added $2.7 million of</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9" w:right="239" w:bottom="1440" w:gutter="0" w:footer="0" w:header="0"/>
        </w:sectPr>
      </w:pPr>
    </w:p>
    <w:bookmarkStart w:id="37" w:name="page38"/>
    <w:bookmarkEnd w:id="37"/>
    <w:p>
      <w:pPr>
        <w:ind w:right="100"/>
        <w:spacing w:after="0" w:line="257" w:lineRule="auto"/>
        <w:rPr>
          <w:sz w:val="20"/>
          <w:szCs w:val="20"/>
          <w:color w:val="auto"/>
        </w:rPr>
      </w:pPr>
      <w:r>
        <w:rPr>
          <w:rFonts w:ascii="Arial" w:cs="Arial" w:eastAsia="Arial" w:hAnsi="Arial"/>
          <w:sz w:val="18"/>
          <w:szCs w:val="18"/>
          <w:color w:val="auto"/>
        </w:rPr>
        <w:t>compensation expense in the first half of 2023. Stock compensation contributed to $5.3 million of the increase, of which $2.2 million relates to acquisition activity. An additional $2.1 million of the increase in stock compensation expense is attributable to management compensation as a result of amended employment agreements executed during the second quarter of 2023. The earn out and bonus accruals associated with the acquisition of WTI as discussed in Note 14 in the Notes to the Consolidated Financial Statements contributed $6.4 million. Additionally, there was a $4.2 million increase associated with an increase in headcount and associated benefits across all subsidiaries.</w:t>
      </w:r>
    </w:p>
    <w:p>
      <w:pPr>
        <w:spacing w:after="0" w:line="188"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Professional fees increased by $0.3 million, or 9%, to $3.0 million. The primary cost in professional fees for the three months ended June 30, 2023 and 2022 are tax fees associated with year end reporting and strategic planning.</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General, administrative and other increased by $0.8 million, or 19%, to $5.0 million, due primarily to the acquisition of WTI.</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Contingent consideration expense increased by $0.2 million, to $0.1 million, for the three months ended June 30, 2023 as compared to the three months ended June 30, 2022. This was driven by remeasurement during the periods of contingent consideration payable in connection with the acquisitions of Hark and Bonaccord.</w:t>
      </w:r>
    </w:p>
    <w:p>
      <w:pPr>
        <w:spacing w:after="0" w:line="184"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Amortization of intangibles increased by $1.2 million, or 19%, to $7.3 million, for the three months ended June 30, 2023 as compared to the three months ended June 30, 2022. This is due to the acquisition of WTI.</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 Months Ended June 30, 2023 and June 30, 2022</w:t>
      </w:r>
    </w:p>
    <w:p>
      <w:pPr>
        <w:spacing w:after="0" w:line="117" w:lineRule="exact"/>
        <w:rPr>
          <w:sz w:val="20"/>
          <w:szCs w:val="20"/>
          <w:color w:val="auto"/>
        </w:rPr>
      </w:pPr>
    </w:p>
    <w:p>
      <w:pPr>
        <w:ind w:right="120" w:firstLine="509"/>
        <w:spacing w:after="0" w:line="308" w:lineRule="auto"/>
        <w:rPr>
          <w:sz w:val="20"/>
          <w:szCs w:val="20"/>
          <w:color w:val="auto"/>
        </w:rPr>
      </w:pPr>
      <w:r>
        <w:rPr>
          <w:rFonts w:ascii="Arial" w:cs="Arial" w:eastAsia="Arial" w:hAnsi="Arial"/>
          <w:sz w:val="17"/>
          <w:szCs w:val="17"/>
          <w:color w:val="auto"/>
        </w:rPr>
        <w:t>Total operating expenses increased by $41.9 million, or 67%, to $104.5 million for the six months ended June 30, 2023 compared to the six months ended June 30, 2022. This increase was primarily due to increases in compensation and benefits as well as amortization expense.</w:t>
      </w:r>
    </w:p>
    <w:p>
      <w:pPr>
        <w:spacing w:after="0" w:line="146"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Compensation and benefits expense increased by $35.6 million, or 98%, to $72.0 million, for the six months ended June 30, 2023 compared to the six months ended June 30, 2022. The increase was driven by a number of factors. The acquisition of WTI added $5.9 million of compensation expense in the first half of 2023. Stock compensation contributed to $10.9 million of the increase, of which $6.7 million relates to acquisition activity. Management compensation contributed to the increase in stock compensation by $2.1 million as a result of amended employment agreements executed during the second quarter of 2023. The earn out and bonus accruals associated with the acquisition of WTI as discussed in Note 14 in the footnotes to the consolidated financial statements contributed $12.8 million. The final driver is a $6.1 million increase associated with an increase in headcount and associated benefits across all subsidiaries.</w:t>
      </w:r>
    </w:p>
    <w:p>
      <w:pPr>
        <w:spacing w:after="0" w:line="195"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Professional fees increased by $1.5 million, or 28%, to $6.8 million. The primary cost in professional fees for the six months ended June 30, 2023 and 2022 are tax fees associated with year end reporting and strategic planning and audit expenses.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General, administrative and other increased by $1.5 million, or 18%, to $9.9 million, due primarily to the acquisition of WTI.</w:t>
      </w:r>
    </w:p>
    <w:p>
      <w:pPr>
        <w:spacing w:after="0" w:line="225"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Contingent consideration expense increased by $0.5 million, to $0.5 million, for the six months ended June 30, 2023 as compared to the six months ended June 30, 2022. This was driven by remeasurement during the periods of contingent consideration payable in connection with the acquisitions of Hark and Bonaccord.</w:t>
      </w:r>
    </w:p>
    <w:p>
      <w:pPr>
        <w:spacing w:after="0" w:line="184" w:lineRule="exact"/>
        <w:rPr>
          <w:sz w:val="20"/>
          <w:szCs w:val="20"/>
          <w:color w:val="auto"/>
        </w:rPr>
      </w:pPr>
    </w:p>
    <w:p>
      <w:pPr>
        <w:ind w:right="420" w:firstLine="509"/>
        <w:spacing w:after="0" w:line="277" w:lineRule="auto"/>
        <w:rPr>
          <w:sz w:val="20"/>
          <w:szCs w:val="20"/>
          <w:color w:val="auto"/>
        </w:rPr>
      </w:pPr>
      <w:r>
        <w:rPr>
          <w:rFonts w:ascii="Arial" w:cs="Arial" w:eastAsia="Arial" w:hAnsi="Arial"/>
          <w:sz w:val="18"/>
          <w:szCs w:val="18"/>
          <w:color w:val="auto"/>
        </w:rPr>
        <w:t>Amortization of intangibles increased by $2.2 million, or 18%, to $14.6 million, for the six months ended June 30, 2023 as compared to the six months ended June 30, 2022. This is due to the acquisition of WTI.</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June 30, 2023 and June 30, 2022</w:t>
      </w:r>
    </w:p>
    <w:p>
      <w:pPr>
        <w:spacing w:after="0" w:line="117" w:lineRule="exact"/>
        <w:rPr>
          <w:sz w:val="20"/>
          <w:szCs w:val="20"/>
          <w:color w:val="auto"/>
        </w:rPr>
      </w:pPr>
    </w:p>
    <w:p>
      <w:pPr>
        <w:ind w:right="200" w:firstLine="509"/>
        <w:spacing w:after="0" w:line="269" w:lineRule="auto"/>
        <w:rPr>
          <w:sz w:val="20"/>
          <w:szCs w:val="20"/>
          <w:color w:val="auto"/>
        </w:rPr>
      </w:pPr>
      <w:r>
        <w:rPr>
          <w:rFonts w:ascii="Arial" w:cs="Arial" w:eastAsia="Arial" w:hAnsi="Arial"/>
          <w:sz w:val="17"/>
          <w:szCs w:val="17"/>
          <w:color w:val="auto"/>
        </w:rPr>
        <w:t>Other expenses increased by $5.5 million, or 753%, to $6.3 million for the three months ended June 30, 2023 compared to the three months ended June 30, 2022. This increase was driven by a rise in interest expense of $3.9 million. The increase in interest expense correlates to the increase in the principal balance outstanding of our Revolving Credit Facility and Term Loan of $84.3 million from the second quarter of 2022 to the second quarter of 2023 as well as rising interest rates. The increase in principal balances primarily relates to the acquisition of WTI.</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For the Six Months Ended June 30, 2023 and June 30, 2022</w:t>
      </w:r>
    </w:p>
    <w:p>
      <w:pPr>
        <w:spacing w:after="0" w:line="117"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Other expenses increased by $9.5 million, or 532%, to $11.3 million for the six months ended June 30, 2023 compared to the six months ended June 30, 2022. This increase was driven by a rise in interest expense of $7.7 million. The increase in interest expense correlates to the increase in the principal balance outstanding of our Revolving Credit Facility and Term Loan of $84.3 million from the first six months of 2022 to the first six months of 2023 as well as rising interest rates. The increase in principal balances primarily relates to the acquisition of WTI.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Expense/Benefit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Months Ended June 30, 2023 and June 30, 2022</w:t>
      </w:r>
    </w:p>
    <w:p>
      <w:pPr>
        <w:spacing w:after="0" w:line="11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Income tax expense decreased by $1.9 million to $2.0 million for the three months ended June 30, 2023 compared to an expense of $3.9 million for the three months ended June 30, 2022. The decrease was due to lower pre-tax income during the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Six Months Ended June 30, 2023 and June 30, 2022</w:t>
      </w:r>
    </w:p>
    <w:p>
      <w:pPr>
        <w:spacing w:after="0" w:line="117"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Income tax expense decreased by $5.6 million to $1.0 million for the six months ended June 30, 2023 compared to an expense of $6.6 million for the six months ended June 30, 2022. The decrease was due to lower pre-tax income during the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FPAUM</w:t>
      </w:r>
    </w:p>
    <w:p>
      <w:pPr>
        <w:spacing w:after="0" w:line="117"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The following table provides a period-to-period roll-forward of our fee paying assets under management on a pro forma basis as if WTI was acquired on January 1, 2022.</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5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For the three months</w:t>
            </w:r>
          </w:p>
        </w:tc>
        <w:tc>
          <w:tcPr>
            <w:tcW w:w="16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For the three months</w:t>
            </w:r>
          </w:p>
        </w:tc>
        <w:tc>
          <w:tcPr>
            <w:tcW w:w="140" w:type="dxa"/>
            <w:vAlign w:val="bottom"/>
          </w:tcPr>
          <w:p>
            <w:pPr>
              <w:spacing w:after="0"/>
              <w:rPr>
                <w:sz w:val="14"/>
                <w:szCs w:val="14"/>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For the six months</w:t>
            </w: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For the six months</w:t>
            </w:r>
          </w:p>
        </w:tc>
      </w:tr>
      <w:tr>
        <w:trPr>
          <w:trHeight w:val="186"/>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ended June 30,</w:t>
            </w:r>
          </w:p>
        </w:tc>
        <w:tc>
          <w:tcPr>
            <w:tcW w:w="18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ended June 30,</w:t>
            </w:r>
          </w:p>
        </w:tc>
        <w:tc>
          <w:tcPr>
            <w:tcW w:w="14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ended June 30,</w:t>
            </w:r>
          </w:p>
        </w:tc>
        <w:tc>
          <w:tcPr>
            <w:tcW w:w="14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ended June 30,</w:t>
            </w:r>
          </w:p>
        </w:tc>
      </w:tr>
      <w:tr>
        <w:trPr>
          <w:trHeight w:val="350"/>
        </w:trPr>
        <w:tc>
          <w:tcPr>
            <w:tcW w:w="2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2023</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2022</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24"/>
                <w:szCs w:val="24"/>
                <w:color w:val="auto"/>
              </w:rPr>
            </w:pPr>
          </w:p>
        </w:tc>
      </w:tr>
      <w:tr>
        <w:trPr>
          <w:trHeight w:val="169"/>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15"/>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4"/>
                <w:szCs w:val="14"/>
                <w:color w:val="auto"/>
              </w:rPr>
            </w:pPr>
          </w:p>
        </w:tc>
      </w:tr>
      <w:tr>
        <w:trPr>
          <w:trHeight w:val="24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21,206</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19,032</w:t>
            </w:r>
          </w:p>
        </w:tc>
        <w:tc>
          <w:tcPr>
            <w:tcW w:w="80" w:type="dxa"/>
            <w:vAlign w:val="bottom"/>
            <w:shd w:val="clear" w:color="auto" w:fill="CFF0FC"/>
          </w:tcPr>
          <w:p>
            <w:pPr>
              <w:spacing w:after="0"/>
              <w:rPr>
                <w:sz w:val="21"/>
                <w:szCs w:val="21"/>
                <w:color w:val="auto"/>
              </w:rPr>
            </w:pPr>
          </w:p>
        </w:tc>
      </w:tr>
      <w:tr>
        <w:trPr>
          <w:trHeight w:val="237"/>
        </w:trPr>
        <w:tc>
          <w:tcPr>
            <w:tcW w:w="2980" w:type="dxa"/>
            <w:vAlign w:val="bottom"/>
          </w:tcPr>
          <w:p>
            <w:pPr>
              <w:ind w:left="180"/>
              <w:spacing w:after="0"/>
              <w:rPr>
                <w:sz w:val="20"/>
                <w:szCs w:val="20"/>
                <w:color w:val="auto"/>
              </w:rPr>
            </w:pPr>
            <w:r>
              <w:rPr>
                <w:rFonts w:ascii="Arial" w:cs="Arial" w:eastAsia="Arial" w:hAnsi="Arial"/>
                <w:sz w:val="18"/>
                <w:szCs w:val="18"/>
                <w:color w:val="auto"/>
              </w:rPr>
              <w:t>Add:</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980" w:type="dxa"/>
            <w:vAlign w:val="bottom"/>
          </w:tcPr>
          <w:p>
            <w:pPr>
              <w:ind w:left="360"/>
              <w:spacing w:after="0" w:line="243" w:lineRule="exact"/>
              <w:rPr>
                <w:sz w:val="20"/>
                <w:szCs w:val="20"/>
                <w:color w:val="auto"/>
              </w:rPr>
            </w:pPr>
            <w:r>
              <w:rPr>
                <w:rFonts w:ascii="Arial" w:cs="Arial" w:eastAsia="Arial" w:hAnsi="Arial"/>
                <w:sz w:val="18"/>
                <w:szCs w:val="18"/>
                <w:color w:val="auto"/>
              </w:rPr>
              <w:t xml:space="preserve">Capital raised </w:t>
            </w:r>
            <w:r>
              <w:rPr>
                <w:rFonts w:ascii="Arial" w:cs="Arial" w:eastAsia="Arial" w:hAnsi="Arial"/>
                <w:sz w:val="24"/>
                <w:szCs w:val="24"/>
                <w:color w:val="auto"/>
                <w:vertAlign w:val="superscript"/>
              </w:rPr>
              <w:t>(1)</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21"/>
                <w:szCs w:val="21"/>
                <w:color w:val="auto"/>
              </w:rPr>
            </w:pPr>
          </w:p>
        </w:tc>
      </w:tr>
      <w:tr>
        <w:trPr>
          <w:trHeight w:val="243"/>
        </w:trPr>
        <w:tc>
          <w:tcPr>
            <w:tcW w:w="2980" w:type="dxa"/>
            <w:vAlign w:val="bottom"/>
            <w:shd w:val="clear" w:color="auto" w:fill="CFF0FC"/>
          </w:tcPr>
          <w:p>
            <w:pPr>
              <w:ind w:left="360"/>
              <w:spacing w:after="0" w:line="243" w:lineRule="exact"/>
              <w:rPr>
                <w:sz w:val="20"/>
                <w:szCs w:val="20"/>
                <w:color w:val="auto"/>
              </w:rPr>
            </w:pPr>
            <w:r>
              <w:rPr>
                <w:rFonts w:ascii="Arial" w:cs="Arial" w:eastAsia="Arial" w:hAnsi="Arial"/>
                <w:sz w:val="18"/>
                <w:szCs w:val="18"/>
                <w:color w:val="auto"/>
              </w:rPr>
              <w:t xml:space="preserve">Capital deployed </w:t>
            </w:r>
            <w:r>
              <w:rPr>
                <w:rFonts w:ascii="Arial" w:cs="Arial" w:eastAsia="Arial" w:hAnsi="Arial"/>
                <w:sz w:val="24"/>
                <w:szCs w:val="24"/>
                <w:color w:val="auto"/>
                <w:vertAlign w:val="superscript"/>
              </w:rPr>
              <w:t>(2)</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80" w:type="dxa"/>
            <w:vAlign w:val="bottom"/>
            <w:shd w:val="clear" w:color="auto" w:fill="CFF0FC"/>
          </w:tcPr>
          <w:p>
            <w:pPr>
              <w:spacing w:after="0"/>
              <w:rPr>
                <w:sz w:val="21"/>
                <w:szCs w:val="21"/>
                <w:color w:val="auto"/>
              </w:rPr>
            </w:pPr>
          </w:p>
        </w:tc>
      </w:tr>
      <w:tr>
        <w:trPr>
          <w:trHeight w:val="243"/>
        </w:trPr>
        <w:tc>
          <w:tcPr>
            <w:tcW w:w="2980" w:type="dxa"/>
            <w:vAlign w:val="bottom"/>
          </w:tcPr>
          <w:p>
            <w:pPr>
              <w:ind w:left="360"/>
              <w:spacing w:after="0" w:line="243" w:lineRule="exact"/>
              <w:rPr>
                <w:sz w:val="20"/>
                <w:szCs w:val="20"/>
                <w:color w:val="auto"/>
              </w:rPr>
            </w:pPr>
            <w:r>
              <w:rPr>
                <w:rFonts w:ascii="Arial" w:cs="Arial" w:eastAsia="Arial" w:hAnsi="Arial"/>
                <w:sz w:val="18"/>
                <w:szCs w:val="18"/>
                <w:color w:val="auto"/>
              </w:rPr>
              <w:t xml:space="preserve">Net Asset Value Change </w:t>
            </w:r>
            <w:r>
              <w:rPr>
                <w:rFonts w:ascii="Arial" w:cs="Arial" w:eastAsia="Arial" w:hAnsi="Arial"/>
                <w:sz w:val="24"/>
                <w:szCs w:val="24"/>
                <w:color w:val="auto"/>
                <w:vertAlign w:val="superscript"/>
              </w:rPr>
              <w:t>(3)</w:t>
            </w:r>
          </w:p>
        </w:tc>
        <w:tc>
          <w:tcPr>
            <w:tcW w:w="140" w:type="dxa"/>
            <w:vAlign w:val="bottom"/>
          </w:tcPr>
          <w:p>
            <w:pPr>
              <w:spacing w:after="0"/>
              <w:rPr>
                <w:sz w:val="21"/>
                <w:szCs w:val="21"/>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(29 )</w:t>
            </w:r>
          </w:p>
        </w:tc>
        <w:tc>
          <w:tcPr>
            <w:tcW w:w="18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(70 )</w:t>
            </w:r>
          </w:p>
        </w:tc>
        <w:tc>
          <w:tcPr>
            <w:tcW w:w="14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(47 )</w:t>
            </w:r>
          </w:p>
        </w:tc>
        <w:tc>
          <w:tcPr>
            <w:tcW w:w="14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(130 )</w:t>
            </w:r>
          </w:p>
        </w:tc>
      </w:tr>
      <w:tr>
        <w:trPr>
          <w:trHeight w:val="243"/>
        </w:trPr>
        <w:tc>
          <w:tcPr>
            <w:tcW w:w="2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w:t>
            </w: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7"/>
        </w:trPr>
        <w:tc>
          <w:tcPr>
            <w:tcW w:w="2980" w:type="dxa"/>
            <w:vAlign w:val="bottom"/>
          </w:tcPr>
          <w:p>
            <w:pPr>
              <w:ind w:left="360"/>
              <w:spacing w:after="0"/>
              <w:rPr>
                <w:sz w:val="20"/>
                <w:szCs w:val="20"/>
                <w:color w:val="auto"/>
              </w:rPr>
            </w:pPr>
            <w:r>
              <w:rPr>
                <w:rFonts w:ascii="Arial" w:cs="Arial" w:eastAsia="Arial" w:hAnsi="Arial"/>
                <w:sz w:val="18"/>
                <w:szCs w:val="18"/>
                <w:color w:val="auto"/>
              </w:rPr>
              <w:t>Scheduled fee base stepdowns</w:t>
            </w:r>
          </w:p>
        </w:tc>
        <w:tc>
          <w:tcPr>
            <w:tcW w:w="14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(214 )</w:t>
            </w:r>
          </w:p>
        </w:tc>
        <w:tc>
          <w:tcPr>
            <w:tcW w:w="18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(32 )</w:t>
            </w: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(284 )</w:t>
            </w:r>
          </w:p>
        </w:tc>
        <w:tc>
          <w:tcPr>
            <w:tcW w:w="14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(132 )</w:t>
            </w:r>
          </w:p>
        </w:tc>
      </w:tr>
      <w:tr>
        <w:trPr>
          <w:trHeight w:val="243"/>
        </w:trPr>
        <w:tc>
          <w:tcPr>
            <w:tcW w:w="2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Expiration of fee period</w:t>
            </w:r>
          </w:p>
        </w:tc>
        <w:tc>
          <w:tcPr>
            <w:tcW w:w="1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(465 )</w:t>
            </w:r>
          </w:p>
        </w:tc>
        <w:tc>
          <w:tcPr>
            <w:tcW w:w="1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(269 )</w:t>
            </w:r>
          </w:p>
        </w:tc>
        <w:tc>
          <w:tcPr>
            <w:tcW w:w="1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(892 )</w:t>
            </w:r>
          </w:p>
        </w:tc>
        <w:tc>
          <w:tcPr>
            <w:tcW w:w="14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(585 )</w:t>
            </w:r>
          </w:p>
        </w:tc>
      </w:tr>
      <w:tr>
        <w:trPr>
          <w:trHeight w:val="236"/>
        </w:trPr>
        <w:tc>
          <w:tcPr>
            <w:tcW w:w="29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22,165</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20,178</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22,165</w:t>
            </w:r>
          </w:p>
        </w:tc>
        <w:tc>
          <w:tcPr>
            <w:tcW w:w="1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20,177</w:t>
            </w:r>
          </w:p>
        </w:tc>
        <w:tc>
          <w:tcPr>
            <w:tcW w:w="8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-170815</wp:posOffset>
            </wp:positionV>
            <wp:extent cx="5969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-170815</wp:posOffset>
            </wp:positionV>
            <wp:extent cx="60325"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-170815</wp:posOffset>
            </wp:positionV>
            <wp:extent cx="51435"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-170815</wp:posOffset>
            </wp:positionV>
            <wp:extent cx="51435"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spacing w:after="0" w:line="9" w:lineRule="exact"/>
        <w:rPr>
          <w:rFonts w:ascii="Arial" w:cs="Arial" w:eastAsia="Arial" w:hAnsi="Arial"/>
          <w:sz w:val="18"/>
          <w:szCs w:val="18"/>
          <w:color w:val="auto"/>
        </w:rPr>
      </w:pPr>
    </w:p>
    <w:p>
      <w:pPr>
        <w:ind w:left="520" w:right="260" w:hanging="512"/>
        <w:spacing w:after="0" w:line="250"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9" w:name="page40"/>
    <w:bookmarkEnd w:id="39"/>
    <w:p>
      <w:pPr>
        <w:ind w:left="520"/>
        <w:spacing w:after="0"/>
        <w:rPr>
          <w:sz w:val="20"/>
          <w:szCs w:val="20"/>
          <w:color w:val="auto"/>
        </w:rPr>
      </w:pPr>
      <w:r>
        <w:rPr>
          <w:rFonts w:ascii="Arial" w:cs="Arial" w:eastAsia="Arial" w:hAnsi="Arial"/>
          <w:sz w:val="18"/>
          <w:szCs w:val="18"/>
          <w:color w:val="auto"/>
        </w:rPr>
        <w:t>The following table provides a period-to-period roll-forward of our fee paying assets under management on an actual basis.</w:t>
      </w:r>
    </w:p>
    <w:p>
      <w:pPr>
        <w:spacing w:after="0" w:line="218"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For the three months</w:t>
            </w:r>
          </w:p>
        </w:tc>
        <w:tc>
          <w:tcPr>
            <w:tcW w:w="140" w:type="dxa"/>
            <w:vAlign w:val="bottom"/>
          </w:tcPr>
          <w:p>
            <w:pPr>
              <w:spacing w:after="0"/>
              <w:rPr>
                <w:sz w:val="14"/>
                <w:szCs w:val="14"/>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For the three months</w:t>
            </w:r>
          </w:p>
        </w:tc>
        <w:tc>
          <w:tcPr>
            <w:tcW w:w="15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For the six months</w:t>
            </w:r>
          </w:p>
        </w:tc>
        <w:tc>
          <w:tcPr>
            <w:tcW w:w="13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For the six months</w:t>
            </w:r>
          </w:p>
        </w:tc>
      </w:tr>
      <w:tr>
        <w:trPr>
          <w:trHeight w:val="186"/>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ended June 30,</w:t>
            </w:r>
          </w:p>
        </w:tc>
        <w:tc>
          <w:tcPr>
            <w:tcW w:w="140" w:type="dxa"/>
            <w:vAlign w:val="bottom"/>
          </w:tcPr>
          <w:p>
            <w:pPr>
              <w:spacing w:after="0"/>
              <w:rPr>
                <w:sz w:val="16"/>
                <w:szCs w:val="16"/>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ended June 30,</w:t>
            </w:r>
          </w:p>
        </w:tc>
        <w:tc>
          <w:tcPr>
            <w:tcW w:w="14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ended June 30,</w:t>
            </w:r>
          </w:p>
        </w:tc>
        <w:tc>
          <w:tcPr>
            <w:tcW w:w="14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ended June 30,</w:t>
            </w:r>
          </w:p>
        </w:tc>
      </w:tr>
      <w:tr>
        <w:trPr>
          <w:trHeight w:val="350"/>
        </w:trPr>
        <w:tc>
          <w:tcPr>
            <w:tcW w:w="2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2023</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2022</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24"/>
                <w:szCs w:val="24"/>
                <w:color w:val="auto"/>
              </w:rPr>
            </w:pPr>
          </w:p>
        </w:tc>
      </w:tr>
      <w:tr>
        <w:trPr>
          <w:trHeight w:val="169"/>
        </w:trPr>
        <w:tc>
          <w:tcPr>
            <w:tcW w:w="2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5"/>
              <w:spacing w:after="0"/>
              <w:rPr>
                <w:sz w:val="20"/>
                <w:szCs w:val="20"/>
                <w:color w:val="auto"/>
              </w:rPr>
            </w:pPr>
            <w:r>
              <w:rPr>
                <w:rFonts w:ascii="Arial" w:cs="Arial" w:eastAsia="Arial" w:hAnsi="Arial"/>
                <w:sz w:val="14"/>
                <w:szCs w:val="14"/>
                <w:b w:val="1"/>
                <w:bCs w:val="1"/>
                <w:color w:val="auto"/>
                <w:w w:val="94"/>
              </w:rPr>
              <w:t>(in millions)</w:t>
            </w:r>
          </w:p>
        </w:tc>
        <w:tc>
          <w:tcPr>
            <w:tcW w:w="80" w:type="dxa"/>
            <w:vAlign w:val="bottom"/>
          </w:tcPr>
          <w:p>
            <w:pPr>
              <w:spacing w:after="0"/>
              <w:rPr>
                <w:sz w:val="14"/>
                <w:szCs w:val="14"/>
                <w:color w:val="auto"/>
              </w:rPr>
            </w:pPr>
          </w:p>
        </w:tc>
      </w:tr>
      <w:tr>
        <w:trPr>
          <w:trHeight w:val="243"/>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21,601</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21,206</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17,263</w:t>
            </w:r>
          </w:p>
        </w:tc>
        <w:tc>
          <w:tcPr>
            <w:tcW w:w="80" w:type="dxa"/>
            <w:vAlign w:val="bottom"/>
            <w:shd w:val="clear" w:color="auto" w:fill="CFF0FC"/>
          </w:tcPr>
          <w:p>
            <w:pPr>
              <w:spacing w:after="0"/>
              <w:rPr>
                <w:sz w:val="21"/>
                <w:szCs w:val="21"/>
                <w:color w:val="auto"/>
              </w:rPr>
            </w:pPr>
          </w:p>
        </w:tc>
      </w:tr>
      <w:tr>
        <w:trPr>
          <w:trHeight w:val="237"/>
        </w:trPr>
        <w:tc>
          <w:tcPr>
            <w:tcW w:w="2700" w:type="dxa"/>
            <w:vAlign w:val="bottom"/>
          </w:tcPr>
          <w:p>
            <w:pPr>
              <w:ind w:left="200"/>
              <w:spacing w:after="0"/>
              <w:rPr>
                <w:sz w:val="20"/>
                <w:szCs w:val="20"/>
                <w:color w:val="auto"/>
              </w:rPr>
            </w:pPr>
            <w:r>
              <w:rPr>
                <w:rFonts w:ascii="Arial" w:cs="Arial" w:eastAsia="Arial" w:hAnsi="Arial"/>
                <w:sz w:val="18"/>
                <w:szCs w:val="18"/>
                <w:color w:val="auto"/>
              </w:rPr>
              <w:t>Add:</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700" w:type="dxa"/>
            <w:vAlign w:val="bottom"/>
          </w:tcPr>
          <w:p>
            <w:pPr>
              <w:ind w:left="380"/>
              <w:spacing w:after="0" w:line="243" w:lineRule="exact"/>
              <w:rPr>
                <w:sz w:val="20"/>
                <w:szCs w:val="20"/>
                <w:color w:val="auto"/>
              </w:rPr>
            </w:pPr>
            <w:r>
              <w:rPr>
                <w:rFonts w:ascii="Arial" w:cs="Arial" w:eastAsia="Arial" w:hAnsi="Arial"/>
                <w:sz w:val="18"/>
                <w:szCs w:val="18"/>
                <w:color w:val="auto"/>
              </w:rPr>
              <w:t xml:space="preserve">Capital raised </w:t>
            </w:r>
            <w:r>
              <w:rPr>
                <w:rFonts w:ascii="Arial" w:cs="Arial" w:eastAsia="Arial" w:hAnsi="Arial"/>
                <w:sz w:val="24"/>
                <w:szCs w:val="24"/>
                <w:color w:val="auto"/>
                <w:vertAlign w:val="superscript"/>
              </w:rPr>
              <w:t>(1)</w:t>
            </w: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1,056</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21"/>
                <w:szCs w:val="21"/>
                <w:color w:val="auto"/>
              </w:rPr>
            </w:pPr>
          </w:p>
        </w:tc>
      </w:tr>
      <w:tr>
        <w:trPr>
          <w:trHeight w:val="243"/>
        </w:trPr>
        <w:tc>
          <w:tcPr>
            <w:tcW w:w="2700" w:type="dxa"/>
            <w:vAlign w:val="bottom"/>
            <w:shd w:val="clear" w:color="auto" w:fill="CFF0FC"/>
          </w:tcPr>
          <w:p>
            <w:pPr>
              <w:ind w:left="380"/>
              <w:spacing w:after="0" w:line="243" w:lineRule="exact"/>
              <w:rPr>
                <w:sz w:val="20"/>
                <w:szCs w:val="20"/>
                <w:color w:val="auto"/>
              </w:rPr>
            </w:pPr>
            <w:r>
              <w:rPr>
                <w:rFonts w:ascii="Arial" w:cs="Arial" w:eastAsia="Arial" w:hAnsi="Arial"/>
                <w:sz w:val="18"/>
                <w:szCs w:val="18"/>
                <w:color w:val="auto"/>
              </w:rPr>
              <w:t xml:space="preserve">Capital deployed </w:t>
            </w:r>
            <w:r>
              <w:rPr>
                <w:rFonts w:ascii="Arial" w:cs="Arial" w:eastAsia="Arial" w:hAnsi="Arial"/>
                <w:sz w:val="24"/>
                <w:szCs w:val="24"/>
                <w:color w:val="auto"/>
                <w:vertAlign w:val="superscript"/>
              </w:rPr>
              <w:t>(2)</w:t>
            </w:r>
          </w:p>
        </w:tc>
        <w:tc>
          <w:tcPr>
            <w:tcW w:w="12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FF0FC"/>
          </w:tcPr>
          <w:p>
            <w:pPr>
              <w:spacing w:after="0"/>
              <w:rPr>
                <w:sz w:val="21"/>
                <w:szCs w:val="21"/>
                <w:color w:val="auto"/>
              </w:rPr>
            </w:pPr>
          </w:p>
        </w:tc>
      </w:tr>
      <w:tr>
        <w:trPr>
          <w:trHeight w:val="243"/>
        </w:trPr>
        <w:tc>
          <w:tcPr>
            <w:tcW w:w="2700" w:type="dxa"/>
            <w:vAlign w:val="bottom"/>
          </w:tcPr>
          <w:p>
            <w:pPr>
              <w:ind w:left="380"/>
              <w:spacing w:after="0" w:line="243" w:lineRule="exact"/>
              <w:rPr>
                <w:sz w:val="20"/>
                <w:szCs w:val="20"/>
                <w:color w:val="auto"/>
              </w:rPr>
            </w:pPr>
            <w:r>
              <w:rPr>
                <w:rFonts w:ascii="Arial" w:cs="Arial" w:eastAsia="Arial" w:hAnsi="Arial"/>
                <w:sz w:val="18"/>
                <w:szCs w:val="18"/>
                <w:color w:val="auto"/>
              </w:rPr>
              <w:t xml:space="preserve">Net Asset Value Change </w:t>
            </w:r>
            <w:r>
              <w:rPr>
                <w:rFonts w:ascii="Arial" w:cs="Arial" w:eastAsia="Arial" w:hAnsi="Arial"/>
                <w:sz w:val="24"/>
                <w:szCs w:val="24"/>
                <w:color w:val="auto"/>
                <w:vertAlign w:val="superscript"/>
              </w:rPr>
              <w:t>(3)</w:t>
            </w:r>
          </w:p>
        </w:tc>
        <w:tc>
          <w:tcPr>
            <w:tcW w:w="120" w:type="dxa"/>
            <w:vAlign w:val="bottom"/>
          </w:tcPr>
          <w:p>
            <w:pPr>
              <w:spacing w:after="0"/>
              <w:rPr>
                <w:sz w:val="21"/>
                <w:szCs w:val="21"/>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(29 )</w:t>
            </w:r>
          </w:p>
        </w:tc>
        <w:tc>
          <w:tcPr>
            <w:tcW w:w="1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(47 )</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1"/>
                <w:szCs w:val="21"/>
                <w:color w:val="auto"/>
              </w:rPr>
            </w:pPr>
          </w:p>
        </w:tc>
      </w:tr>
      <w:tr>
        <w:trPr>
          <w:trHeight w:val="243"/>
        </w:trPr>
        <w:tc>
          <w:tcPr>
            <w:tcW w:w="2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15"/>
        </w:trPr>
        <w:tc>
          <w:tcPr>
            <w:tcW w:w="2700" w:type="dxa"/>
            <w:vAlign w:val="bottom"/>
          </w:tcPr>
          <w:p>
            <w:pPr>
              <w:ind w:left="380"/>
              <w:spacing w:after="0"/>
              <w:rPr>
                <w:sz w:val="20"/>
                <w:szCs w:val="20"/>
                <w:color w:val="auto"/>
              </w:rPr>
            </w:pPr>
            <w:r>
              <w:rPr>
                <w:rFonts w:ascii="Arial" w:cs="Arial" w:eastAsia="Arial" w:hAnsi="Arial"/>
                <w:sz w:val="18"/>
                <w:szCs w:val="18"/>
                <w:color w:val="auto"/>
              </w:rPr>
              <w:t>Scheduled fee base</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7"/>
        </w:trPr>
        <w:tc>
          <w:tcPr>
            <w:tcW w:w="2700" w:type="dxa"/>
            <w:vAlign w:val="bottom"/>
          </w:tcPr>
          <w:p>
            <w:pPr>
              <w:ind w:left="380"/>
              <w:spacing w:after="0"/>
              <w:rPr>
                <w:sz w:val="20"/>
                <w:szCs w:val="20"/>
                <w:color w:val="auto"/>
              </w:rPr>
            </w:pPr>
            <w:r>
              <w:rPr>
                <w:rFonts w:ascii="Arial" w:cs="Arial" w:eastAsia="Arial" w:hAnsi="Arial"/>
                <w:sz w:val="18"/>
                <w:szCs w:val="18"/>
                <w:color w:val="auto"/>
              </w:rPr>
              <w:t>stepdowns</w:t>
            </w:r>
          </w:p>
        </w:tc>
        <w:tc>
          <w:tcPr>
            <w:tcW w:w="120" w:type="dxa"/>
            <w:vAlign w:val="bottom"/>
          </w:tcPr>
          <w:p>
            <w:pPr>
              <w:spacing w:after="0"/>
              <w:rPr>
                <w:sz w:val="20"/>
                <w:szCs w:val="20"/>
                <w:color w:val="auto"/>
              </w:rPr>
            </w:pPr>
          </w:p>
        </w:tc>
        <w:tc>
          <w:tcPr>
            <w:tcW w:w="1740" w:type="dxa"/>
            <w:vAlign w:val="bottom"/>
            <w:gridSpan w:val="2"/>
          </w:tcPr>
          <w:p>
            <w:pPr>
              <w:jc w:val="right"/>
              <w:ind w:right="200"/>
              <w:spacing w:after="0"/>
              <w:rPr>
                <w:sz w:val="20"/>
                <w:szCs w:val="20"/>
                <w:color w:val="auto"/>
              </w:rPr>
            </w:pPr>
            <w:r>
              <w:rPr>
                <w:rFonts w:ascii="Arial" w:cs="Arial" w:eastAsia="Arial" w:hAnsi="Arial"/>
                <w:sz w:val="18"/>
                <w:szCs w:val="18"/>
                <w:color w:val="auto"/>
              </w:rPr>
              <w:t>(214 )</w:t>
            </w:r>
          </w:p>
        </w:tc>
        <w:tc>
          <w:tcPr>
            <w:tcW w:w="140" w:type="dxa"/>
            <w:vAlign w:val="bottom"/>
          </w:tcPr>
          <w:p>
            <w:pPr>
              <w:spacing w:after="0"/>
              <w:rPr>
                <w:sz w:val="20"/>
                <w:szCs w:val="20"/>
                <w:color w:val="auto"/>
              </w:rPr>
            </w:pPr>
          </w:p>
        </w:tc>
        <w:tc>
          <w:tcPr>
            <w:tcW w:w="1740" w:type="dxa"/>
            <w:vAlign w:val="bottom"/>
            <w:gridSpan w:val="2"/>
          </w:tcPr>
          <w:p>
            <w:pPr>
              <w:jc w:val="right"/>
              <w:ind w:right="140"/>
              <w:spacing w:after="0"/>
              <w:rPr>
                <w:sz w:val="20"/>
                <w:szCs w:val="20"/>
                <w:color w:val="auto"/>
              </w:rPr>
            </w:pPr>
            <w:r>
              <w:rPr>
                <w:rFonts w:ascii="Arial" w:cs="Arial" w:eastAsia="Arial" w:hAnsi="Arial"/>
                <w:sz w:val="18"/>
                <w:szCs w:val="18"/>
                <w:color w:val="auto"/>
              </w:rPr>
              <w:t>(30 )</w:t>
            </w:r>
          </w:p>
        </w:tc>
        <w:tc>
          <w:tcPr>
            <w:tcW w:w="1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(284 )</w:t>
            </w:r>
          </w:p>
        </w:tc>
        <w:tc>
          <w:tcPr>
            <w:tcW w:w="1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(109 )</w:t>
            </w:r>
          </w:p>
        </w:tc>
      </w:tr>
      <w:tr>
        <w:trPr>
          <w:trHeight w:val="243"/>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Expiration of fee period</w:t>
            </w: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(465 )</w:t>
            </w:r>
          </w:p>
        </w:tc>
        <w:tc>
          <w:tcPr>
            <w:tcW w:w="1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(269 )</w:t>
            </w:r>
          </w:p>
        </w:tc>
        <w:tc>
          <w:tcPr>
            <w:tcW w:w="1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(892 )</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(585 )</w:t>
            </w:r>
          </w:p>
        </w:tc>
      </w:tr>
      <w:tr>
        <w:trPr>
          <w:trHeight w:val="237"/>
        </w:trPr>
        <w:tc>
          <w:tcPr>
            <w:tcW w:w="2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22,165</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18,454</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22,165</w:t>
            </w:r>
          </w:p>
        </w:tc>
        <w:tc>
          <w:tcPr>
            <w:tcW w:w="1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18,452</w:t>
            </w:r>
          </w:p>
        </w:tc>
        <w:tc>
          <w:tcPr>
            <w:tcW w:w="8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-170815</wp:posOffset>
            </wp:positionV>
            <wp:extent cx="60325" cy="1714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-170815</wp:posOffset>
            </wp:positionV>
            <wp:extent cx="5969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-170815</wp:posOffset>
            </wp:positionV>
            <wp:extent cx="51435"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-170815</wp:posOffset>
            </wp:positionV>
            <wp:extent cx="51435"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171450"/>
                    </a:xfrm>
                    <a:prstGeom prst="rect">
                      <a:avLst/>
                    </a:prstGeom>
                    <a:noFill/>
                  </pic:spPr>
                </pic:pic>
              </a:graphicData>
            </a:graphic>
          </wp:anchor>
        </w:drawing>
      </w:r>
    </w:p>
    <w:p>
      <w:pPr>
        <w:spacing w:after="0" w:line="182"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spacing w:after="0" w:line="9" w:lineRule="exact"/>
        <w:rPr>
          <w:rFonts w:ascii="Arial" w:cs="Arial" w:eastAsia="Arial" w:hAnsi="Arial"/>
          <w:sz w:val="18"/>
          <w:szCs w:val="18"/>
          <w:color w:val="auto"/>
        </w:rPr>
      </w:pPr>
    </w:p>
    <w:p>
      <w:pPr>
        <w:ind w:left="520" w:right="220" w:hanging="512"/>
        <w:spacing w:after="0" w:line="260"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FPAUM as of June 30, 2023</w:t>
      </w:r>
    </w:p>
    <w:p>
      <w:pPr>
        <w:spacing w:after="0" w:line="11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FPAUM increased by $0.6 billion or 2.6% to $22.2 billion on a pro forma basis and actual basis for the three months ended June 30, 2023, due primarily to an increase in capital raise and deployed from our private equity and venture capital solutions and offset by stepdowns and expirations. FPAUM increased by $1.0 billion, or 4.5%, to $22.2 billion on a pro forma basis and actual basis for the six months ended June 30, 2023, due primarily to an increase in capital raised and deployed from our private equity and venture capital solutions and offset by stepdowns and expirations.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57" w:lineRule="exact"/>
        <w:rPr>
          <w:sz w:val="20"/>
          <w:szCs w:val="20"/>
          <w:color w:val="auto"/>
        </w:rPr>
      </w:pPr>
    </w:p>
    <w:p>
      <w:pPr>
        <w:ind w:right="200" w:firstLine="509"/>
        <w:spacing w:after="0" w:line="286" w:lineRule="auto"/>
        <w:rPr>
          <w:sz w:val="20"/>
          <w:szCs w:val="20"/>
          <w:color w:val="auto"/>
        </w:rPr>
      </w:pPr>
      <w:r>
        <w:rPr>
          <w:rFonts w:ascii="Arial" w:cs="Arial" w:eastAsia="Arial" w:hAnsi="Arial"/>
          <w:sz w:val="16"/>
          <w:szCs w:val="16"/>
          <w:color w:val="auto"/>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40" w:name="page41"/>
    <w:bookmarkEnd w:id="40"/>
    <w:p>
      <w:pPr>
        <w:ind w:left="520"/>
        <w:spacing w:after="0"/>
        <w:rPr>
          <w:sz w:val="20"/>
          <w:szCs w:val="20"/>
          <w:color w:val="auto"/>
        </w:rPr>
      </w:pPr>
      <w:r>
        <w:rPr>
          <w:rFonts w:ascii="Arial" w:cs="Arial" w:eastAsia="Arial" w:hAnsi="Arial"/>
          <w:sz w:val="18"/>
          <w:szCs w:val="18"/>
          <w:color w:val="auto"/>
        </w:rPr>
        <w:t>In order to compute Adjusted EBITDA, we adjust our GAAP net income for the following items:</w:t>
      </w:r>
    </w:p>
    <w:p>
      <w:pPr>
        <w:spacing w:after="0" w:line="117" w:lineRule="exact"/>
        <w:rPr>
          <w:sz w:val="20"/>
          <w:szCs w:val="20"/>
          <w:color w:val="auto"/>
        </w:rPr>
      </w:pPr>
    </w:p>
    <w:p>
      <w:pPr>
        <w:ind w:left="1020" w:right="580" w:hanging="503"/>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that typically do not require us to pay them in cash in the current period (such as depreciation, amortization and stock-based compensation);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financing our business;</w:t>
      </w:r>
    </w:p>
    <w:p>
      <w:pPr>
        <w:spacing w:after="0" w:line="117"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Acquisition-related expenses which reflects the actual costs incurred during the period for the acquisition of new businesses, which primarily consists of fees for professional services including legal, accounting, and advisory, as well as bonuses paid to employees directly related to the acquisition;</w:t>
      </w:r>
    </w:p>
    <w:p>
      <w:pPr>
        <w:spacing w:after="0" w:line="75" w:lineRule="exact"/>
        <w:rPr>
          <w:rFonts w:ascii="Arial" w:cs="Arial" w:eastAsia="Arial" w:hAnsi="Arial"/>
          <w:sz w:val="18"/>
          <w:szCs w:val="18"/>
          <w:color w:val="auto"/>
        </w:rPr>
      </w:pPr>
    </w:p>
    <w:p>
      <w:pPr>
        <w:ind w:left="1020" w:right="140" w:hanging="503"/>
        <w:spacing w:after="0" w:line="342"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Registration-related expenses includes professional services associated with our prospectus process incurred during the period, and does not reflect expected regulatory, compliance, and other costs associated with those that were incurred subsequent to our IPO; and</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income taxes.</w:t>
      </w:r>
    </w:p>
    <w:p>
      <w:pPr>
        <w:spacing w:after="0" w:line="225"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The cash income taxes paid during the periods differ significantly from the net income tax expense, which is primarily comprised of deferred tax expense as described in the results of operations.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For the Three</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4"/>
          </w:tcPr>
          <w:p>
            <w:pPr>
              <w:jc w:val="center"/>
              <w:ind w:left="495"/>
              <w:spacing w:after="0"/>
              <w:rPr>
                <w:sz w:val="20"/>
                <w:szCs w:val="20"/>
                <w:color w:val="auto"/>
              </w:rPr>
            </w:pPr>
            <w:r>
              <w:rPr>
                <w:rFonts w:ascii="Arial" w:cs="Arial" w:eastAsia="Arial" w:hAnsi="Arial"/>
                <w:sz w:val="14"/>
                <w:szCs w:val="14"/>
                <w:b w:val="1"/>
                <w:bCs w:val="1"/>
                <w:color w:val="auto"/>
                <w:w w:val="93"/>
              </w:rPr>
              <w:t>For the Six</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Months Ended</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00" w:type="dxa"/>
            <w:vAlign w:val="bottom"/>
            <w:gridSpan w:val="4"/>
          </w:tcPr>
          <w:p>
            <w:pPr>
              <w:jc w:val="center"/>
              <w:ind w:left="515"/>
              <w:spacing w:after="0"/>
              <w:rPr>
                <w:sz w:val="20"/>
                <w:szCs w:val="20"/>
                <w:color w:val="auto"/>
              </w:rPr>
            </w:pPr>
            <w:r>
              <w:rPr>
                <w:rFonts w:ascii="Arial" w:cs="Arial" w:eastAsia="Arial" w:hAnsi="Arial"/>
                <w:sz w:val="14"/>
                <w:szCs w:val="14"/>
                <w:b w:val="1"/>
                <w:bCs w:val="1"/>
                <w:color w:val="auto"/>
                <w:w w:val="93"/>
              </w:rPr>
              <w:t>Months Ended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center"/>
              <w:ind w:left="515"/>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74"/>
              </w:rPr>
              <w:t>thousands)</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55"/>
              <w:spacing w:after="0"/>
              <w:rPr>
                <w:sz w:val="20"/>
                <w:szCs w:val="20"/>
                <w:color w:val="auto"/>
              </w:rPr>
            </w:pPr>
            <w:r>
              <w:rPr>
                <w:rFonts w:ascii="Arial" w:cs="Arial" w:eastAsia="Arial" w:hAnsi="Arial"/>
                <w:sz w:val="14"/>
                <w:szCs w:val="14"/>
                <w:b w:val="1"/>
                <w:bCs w:val="1"/>
                <w:color w:val="auto"/>
              </w:rPr>
              <w:t>(in</w:t>
            </w:r>
          </w:p>
        </w:tc>
        <w:tc>
          <w:tcPr>
            <w:tcW w:w="6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w w:val="71"/>
              </w:rPr>
              <w:t>thousands)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18,946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60" w:type="dxa"/>
            <w:vAlign w:val="bottom"/>
          </w:tcPr>
          <w:p>
            <w:pPr>
              <w:ind w:left="20"/>
              <w:spacing w:after="0"/>
              <w:rPr>
                <w:sz w:val="20"/>
                <w:szCs w:val="20"/>
                <w:color w:val="auto"/>
              </w:rPr>
            </w:pPr>
            <w:r>
              <w:rPr>
                <w:rFonts w:ascii="Arial" w:cs="Arial" w:eastAsia="Arial" w:hAnsi="Arial"/>
                <w:sz w:val="18"/>
                <w:szCs w:val="18"/>
                <w:b w:val="1"/>
                <w:bCs w:val="1"/>
                <w:color w:val="auto"/>
              </w:rPr>
              <w:t>Adjustments: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&amp; amortization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7,856</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6,264</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15,626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5,426</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10,598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3,878</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Non-recurring expenses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3,017</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stock based compensation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5,799</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8,398</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Non-cash stock based compensation - acquisitions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2,272</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Earn out related compensation</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6,394</w:t>
            </w: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12,787</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79"/>
        </w:trPr>
        <w:tc>
          <w:tcPr>
            <w:tcW w:w="49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34,830</w:t>
            </w:r>
          </w:p>
        </w:tc>
        <w:tc>
          <w:tcPr>
            <w:tcW w:w="280" w:type="dxa"/>
            <w:vAlign w:val="bottom"/>
            <w:tcBorders>
              <w:top w:val="single" w:sz="8" w:color="CFF0FC"/>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25,746</w:t>
            </w: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63,236</w:t>
            </w: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48,199</w:t>
            </w: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Less:</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Pr>
          <w:p>
            <w:pPr>
              <w:ind w:left="200"/>
              <w:spacing w:after="0"/>
              <w:rPr>
                <w:sz w:val="20"/>
                <w:szCs w:val="20"/>
                <w:color w:val="auto"/>
              </w:rPr>
            </w:pPr>
            <w:r>
              <w:rPr>
                <w:rFonts w:ascii="Arial" w:cs="Arial" w:eastAsia="Arial" w:hAnsi="Arial"/>
                <w:sz w:val="18"/>
                <w:szCs w:val="18"/>
                <w:color w:val="auto"/>
              </w:rPr>
              <w:t>Cash interest expense</w:t>
            </w:r>
          </w:p>
        </w:tc>
        <w:tc>
          <w:tcPr>
            <w:tcW w:w="320" w:type="dxa"/>
            <w:vAlign w:val="bottom"/>
          </w:tcPr>
          <w:p>
            <w:pPr>
              <w:spacing w:after="0"/>
              <w:rPr>
                <w:sz w:val="20"/>
                <w:szCs w:val="20"/>
                <w:color w:val="auto"/>
              </w:rPr>
            </w:pPr>
          </w:p>
        </w:tc>
        <w:tc>
          <w:tcPr>
            <w:tcW w:w="1320" w:type="dxa"/>
            <w:vAlign w:val="bottom"/>
            <w:gridSpan w:val="2"/>
          </w:tcPr>
          <w:p>
            <w:pPr>
              <w:jc w:val="right"/>
              <w:ind w:right="128"/>
              <w:spacing w:after="0"/>
              <w:rPr>
                <w:sz w:val="20"/>
                <w:szCs w:val="20"/>
                <w:color w:val="auto"/>
              </w:rPr>
            </w:pPr>
            <w:r>
              <w:rPr>
                <w:rFonts w:ascii="Arial" w:cs="Arial" w:eastAsia="Arial" w:hAnsi="Arial"/>
                <w:sz w:val="18"/>
                <w:szCs w:val="18"/>
                <w:color w:val="auto"/>
              </w:rPr>
              <w:t>(7,141 )</w:t>
            </w:r>
          </w:p>
        </w:tc>
        <w:tc>
          <w:tcPr>
            <w:tcW w:w="42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(1,892 )</w:t>
            </w:r>
          </w:p>
        </w:tc>
        <w:tc>
          <w:tcPr>
            <w:tcW w:w="32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(10,003 )</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(2,290 )</w:t>
            </w:r>
          </w:p>
        </w:tc>
        <w:tc>
          <w:tcPr>
            <w:tcW w:w="0" w:type="dxa"/>
            <w:vAlign w:val="bottom"/>
          </w:tcPr>
          <w:p>
            <w:pPr>
              <w:spacing w:after="0"/>
              <w:rPr>
                <w:sz w:val="1"/>
                <w:szCs w:val="1"/>
                <w:color w:val="auto"/>
              </w:rPr>
            </w:pPr>
          </w:p>
        </w:tc>
      </w:tr>
      <w:tr>
        <w:trPr>
          <w:trHeight w:val="221"/>
        </w:trPr>
        <w:tc>
          <w:tcPr>
            <w:tcW w:w="4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income taxes, net of taxes related to</w:t>
            </w:r>
          </w:p>
        </w:tc>
        <w:tc>
          <w:tcPr>
            <w:tcW w:w="320" w:type="dxa"/>
            <w:vAlign w:val="bottom"/>
            <w:shd w:val="clear" w:color="auto" w:fill="CFF0FC"/>
          </w:tcPr>
          <w:p>
            <w:pPr>
              <w:spacing w:after="0"/>
              <w:rPr>
                <w:sz w:val="19"/>
                <w:szCs w:val="19"/>
                <w:color w:val="auto"/>
              </w:rPr>
            </w:pPr>
          </w:p>
        </w:tc>
        <w:tc>
          <w:tcPr>
            <w:tcW w:w="1320" w:type="dxa"/>
            <w:vAlign w:val="bottom"/>
            <w:gridSpan w:val="2"/>
            <w:vMerge w:val="restart"/>
            <w:shd w:val="clear" w:color="auto" w:fill="CFF0FC"/>
          </w:tcPr>
          <w:p>
            <w:pPr>
              <w:jc w:val="right"/>
              <w:ind w:right="128"/>
              <w:spacing w:after="0"/>
              <w:rPr>
                <w:sz w:val="20"/>
                <w:szCs w:val="20"/>
                <w:color w:val="auto"/>
              </w:rPr>
            </w:pPr>
            <w:r>
              <w:rPr>
                <w:rFonts w:ascii="Arial" w:cs="Arial" w:eastAsia="Arial" w:hAnsi="Arial"/>
                <w:sz w:val="18"/>
                <w:szCs w:val="18"/>
                <w:color w:val="auto"/>
              </w:rPr>
              <w:t>(1,030 )</w:t>
            </w:r>
          </w:p>
        </w:tc>
        <w:tc>
          <w:tcPr>
            <w:tcW w:w="420" w:type="dxa"/>
            <w:vAlign w:val="bottom"/>
            <w:shd w:val="clear" w:color="auto" w:fill="CFF0FC"/>
          </w:tcPr>
          <w:p>
            <w:pPr>
              <w:spacing w:after="0"/>
              <w:rPr>
                <w:sz w:val="19"/>
                <w:szCs w:val="19"/>
                <w:color w:val="auto"/>
              </w:rPr>
            </w:pPr>
          </w:p>
        </w:tc>
        <w:tc>
          <w:tcPr>
            <w:tcW w:w="11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(664 )</w:t>
            </w:r>
          </w:p>
        </w:tc>
        <w:tc>
          <w:tcPr>
            <w:tcW w:w="320" w:type="dxa"/>
            <w:vAlign w:val="bottom"/>
            <w:shd w:val="clear" w:color="auto" w:fill="CFF0FC"/>
          </w:tcPr>
          <w:p>
            <w:pPr>
              <w:spacing w:after="0"/>
              <w:rPr>
                <w:sz w:val="19"/>
                <w:szCs w:val="19"/>
                <w:color w:val="auto"/>
              </w:rPr>
            </w:pPr>
          </w:p>
        </w:tc>
        <w:tc>
          <w:tcPr>
            <w:tcW w:w="11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(1,088 )</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(428 )</w:t>
            </w: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acquisitions</w:t>
            </w:r>
          </w:p>
        </w:tc>
        <w:tc>
          <w:tcPr>
            <w:tcW w:w="320" w:type="dxa"/>
            <w:vAlign w:val="bottom"/>
            <w:shd w:val="clear" w:color="auto" w:fill="CFF0FC"/>
          </w:tcPr>
          <w:p>
            <w:pPr>
              <w:spacing w:after="0"/>
              <w:rPr>
                <w:sz w:val="20"/>
                <w:szCs w:val="20"/>
                <w:color w:val="auto"/>
              </w:rPr>
            </w:pPr>
          </w:p>
        </w:tc>
        <w:tc>
          <w:tcPr>
            <w:tcW w:w="1320" w:type="dxa"/>
            <w:vAlign w:val="bottom"/>
            <w:gridSpan w:val="2"/>
            <w:vMerge w:val="continue"/>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9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26,659</w:t>
            </w:r>
          </w:p>
        </w:tc>
        <w:tc>
          <w:tcPr>
            <w:tcW w:w="28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23,190</w:t>
            </w:r>
          </w:p>
        </w:tc>
        <w:tc>
          <w:tcPr>
            <w:tcW w:w="26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52,145</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45,481</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-1105535</wp:posOffset>
            </wp:positionV>
            <wp:extent cx="77470" cy="3257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-1105535</wp:posOffset>
            </wp:positionV>
            <wp:extent cx="68580" cy="3257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-1105535</wp:posOffset>
            </wp:positionV>
            <wp:extent cx="68580" cy="3257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-1105535</wp:posOffset>
            </wp:positionV>
            <wp:extent cx="68580" cy="3257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-187960</wp:posOffset>
            </wp:positionV>
            <wp:extent cx="7747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Statements of Financial Position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75"/>
        </w:trPr>
        <w:tc>
          <w:tcPr>
            <w:tcW w:w="4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center"/>
              <w:ind w:right="98"/>
              <w:spacing w:after="0"/>
              <w:rPr>
                <w:sz w:val="20"/>
                <w:szCs w:val="20"/>
                <w:color w:val="auto"/>
              </w:rPr>
            </w:pPr>
            <w:r>
              <w:rPr>
                <w:rFonts w:ascii="Arial" w:cs="Arial" w:eastAsia="Arial" w:hAnsi="Arial"/>
                <w:sz w:val="14"/>
                <w:szCs w:val="14"/>
                <w:b w:val="1"/>
                <w:bCs w:val="1"/>
                <w:color w:val="auto"/>
                <w:w w:val="90"/>
              </w:rPr>
              <w:t>As of June 30,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5"/>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2023</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6"/>
                <w:szCs w:val="16"/>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 Change</w:t>
            </w:r>
          </w:p>
        </w:tc>
      </w:tr>
      <w:tr>
        <w:trPr>
          <w:trHeight w:val="169"/>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58"/>
              <w:spacing w:after="0"/>
              <w:rPr>
                <w:sz w:val="20"/>
                <w:szCs w:val="20"/>
                <w:color w:val="auto"/>
              </w:rPr>
            </w:pPr>
            <w:r>
              <w:rPr>
                <w:rFonts w:ascii="Arial" w:cs="Arial" w:eastAsia="Arial" w:hAnsi="Arial"/>
                <w:sz w:val="14"/>
                <w:szCs w:val="14"/>
                <w:b w:val="1"/>
                <w:bCs w:val="1"/>
                <w:color w:val="auto"/>
              </w:rPr>
              <w:t>(in</w:t>
            </w:r>
          </w:p>
        </w:tc>
        <w:tc>
          <w:tcPr>
            <w:tcW w:w="1620" w:type="dxa"/>
            <w:vAlign w:val="bottom"/>
            <w:gridSpan w:val="3"/>
          </w:tcPr>
          <w:p>
            <w:pPr>
              <w:jc w:val="right"/>
              <w:ind w:right="977"/>
              <w:spacing w:after="0"/>
              <w:rPr>
                <w:sz w:val="20"/>
                <w:szCs w:val="20"/>
                <w:color w:val="auto"/>
              </w:rPr>
            </w:pPr>
            <w:r>
              <w:rPr>
                <w:rFonts w:ascii="Arial" w:cs="Arial" w:eastAsia="Arial" w:hAnsi="Arial"/>
                <w:sz w:val="14"/>
                <w:szCs w:val="14"/>
                <w:b w:val="1"/>
                <w:bCs w:val="1"/>
                <w:color w:val="auto"/>
                <w:w w:val="71"/>
              </w:rPr>
              <w:t>thousands)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43"/>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(including restricted cash)</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24,861</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29,492</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(4,631 )</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(16)%</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Goodwill and other intangibles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643,890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658,433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(14,543 )</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(2)%</w:t>
            </w: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819,741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826,360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(6,619 )</w:t>
            </w: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(1)%</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Debt obligations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271,735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289,224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(17,489 )</w:t>
            </w: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(6)%</w:t>
            </w: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435,076</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433,883</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260" w:type="dxa"/>
            <w:vAlign w:val="bottom"/>
            <w:shd w:val="clear" w:color="auto" w:fill="CFF0FC"/>
          </w:tcPr>
          <w:p>
            <w:pPr>
              <w:spacing w:after="0"/>
              <w:rPr>
                <w:sz w:val="21"/>
                <w:szCs w:val="21"/>
                <w:color w:val="auto"/>
              </w:rPr>
            </w:pPr>
          </w:p>
        </w:tc>
        <w:tc>
          <w:tcPr>
            <w:tcW w:w="14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w:t>
            </w:r>
          </w:p>
        </w:tc>
      </w:tr>
    </w:tbl>
    <w:p>
      <w:pPr>
        <w:spacing w:after="0" w:line="242"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There was a decrease in cash and cash equivalents of $4.6 million from December 31, 2022 to $24.9 million as of June 30, 2023 primarily due to timing of debt facility maturities and associated repayments. There was a decrease in goodwill and intangible assets of $14.5 million due to amortization of intangibles during the six months ended June 30, 2023. Remaining total assets increased in the same period by $9.9 million. The increase is driven by an increase in accounts receivable from related parties which is primarily due to ECG's Advisory Agreement with Enhanced PC and Crossroads.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Debt obligations declined by $17.5 million which is driven by payments towards the revolver and term loan balances during the period.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Liquidity and Capital Resources</w:t>
      </w:r>
    </w:p>
    <w:p>
      <w:pPr>
        <w:spacing w:after="0" w:line="117" w:lineRule="exact"/>
        <w:rPr>
          <w:sz w:val="20"/>
          <w:szCs w:val="20"/>
          <w:color w:val="auto"/>
        </w:rPr>
      </w:pPr>
    </w:p>
    <w:p>
      <w:pPr>
        <w:ind w:right="500" w:firstLine="509"/>
        <w:spacing w:after="0" w:line="263" w:lineRule="auto"/>
        <w:rPr>
          <w:sz w:val="20"/>
          <w:szCs w:val="20"/>
          <w:color w:val="auto"/>
        </w:rPr>
      </w:pPr>
      <w:r>
        <w:rPr>
          <w:rFonts w:ascii="Arial" w:cs="Arial" w:eastAsia="Arial" w:hAnsi="Arial"/>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84" w:lineRule="exact"/>
        <w:rPr>
          <w:sz w:val="20"/>
          <w:szCs w:val="20"/>
          <w:color w:val="auto"/>
        </w:rPr>
      </w:pPr>
    </w:p>
    <w:p>
      <w:pPr>
        <w:ind w:right="320" w:firstLine="509"/>
        <w:spacing w:after="0" w:line="257" w:lineRule="auto"/>
        <w:rPr>
          <w:sz w:val="20"/>
          <w:szCs w:val="20"/>
          <w:color w:val="auto"/>
        </w:rPr>
      </w:pPr>
      <w:r>
        <w:rPr>
          <w:rFonts w:ascii="Arial" w:cs="Arial" w:eastAsia="Arial" w:hAnsi="Arial"/>
          <w:sz w:val="18"/>
          <w:szCs w:val="18"/>
          <w:color w:val="auto"/>
        </w:rPr>
        <w:t>On December 22, 2021, P10, Inc. entered into a Term Loan and Revolving Credit Facility with JP Morgan Chase Bank, N.A.. The term loan and revolving credit facility provides financing for acquisition activity. The term loan provides for a $125.0 million facility and the revolving credit facility provides for an additional $125.0 million. There is also a $125 million accordion feature available in the credit agreement, which we exercised in September 2022. The accordion was not drawn until October 2022, at which point it was divided to $87.5 million of term loan and $37.5 million of revolver.</w:t>
      </w:r>
    </w:p>
    <w:p>
      <w:pPr>
        <w:spacing w:after="0" w:line="188"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Both facilities are Term SOFR Loans. The Company can elect one or three months for the Revolver Facility and three or six months for the Term Loan. Principal is contractually repaid at a rate of 1.25% on the term loan quarterly effective March 31, 2023. The Revolving Credit Facility has no contractual principal repayments until maturity, which is December 22, 2025 for both facilities.</w:t>
      </w:r>
    </w:p>
    <w:p>
      <w:pPr>
        <w:spacing w:after="0" w:line="184"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auto"/>
        </w:rPr>
        <w:t>In September 2022, the Company exercised the accordion feature of the Credit Agreement. There were no draws made until the fourth quarter of 2022. The Company incurred $1.4 million of up front fees during the exercise which are reflected as debt obligations on the Consolidated Balance Sheets.</w:t>
      </w:r>
    </w:p>
    <w:p>
      <w:pPr>
        <w:spacing w:after="0" w:line="124"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auto"/>
        </w:rPr>
        <w:t>As of June 30, 2023, the Term Loan with a balance of $207.2 million is incurring interest at a weighted average SOFR rate of 7.28%. As of June 30, 2023, the Revolver Facility is split into six tranches. The total principal outstanding is $68.0 million and the average SOFR rate amongst the tranches is</w:t>
      </w:r>
    </w:p>
    <w:p>
      <w:pPr>
        <w:ind w:right="120"/>
        <w:spacing w:after="0" w:line="260" w:lineRule="auto"/>
        <w:rPr>
          <w:sz w:val="20"/>
          <w:szCs w:val="20"/>
          <w:color w:val="auto"/>
        </w:rPr>
      </w:pPr>
      <w:r>
        <w:rPr>
          <w:rFonts w:ascii="Arial" w:cs="Arial" w:eastAsia="Arial" w:hAnsi="Arial"/>
          <w:sz w:val="18"/>
          <w:szCs w:val="18"/>
          <w:color w:val="auto"/>
        </w:rPr>
        <w:t>7.31%. The tranches are all incurring interest at a set rate for one, three, or six month periods and are subsequently reset at the current SOFR rate. Refer to Note 12 for further details provided on the tranches and associated interest periods.</w:t>
      </w:r>
    </w:p>
    <w:p>
      <w:pPr>
        <w:spacing w:after="0" w:line="185" w:lineRule="exact"/>
        <w:rPr>
          <w:sz w:val="20"/>
          <w:szCs w:val="20"/>
          <w:color w:val="auto"/>
        </w:rPr>
      </w:pPr>
    </w:p>
    <w:p>
      <w:pPr>
        <w:jc w:val="both"/>
        <w:ind w:right="280" w:firstLine="509"/>
        <w:spacing w:after="0" w:line="311" w:lineRule="auto"/>
        <w:rPr>
          <w:sz w:val="20"/>
          <w:szCs w:val="20"/>
          <w:color w:val="auto"/>
        </w:rPr>
      </w:pPr>
      <w:r>
        <w:rPr>
          <w:rFonts w:ascii="Arial" w:cs="Arial" w:eastAsia="Arial" w:hAnsi="Arial"/>
          <w:sz w:val="16"/>
          <w:szCs w:val="16"/>
          <w:color w:val="auto"/>
        </w:rPr>
        <w:t>The Credit Agreement contains affirmative and negative covenants typical of such financing transactions, and specific financial covenants which require P10 to maintain a minimum leverage ratio of less than or equal to 3.50. As of June 30, 2023, P10 was in compliance with its financial covenants required under the facility. The Company has incurred $10.6 million in interest expense for the six months ended June 30, 2023.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2023 Compared to the Six Months Ended June 30,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our cash flows for the six months ended June 30, 2023 and 2022:</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Six Months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Ended June 30,</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4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 Change</w:t>
            </w:r>
          </w:p>
        </w:tc>
        <w:tc>
          <w:tcPr>
            <w:tcW w:w="240" w:type="dxa"/>
            <w:vAlign w:val="bottom"/>
            <w:vMerge w:val="restart"/>
          </w:tcPr>
          <w:p>
            <w:pPr>
              <w:spacing w:after="0"/>
              <w:rPr>
                <w:sz w:val="15"/>
                <w:szCs w:val="15"/>
                <w:color w:val="auto"/>
              </w:rPr>
            </w:pPr>
          </w:p>
        </w:tc>
        <w:tc>
          <w:tcPr>
            <w:tcW w:w="13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2"/>
          </w:tcPr>
          <w:p>
            <w:pPr>
              <w:jc w:val="right"/>
              <w:ind w:right="70"/>
              <w:spacing w:after="0"/>
              <w:rPr>
                <w:sz w:val="20"/>
                <w:szCs w:val="20"/>
                <w:color w:val="auto"/>
              </w:rPr>
            </w:pPr>
            <w:r>
              <w:rPr>
                <w:rFonts w:ascii="Arial" w:cs="Arial" w:eastAsia="Arial" w:hAnsi="Arial"/>
                <w:sz w:val="13"/>
                <w:szCs w:val="13"/>
                <w:b w:val="1"/>
                <w:bCs w:val="1"/>
                <w:color w:val="auto"/>
                <w:w w:val="74"/>
              </w:rPr>
              <w:t>thousands)</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29,207</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23,171</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6,036</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43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0"/>
                <w:szCs w:val="20"/>
                <w:color w:val="auto"/>
              </w:rPr>
            </w:pPr>
          </w:p>
        </w:tc>
        <w:tc>
          <w:tcPr>
            <w:tcW w:w="1120" w:type="dxa"/>
            <w:vAlign w:val="bottom"/>
            <w:gridSpan w:val="2"/>
          </w:tcPr>
          <w:p>
            <w:pPr>
              <w:jc w:val="right"/>
              <w:ind w:right="113"/>
              <w:spacing w:after="0"/>
              <w:rPr>
                <w:sz w:val="20"/>
                <w:szCs w:val="20"/>
                <w:color w:val="auto"/>
              </w:rPr>
            </w:pPr>
            <w:r>
              <w:rPr>
                <w:rFonts w:ascii="Arial" w:cs="Arial" w:eastAsia="Arial" w:hAnsi="Arial"/>
                <w:sz w:val="18"/>
                <w:szCs w:val="18"/>
                <w:color w:val="auto"/>
              </w:rPr>
              <w:t>(627 )</w:t>
            </w:r>
          </w:p>
        </w:tc>
        <w:tc>
          <w:tcPr>
            <w:tcW w:w="4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(320 )</w:t>
            </w:r>
          </w:p>
        </w:tc>
        <w:tc>
          <w:tcPr>
            <w:tcW w:w="2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(307 )</w:t>
            </w:r>
          </w:p>
        </w:tc>
        <w:tc>
          <w:tcPr>
            <w:tcW w:w="1360" w:type="dxa"/>
            <w:vAlign w:val="bottom"/>
          </w:tcPr>
          <w:p>
            <w:pPr>
              <w:jc w:val="right"/>
              <w:ind w:right="434"/>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9"/>
        </w:trPr>
        <w:tc>
          <w:tcPr>
            <w:tcW w:w="5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13"/>
              <w:spacing w:after="0"/>
              <w:rPr>
                <w:sz w:val="20"/>
                <w:szCs w:val="20"/>
                <w:color w:val="auto"/>
              </w:rPr>
            </w:pPr>
            <w:r>
              <w:rPr>
                <w:rFonts w:ascii="Arial" w:cs="Arial" w:eastAsia="Arial" w:hAnsi="Arial"/>
                <w:sz w:val="18"/>
                <w:szCs w:val="18"/>
                <w:color w:val="auto"/>
              </w:rPr>
              <w:t>(33,211 )</w:t>
            </w:r>
          </w:p>
        </w:tc>
        <w:tc>
          <w:tcPr>
            <w:tcW w:w="4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(40,989 )</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7,778</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7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44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 and</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13"/>
              <w:spacing w:after="0"/>
              <w:rPr>
                <w:sz w:val="20"/>
                <w:szCs w:val="20"/>
                <w:color w:val="auto"/>
              </w:rPr>
            </w:pPr>
            <w:r>
              <w:rPr>
                <w:rFonts w:ascii="Arial" w:cs="Arial" w:eastAsia="Arial" w:hAnsi="Arial"/>
                <w:sz w:val="18"/>
                <w:szCs w:val="18"/>
                <w:color w:val="auto"/>
              </w:rPr>
              <w:t>(4,631 )</w:t>
            </w: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(18,138 )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13,508</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8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374"/>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26"/>
        </w:trPr>
        <w:tc>
          <w:tcPr>
            <w:tcW w:w="5440" w:type="dxa"/>
            <w:vAlign w:val="bottom"/>
          </w:tcPr>
          <w:p>
            <w:pPr>
              <w:spacing w:after="0"/>
              <w:rPr>
                <w:sz w:val="24"/>
                <w:szCs w:val="24"/>
                <w:color w:val="auto"/>
              </w:rPr>
            </w:pP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-814070</wp:posOffset>
            </wp:positionV>
            <wp:extent cx="76835" cy="4546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45466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-814070</wp:posOffset>
            </wp:positionV>
            <wp:extent cx="68580" cy="4546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45466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-814070</wp:posOffset>
            </wp:positionV>
            <wp:extent cx="68580" cy="4546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4546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and June 30, 2022</w:t>
      </w:r>
    </w:p>
    <w:p>
      <w:pPr>
        <w:spacing w:after="0" w:line="117" w:lineRule="exact"/>
        <w:rPr>
          <w:sz w:val="20"/>
          <w:szCs w:val="20"/>
          <w:color w:val="auto"/>
        </w:rPr>
      </w:pPr>
    </w:p>
    <w:p>
      <w:pPr>
        <w:ind w:right="480" w:firstLine="509"/>
        <w:spacing w:after="0" w:line="342" w:lineRule="auto"/>
        <w:rPr>
          <w:sz w:val="20"/>
          <w:szCs w:val="20"/>
          <w:color w:val="auto"/>
        </w:rPr>
      </w:pPr>
      <w:r>
        <w:rPr>
          <w:rFonts w:ascii="Arial" w:cs="Arial" w:eastAsia="Arial" w:hAnsi="Arial"/>
          <w:sz w:val="16"/>
          <w:szCs w:val="16"/>
          <w:color w:val="auto"/>
        </w:rPr>
        <w:t>Cash from operating activities increased by $6.0 million, or 26%, to $29.2 million for the six months ended June 30, 2023 compared to the six months ended June 30, 2022. The components of this net increase primarily consisted of the following changes in operating assets and liabilities:</w:t>
      </w:r>
    </w:p>
    <w:p>
      <w:pPr>
        <w:spacing w:after="0" w:line="232"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revenues of $29.7 million associated with the acquisition of WTI as well as additional fund closings;</w:t>
      </w:r>
    </w:p>
    <w:p>
      <w:pPr>
        <w:spacing w:after="0" w:line="117"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$10.8 million in the current year of cash received related to the Advisory Agreement at Enhanced compared to the first half of 2022;</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restricted cash used of $7.0 million related to operations of Enhanced projects;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cash used for bonus payments of $1 million as a result of timing.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and June 30, 2022</w:t>
      </w:r>
    </w:p>
    <w:p>
      <w:pPr>
        <w:spacing w:after="0" w:line="117"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The cash used in investing activities increased by $0.3 million, or 96%, to ($0.6) million, for the six months ended June 30, 2023 as compared to the six months ended June 30, 2022. This increase in cash used was due to additional property and equipment purchased in the first half of 2023.</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Six Months Ended June 30, 2023 and June 30, 2022</w:t>
      </w:r>
    </w:p>
    <w:p>
      <w:pPr>
        <w:spacing w:after="0" w:line="117" w:lineRule="exact"/>
        <w:rPr>
          <w:sz w:val="20"/>
          <w:szCs w:val="20"/>
          <w:color w:val="auto"/>
        </w:rPr>
      </w:pPr>
    </w:p>
    <w:p>
      <w:pPr>
        <w:jc w:val="both"/>
        <w:ind w:right="100" w:firstLine="509"/>
        <w:spacing w:after="0" w:line="263" w:lineRule="auto"/>
        <w:rPr>
          <w:sz w:val="20"/>
          <w:szCs w:val="20"/>
          <w:color w:val="auto"/>
        </w:rPr>
      </w:pPr>
      <w:r>
        <w:rPr>
          <w:rFonts w:ascii="Arial" w:cs="Arial" w:eastAsia="Arial" w:hAnsi="Arial"/>
          <w:sz w:val="18"/>
          <w:szCs w:val="18"/>
          <w:color w:val="auto"/>
        </w:rPr>
        <w:t>We recorded a net $33.2 million for the six months ended June 30, 2023 for cash used in financing activities, as compared to cash used in financing activities of $40.9 million for the six months ended June 30, 2022. The change is attributed to timing differences of revolver tranches subject to repayment and payments of contingent consideration.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 and Uses of Liquidity</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 the ordinary course of business, we enter contractual arrangements that require future cash payments. The following table sets forth information regarding our anticipated future cash payments under our contractual obligations as of June 30,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2026</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2027</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Thereafter</w:t>
            </w:r>
          </w:p>
        </w:tc>
        <w:tc>
          <w:tcPr>
            <w:tcW w:w="100" w:type="dxa"/>
            <w:vAlign w:val="bottom"/>
          </w:tcPr>
          <w:p>
            <w:pPr>
              <w:spacing w:after="0"/>
              <w:rPr>
                <w:sz w:val="16"/>
                <w:szCs w:val="16"/>
                <w:color w:val="auto"/>
              </w:rPr>
            </w:pPr>
          </w:p>
        </w:tc>
      </w:tr>
      <w:tr>
        <w:trPr>
          <w:trHeight w:val="169"/>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87"/>
              </w:rPr>
              <w:t>(in 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2980" w:type="dxa"/>
            <w:vAlign w:val="bottom"/>
            <w:shd w:val="clear" w:color="auto" w:fill="CFF0FC"/>
          </w:tcPr>
          <w:p>
            <w:pPr>
              <w:ind w:left="20"/>
              <w:spacing w:after="0" w:line="243"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25,005</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1,755</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3,959</w:t>
            </w:r>
          </w:p>
        </w:tc>
        <w:tc>
          <w:tcPr>
            <w:tcW w:w="44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10,293</w:t>
            </w:r>
          </w:p>
        </w:tc>
        <w:tc>
          <w:tcPr>
            <w:tcW w:w="100" w:type="dxa"/>
            <w:vAlign w:val="bottom"/>
            <w:shd w:val="clear" w:color="auto" w:fill="CFF0FC"/>
          </w:tcPr>
          <w:p>
            <w:pPr>
              <w:spacing w:after="0"/>
              <w:rPr>
                <w:sz w:val="21"/>
                <w:szCs w:val="21"/>
                <w:color w:val="auto"/>
              </w:rPr>
            </w:pPr>
          </w:p>
        </w:tc>
      </w:tr>
      <w:tr>
        <w:trPr>
          <w:trHeight w:val="243"/>
        </w:trPr>
        <w:tc>
          <w:tcPr>
            <w:tcW w:w="29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Debt obligations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275,188</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5,313</w:t>
            </w:r>
          </w:p>
        </w:tc>
        <w:tc>
          <w:tcPr>
            <w:tcW w:w="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10,625</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259,250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0"/>
        </w:trPr>
        <w:tc>
          <w:tcPr>
            <w:tcW w:w="29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300,193</w:t>
            </w:r>
          </w:p>
        </w:tc>
        <w:tc>
          <w:tcPr>
            <w:tcW w:w="2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7,068</w:t>
            </w:r>
          </w:p>
        </w:tc>
        <w:tc>
          <w:tcPr>
            <w:tcW w:w="24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14,584</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262,461</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2,917</w:t>
            </w:r>
          </w:p>
        </w:tc>
        <w:tc>
          <w:tcPr>
            <w:tcW w:w="2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2,870</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10,293</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-24765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wp:posOffset>
            </wp:positionV>
            <wp:extent cx="768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-24765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-7620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right="180" w:hanging="512"/>
        <w:spacing w:after="0" w:line="258"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lease office space under agreements that expire periodically through 2032. The table only includes guaranteed minimum lease payments under these agreements and does not project other related payments.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43" w:name="page44"/>
    <w:bookmarkEnd w:id="43"/>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Debt obligations presented in the table reflect scheduled principal payments related to the various debt instruments of the Company.</w:t>
      </w:r>
    </w:p>
    <w:p>
      <w:pPr>
        <w:spacing w:after="0" w:line="180" w:lineRule="exact"/>
        <w:rPr>
          <w:rFonts w:ascii="Arial" w:cs="Arial" w:eastAsia="Arial" w:hAnsi="Arial"/>
          <w:sz w:val="18"/>
          <w:szCs w:val="18"/>
          <w:color w:val="auto"/>
        </w:rPr>
      </w:pPr>
    </w:p>
    <w:p>
      <w:pPr>
        <w:ind w:left="3980"/>
        <w:spacing w:after="0"/>
        <w:rPr>
          <w:rFonts w:ascii="Arial" w:cs="Arial" w:eastAsia="Arial" w:hAnsi="Arial"/>
          <w:sz w:val="18"/>
          <w:szCs w:val="18"/>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40" w:firstLine="509"/>
        <w:spacing w:after="0" w:line="272" w:lineRule="auto"/>
        <w:rPr>
          <w:sz w:val="20"/>
          <w:szCs w:val="20"/>
          <w:color w:val="auto"/>
        </w:rPr>
      </w:pPr>
      <w:r>
        <w:rPr>
          <w:rFonts w:ascii="Arial" w:cs="Arial" w:eastAsia="Arial" w:hAnsi="Arial"/>
          <w:sz w:val="17"/>
          <w:szCs w:val="17"/>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judgements. See Note 2 of our consolidated financial statements for a summary of our significant accounting policies.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4"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8"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of our consolidated financial statements for further information.</w:t>
      </w:r>
    </w:p>
    <w:p>
      <w:pPr>
        <w:spacing w:after="0" w:line="176"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P10 Intermediate, Holdco, RCP 2, RCP 3, TrueBridge, Hark, Bonaccord, and WTI. The assets and liabilities of the consolidated VIEs are presented gross in the Consolidated Balance Sheets. The liabilities of our consolidated VIE’s are obligations of those entities and their creditors do not generally have recourse to the assets of P10. See Note 7 of our consolidated financial statements for more information on both consolidated and unconsolidated VIEs.</w:t>
      </w:r>
    </w:p>
    <w:p>
      <w:pPr>
        <w:spacing w:after="0" w:line="178" w:lineRule="exact"/>
        <w:rPr>
          <w:sz w:val="20"/>
          <w:szCs w:val="20"/>
          <w:color w:val="auto"/>
        </w:rPr>
      </w:pPr>
    </w:p>
    <w:p>
      <w:pPr>
        <w:ind w:right="520" w:firstLine="509"/>
        <w:spacing w:after="0" w:line="258" w:lineRule="auto"/>
        <w:rPr>
          <w:sz w:val="20"/>
          <w:szCs w:val="20"/>
          <w:color w:val="auto"/>
        </w:rPr>
      </w:pPr>
      <w:r>
        <w:rPr>
          <w:rFonts w:ascii="Arial" w:cs="Arial" w:eastAsia="Arial" w:hAnsi="Arial"/>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or other means. Five Points, P10 Holdings, and ECG are concluded to be consolidated subsidiaries of P10 under the voting interest model.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of Management Fees and Management Fees Received in Advance</w:t>
      </w:r>
    </w:p>
    <w:p>
      <w:pPr>
        <w:spacing w:after="0" w:line="225"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70"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Advisory Fees</w:t>
      </w:r>
    </w:p>
    <w:p>
      <w:pPr>
        <w:spacing w:after="0" w:line="11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8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Current income tax expense represents our estimated taxes to be paid or refunded for the current period. In accordance with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8"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 alone tax rules as applicable.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12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71"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ind w:right="800" w:firstLine="509"/>
        <w:spacing w:after="0" w:line="277" w:lineRule="auto"/>
        <w:rPr>
          <w:sz w:val="20"/>
          <w:szCs w:val="20"/>
          <w:color w:val="auto"/>
        </w:rPr>
      </w:pPr>
      <w:r>
        <w:rPr>
          <w:rFonts w:ascii="Arial" w:cs="Arial" w:eastAsia="Arial" w:hAnsi="Arial"/>
          <w:sz w:val="18"/>
          <w:szCs w:val="18"/>
          <w:color w:val="auto"/>
        </w:rPr>
        <w:t>Fair value of the financial assets and liabilities of our specialized investment vehicles may fluctuate in response to changes in the value of underlying assets, and interest rates.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As of June 30, 2023, we had $207.2 million in outstanding principal in Term Loan under our Term Loan and Revolving Credit Facility. The annual interest rate on the Term Loan is based on SOFR, subject to a floor of 0.10%, plus 2.00%. On June 30, 2023, the interest rate on these borrowings was 2.1%</w:t>
      </w:r>
    </w:p>
    <w:p>
      <w:pPr>
        <w:ind w:right="20" w:firstLine="8"/>
        <w:spacing w:after="0" w:line="260" w:lineRule="auto"/>
        <w:tabs>
          <w:tab w:leader="none" w:pos="1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SOFR. We estimate that a 100-basis point increase in the interest rate would result in an approximately $2.1 million increase in interest expense related to the loan over the next 12 months.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right="180" w:firstLine="509"/>
        <w:spacing w:after="0" w:line="257"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judgement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1"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Co-Chief Executive Officers and Chief Financial Officer, as appropriate, to allow timely decisions regarding required disclosures.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our most recent quarter ended June 30, 2023 that have materially affected, or are reasonably likely to materially affect, our internal control over financial reporting.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20" w:firstLine="509"/>
        <w:spacing w:after="0" w:line="342" w:lineRule="auto"/>
        <w:rPr>
          <w:sz w:val="20"/>
          <w:szCs w:val="20"/>
          <w:color w:val="auto"/>
        </w:rPr>
      </w:pPr>
      <w:r>
        <w:rPr>
          <w:rFonts w:ascii="Arial" w:cs="Arial" w:eastAsia="Arial" w:hAnsi="Arial"/>
          <w:sz w:val="16"/>
          <w:szCs w:val="16"/>
          <w:color w:val="auto"/>
        </w:rPr>
        <w:t>The information required with respect to this item can be found under “Contingencies” in Note 14, Commitments and Contingencies, to our consolidated financial statements included elsewhere in this annual report, and such information is incorporated by reference into this Item 1.</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“Risk Factors” included in our annual report on Form 10-K for the year ended December 31, 2022.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information about our repurchase activity with respect to shares of our common stock for the quarter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jc w:val="center"/>
              <w:ind w:left="37"/>
              <w:spacing w:after="0"/>
              <w:rPr>
                <w:sz w:val="20"/>
                <w:szCs w:val="20"/>
                <w:color w:val="auto"/>
              </w:rPr>
            </w:pPr>
            <w:r>
              <w:rPr>
                <w:rFonts w:ascii="Arial" w:cs="Arial" w:eastAsia="Arial" w:hAnsi="Arial"/>
                <w:sz w:val="13"/>
                <w:szCs w:val="13"/>
                <w:b w:val="1"/>
                <w:bCs w:val="1"/>
                <w:color w:val="auto"/>
                <w:w w:val="82"/>
              </w:rPr>
              <w:t>Total Number of Shares Purchased as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Maximum Approximate Dollar Value</w:t>
            </w:r>
          </w:p>
        </w:tc>
        <w:tc>
          <w:tcPr>
            <w:tcW w:w="100" w:type="dxa"/>
            <w:vAlign w:val="bottom"/>
          </w:tcPr>
          <w:p>
            <w:pPr>
              <w:spacing w:after="0"/>
              <w:rPr>
                <w:sz w:val="13"/>
                <w:szCs w:val="13"/>
                <w:color w:val="auto"/>
              </w:rPr>
            </w:pPr>
          </w:p>
        </w:tc>
      </w:tr>
      <w:tr>
        <w:trPr>
          <w:trHeight w:val="148"/>
        </w:trPr>
        <w:tc>
          <w:tcPr>
            <w:tcW w:w="3660" w:type="dxa"/>
            <w:vAlign w:val="bottom"/>
          </w:tcPr>
          <w:p>
            <w:pPr>
              <w:spacing w:after="0"/>
              <w:rPr>
                <w:sz w:val="12"/>
                <w:szCs w:val="12"/>
                <w:color w:val="auto"/>
              </w:rPr>
            </w:pPr>
          </w:p>
        </w:tc>
        <w:tc>
          <w:tcPr>
            <w:tcW w:w="1560" w:type="dxa"/>
            <w:vAlign w:val="bottom"/>
          </w:tcPr>
          <w:p>
            <w:pPr>
              <w:jc w:val="center"/>
              <w:ind w:left="117"/>
              <w:spacing w:after="0"/>
              <w:rPr>
                <w:sz w:val="20"/>
                <w:szCs w:val="20"/>
                <w:color w:val="auto"/>
              </w:rPr>
            </w:pPr>
            <w:r>
              <w:rPr>
                <w:rFonts w:ascii="Arial" w:cs="Arial" w:eastAsia="Arial" w:hAnsi="Arial"/>
                <w:sz w:val="13"/>
                <w:szCs w:val="13"/>
                <w:b w:val="1"/>
                <w:bCs w:val="1"/>
                <w:color w:val="auto"/>
                <w:w w:val="83"/>
              </w:rPr>
              <w:t>Total Number of 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3"/>
              </w:rPr>
              <w:t>Average Price Paid</w:t>
            </w:r>
          </w:p>
        </w:tc>
        <w:tc>
          <w:tcPr>
            <w:tcW w:w="100" w:type="dxa"/>
            <w:vAlign w:val="bottom"/>
          </w:tcPr>
          <w:p>
            <w:pPr>
              <w:spacing w:after="0"/>
              <w:rPr>
                <w:sz w:val="12"/>
                <w:szCs w:val="12"/>
                <w:color w:val="auto"/>
              </w:rPr>
            </w:pPr>
          </w:p>
        </w:tc>
        <w:tc>
          <w:tcPr>
            <w:tcW w:w="2040" w:type="dxa"/>
            <w:vAlign w:val="bottom"/>
          </w:tcPr>
          <w:p>
            <w:pPr>
              <w:jc w:val="center"/>
              <w:ind w:left="37"/>
              <w:spacing w:after="0"/>
              <w:rPr>
                <w:sz w:val="20"/>
                <w:szCs w:val="20"/>
                <w:color w:val="auto"/>
              </w:rPr>
            </w:pPr>
            <w:r>
              <w:rPr>
                <w:rFonts w:ascii="Arial" w:cs="Arial" w:eastAsia="Arial" w:hAnsi="Arial"/>
                <w:sz w:val="13"/>
                <w:szCs w:val="13"/>
                <w:b w:val="1"/>
                <w:bCs w:val="1"/>
                <w:color w:val="auto"/>
                <w:w w:val="83"/>
              </w:rPr>
              <w:t>Part of Publicly Announced Plan 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2"/>
              </w:rPr>
              <w:t>of Shares that May Yet Be Purchased</w:t>
            </w:r>
          </w:p>
        </w:tc>
        <w:tc>
          <w:tcPr>
            <w:tcW w:w="100" w:type="dxa"/>
            <w:vAlign w:val="bottom"/>
          </w:tcPr>
          <w:p>
            <w:pPr>
              <w:spacing w:after="0"/>
              <w:rPr>
                <w:sz w:val="12"/>
                <w:szCs w:val="12"/>
                <w:color w:val="auto"/>
              </w:rPr>
            </w:pPr>
          </w:p>
        </w:tc>
      </w:tr>
      <w:tr>
        <w:trPr>
          <w:trHeight w:val="162"/>
        </w:trPr>
        <w:tc>
          <w:tcPr>
            <w:tcW w:w="3660" w:type="dxa"/>
            <w:vAlign w:val="bottom"/>
          </w:tcPr>
          <w:p>
            <w:pPr>
              <w:ind w:left="20"/>
              <w:spacing w:after="0"/>
              <w:rPr>
                <w:sz w:val="20"/>
                <w:szCs w:val="20"/>
                <w:color w:val="auto"/>
              </w:rPr>
            </w:pPr>
            <w:r>
              <w:rPr>
                <w:rFonts w:ascii="Arial" w:cs="Arial" w:eastAsia="Arial" w:hAnsi="Arial"/>
                <w:sz w:val="13"/>
                <w:szCs w:val="13"/>
                <w:b w:val="1"/>
                <w:bCs w:val="1"/>
                <w:color w:val="auto"/>
              </w:rPr>
              <w:t>Period</w:t>
            </w:r>
          </w:p>
        </w:tc>
        <w:tc>
          <w:tcPr>
            <w:tcW w:w="1560" w:type="dxa"/>
            <w:vAlign w:val="bottom"/>
          </w:tcPr>
          <w:p>
            <w:pPr>
              <w:jc w:val="center"/>
              <w:ind w:left="157"/>
              <w:spacing w:after="0"/>
              <w:rPr>
                <w:sz w:val="20"/>
                <w:szCs w:val="20"/>
                <w:color w:val="auto"/>
              </w:rPr>
            </w:pPr>
            <w:r>
              <w:rPr>
                <w:rFonts w:ascii="Arial" w:cs="Arial" w:eastAsia="Arial" w:hAnsi="Arial"/>
                <w:sz w:val="13"/>
                <w:szCs w:val="13"/>
                <w:b w:val="1"/>
                <w:bCs w:val="1"/>
                <w:color w:val="auto"/>
                <w:w w:val="81"/>
              </w:rPr>
              <w:t>Purchased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left="177"/>
              <w:spacing w:after="0"/>
              <w:rPr>
                <w:sz w:val="20"/>
                <w:szCs w:val="20"/>
                <w:color w:val="auto"/>
              </w:rPr>
            </w:pPr>
            <w:r>
              <w:rPr>
                <w:rFonts w:ascii="Arial" w:cs="Arial" w:eastAsia="Arial" w:hAnsi="Arial"/>
                <w:sz w:val="13"/>
                <w:szCs w:val="13"/>
                <w:b w:val="1"/>
                <w:bCs w:val="1"/>
                <w:color w:val="auto"/>
                <w:w w:val="83"/>
              </w:rPr>
              <w:t>per Share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ind w:left="77"/>
              <w:spacing w:after="0"/>
              <w:rPr>
                <w:sz w:val="20"/>
                <w:szCs w:val="20"/>
                <w:color w:val="auto"/>
              </w:rPr>
            </w:pPr>
            <w:r>
              <w:rPr>
                <w:rFonts w:ascii="Arial" w:cs="Arial" w:eastAsia="Arial" w:hAnsi="Arial"/>
                <w:sz w:val="13"/>
                <w:szCs w:val="13"/>
                <w:b w:val="1"/>
                <w:bCs w:val="1"/>
                <w:color w:val="auto"/>
                <w:w w:val="84"/>
              </w:rPr>
              <w:t>Program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ind w:right="57"/>
              <w:spacing w:after="0"/>
              <w:rPr>
                <w:sz w:val="20"/>
                <w:szCs w:val="20"/>
                <w:color w:val="auto"/>
              </w:rPr>
            </w:pPr>
            <w:r>
              <w:rPr>
                <w:rFonts w:ascii="Arial" w:cs="Arial" w:eastAsia="Arial" w:hAnsi="Arial"/>
                <w:sz w:val="13"/>
                <w:szCs w:val="13"/>
                <w:b w:val="1"/>
                <w:bCs w:val="1"/>
                <w:color w:val="auto"/>
                <w:w w:val="83"/>
              </w:rPr>
              <w:t>Under the Plans or Programs (1)</w:t>
            </w:r>
          </w:p>
        </w:tc>
        <w:tc>
          <w:tcPr>
            <w:tcW w:w="100" w:type="dxa"/>
            <w:vAlign w:val="bottom"/>
          </w:tcPr>
          <w:p>
            <w:pPr>
              <w:spacing w:after="0"/>
              <w:rPr>
                <w:sz w:val="14"/>
                <w:szCs w:val="14"/>
                <w:color w:val="auto"/>
              </w:rPr>
            </w:pPr>
          </w:p>
        </w:tc>
      </w:tr>
      <w:tr>
        <w:trPr>
          <w:trHeight w:val="40"/>
        </w:trPr>
        <w:tc>
          <w:tcPr>
            <w:tcW w:w="36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76"/>
        </w:trPr>
        <w:tc>
          <w:tcPr>
            <w:tcW w:w="36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April 1 - 30, 2023</w:t>
            </w:r>
          </w:p>
        </w:tc>
        <w:tc>
          <w:tcPr>
            <w:tcW w:w="15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5"/>
                <w:szCs w:val="15"/>
                <w:color w:val="auto"/>
              </w:rPr>
            </w:pPr>
          </w:p>
        </w:tc>
        <w:tc>
          <w:tcPr>
            <w:tcW w:w="204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18,936,024</w:t>
            </w:r>
          </w:p>
        </w:tc>
        <w:tc>
          <w:tcPr>
            <w:tcW w:w="100" w:type="dxa"/>
            <w:vAlign w:val="bottom"/>
            <w:shd w:val="clear" w:color="auto" w:fill="CFF0FC"/>
          </w:tcPr>
          <w:p>
            <w:pPr>
              <w:spacing w:after="0"/>
              <w:rPr>
                <w:sz w:val="15"/>
                <w:szCs w:val="15"/>
                <w:color w:val="auto"/>
              </w:rPr>
            </w:pPr>
          </w:p>
        </w:tc>
      </w:tr>
      <w:tr>
        <w:trPr>
          <w:trHeight w:val="167"/>
        </w:trPr>
        <w:tc>
          <w:tcPr>
            <w:tcW w:w="3660" w:type="dxa"/>
            <w:vAlign w:val="bottom"/>
          </w:tcPr>
          <w:p>
            <w:pPr>
              <w:ind w:left="20"/>
              <w:spacing w:after="0"/>
              <w:rPr>
                <w:sz w:val="20"/>
                <w:szCs w:val="20"/>
                <w:color w:val="auto"/>
              </w:rPr>
            </w:pPr>
            <w:r>
              <w:rPr>
                <w:rFonts w:ascii="Arial" w:cs="Arial" w:eastAsia="Arial" w:hAnsi="Arial"/>
                <w:sz w:val="13"/>
                <w:szCs w:val="13"/>
                <w:color w:val="auto"/>
              </w:rPr>
              <w:t>May 1 - 31, 2023</w:t>
            </w:r>
          </w:p>
        </w:tc>
        <w:tc>
          <w:tcPr>
            <w:tcW w:w="1560" w:type="dxa"/>
            <w:vAlign w:val="bottom"/>
          </w:tcPr>
          <w:p>
            <w:pPr>
              <w:spacing w:after="0"/>
              <w:rPr>
                <w:sz w:val="14"/>
                <w:szCs w:val="14"/>
                <w:color w:val="auto"/>
              </w:rPr>
            </w:pPr>
          </w:p>
        </w:tc>
        <w:tc>
          <w:tcPr>
            <w:tcW w:w="12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900" w:type="dxa"/>
            <w:vAlign w:val="bottom"/>
          </w:tcPr>
          <w:p>
            <w:pPr>
              <w:jc w:val="right"/>
              <w:spacing w:after="0"/>
              <w:rPr>
                <w:sz w:val="20"/>
                <w:szCs w:val="20"/>
                <w:color w:val="auto"/>
              </w:rPr>
            </w:pPr>
            <w:r>
              <w:rPr>
                <w:rFonts w:ascii="Arial" w:cs="Arial" w:eastAsia="Arial" w:hAnsi="Arial"/>
                <w:sz w:val="13"/>
                <w:szCs w:val="13"/>
                <w:color w:val="auto"/>
              </w:rPr>
              <w:t>18,936,024</w:t>
            </w:r>
          </w:p>
        </w:tc>
        <w:tc>
          <w:tcPr>
            <w:tcW w:w="100" w:type="dxa"/>
            <w:vAlign w:val="bottom"/>
          </w:tcPr>
          <w:p>
            <w:pPr>
              <w:spacing w:after="0"/>
              <w:rPr>
                <w:sz w:val="14"/>
                <w:szCs w:val="14"/>
                <w:color w:val="auto"/>
              </w:rPr>
            </w:pPr>
          </w:p>
        </w:tc>
      </w:tr>
      <w:tr>
        <w:trPr>
          <w:trHeight w:val="180"/>
        </w:trPr>
        <w:tc>
          <w:tcPr>
            <w:tcW w:w="3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June 1 - 30, 2023</w:t>
            </w:r>
          </w:p>
        </w:tc>
        <w:tc>
          <w:tcPr>
            <w:tcW w:w="156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1060" w:type="dxa"/>
            <w:vAlign w:val="bottom"/>
            <w:tcBorders>
              <w:bottom w:val="single" w:sz="8" w:color="CFF0FC"/>
            </w:tcBorders>
            <w:gridSpan w:val="2"/>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3"/>
                <w:szCs w:val="13"/>
                <w:color w:val="auto"/>
                <w:w w:val="91"/>
              </w:rPr>
              <w:t>—</w:t>
            </w:r>
          </w:p>
        </w:tc>
        <w:tc>
          <w:tcPr>
            <w:tcW w:w="2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18,936,024</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73"/>
        </w:trPr>
        <w:tc>
          <w:tcPr>
            <w:tcW w:w="3660" w:type="dxa"/>
            <w:vAlign w:val="bottom"/>
          </w:tcPr>
          <w:p>
            <w:pPr>
              <w:ind w:left="20"/>
              <w:spacing w:after="0"/>
              <w:rPr>
                <w:sz w:val="20"/>
                <w:szCs w:val="20"/>
                <w:color w:val="auto"/>
              </w:rPr>
            </w:pPr>
            <w:r>
              <w:rPr>
                <w:rFonts w:ascii="Arial" w:cs="Arial" w:eastAsia="Arial" w:hAnsi="Arial"/>
                <w:sz w:val="13"/>
                <w:szCs w:val="13"/>
                <w:b w:val="1"/>
                <w:bCs w:val="1"/>
                <w:color w:val="auto"/>
              </w:rPr>
              <w:t>Total</w:t>
            </w:r>
          </w:p>
        </w:tc>
        <w:tc>
          <w:tcPr>
            <w:tcW w:w="1560" w:type="dxa"/>
            <w:vAlign w:val="bottom"/>
          </w:tcPr>
          <w:p>
            <w:pPr>
              <w:spacing w:after="0"/>
              <w:rPr>
                <w:sz w:val="15"/>
                <w:szCs w:val="15"/>
                <w:color w:val="auto"/>
              </w:rPr>
            </w:pPr>
          </w:p>
        </w:tc>
        <w:tc>
          <w:tcPr>
            <w:tcW w:w="1280" w:type="dxa"/>
            <w:vAlign w:val="bottom"/>
            <w:gridSpan w:val="3"/>
          </w:tcPr>
          <w:p>
            <w:pPr>
              <w:ind w:left="80"/>
              <w:spacing w:after="0"/>
              <w:rPr>
                <w:sz w:val="20"/>
                <w:szCs w:val="20"/>
                <w:color w:val="auto"/>
              </w:rPr>
            </w:pPr>
            <w:r>
              <w:rPr>
                <w:rFonts w:ascii="Arial" w:cs="Arial" w:eastAsia="Arial" w:hAnsi="Arial"/>
                <w:sz w:val="13"/>
                <w:szCs w:val="13"/>
                <w:color w:val="auto"/>
              </w:rPr>
              <w:t>—</w:t>
            </w:r>
          </w:p>
        </w:tc>
        <w:tc>
          <w:tcPr>
            <w:tcW w:w="240" w:type="dxa"/>
            <w:vAlign w:val="bottom"/>
          </w:tcPr>
          <w:p>
            <w:pPr>
              <w:ind w:left="1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-144780</wp:posOffset>
            </wp:positionV>
            <wp:extent cx="77470" cy="145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-144780</wp:posOffset>
            </wp:positionV>
            <wp:extent cx="68580" cy="145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82" w:lineRule="exact"/>
        <w:rPr>
          <w:sz w:val="20"/>
          <w:szCs w:val="20"/>
          <w:color w:val="auto"/>
        </w:rPr>
      </w:pPr>
    </w:p>
    <w:p>
      <w:pPr>
        <w:ind w:right="40" w:firstLine="8"/>
        <w:spacing w:after="0" w:line="293" w:lineRule="auto"/>
        <w:tabs>
          <w:tab w:leader="none" w:pos="2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On May 12, 2022, we announced that our Board of Directors authorized a program to repurchase outstanding shares of our Class A and Class B common stock as of the date of authorization, not to exceed $20 million (the "Stock Repurchase Program"). On December 27, 2022, we announced that our Board of Directors authorized an additional $20 million for repurchases under the Stock Repurchase Program. The authorization provides us the flexibility to repurchase shares in the open market, in block trades, in accordance with Rule 10b5-1 trading plans, and/or through other legally permissible means, in privately negotiated transactions, from time to time, based on market conditions and other factors. The Stock Repurchase Program does not obligate P10 to acquire any particular amount of common stock and it may be terminated or amended by the Board of Directors at any time.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Neither the Company nor any of our officers or directors adopted or terminated a Rule 10b5-1 or non-Rule 10b5-1 trading arrangement as defined by Item 408(a) and Item 408(d) of Regulation S-K during the last fiscal quarter.</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0" w:type="dxa"/>
            <w:vAlign w:val="bottom"/>
          </w:tcPr>
          <w:p>
            <w:pPr>
              <w:ind w:left="20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60" w:type="dxa"/>
            <w:vAlign w:val="bottom"/>
            <w:gridSpan w:val="22"/>
          </w:tcPr>
          <w:p>
            <w:pPr>
              <w:ind w:left="340"/>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r>
      <w:tr>
        <w:trPr>
          <w:trHeight w:val="432"/>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tcBorders>
              <w:bottom w:val="single" w:sz="8" w:color="0000FF"/>
            </w:tcBorders>
            <w:gridSpan w:val="27"/>
          </w:tcPr>
          <w:p>
            <w:pPr>
              <w:spacing w:after="0"/>
              <w:rPr>
                <w:rFonts w:ascii="Arial" w:cs="Arial" w:eastAsia="Arial" w:hAnsi="Arial"/>
                <w:sz w:val="18"/>
                <w:szCs w:val="18"/>
                <w:color w:val="0000FF"/>
                <w:w w:val="91"/>
              </w:rPr>
            </w:pPr>
            <w:hyperlink r:id="rId276">
              <w:r>
                <w:rPr>
                  <w:rFonts w:ascii="Arial" w:cs="Arial" w:eastAsia="Arial" w:hAnsi="Arial"/>
                  <w:sz w:val="18"/>
                  <w:szCs w:val="18"/>
                  <w:color w:val="0000FF"/>
                  <w:w w:val="91"/>
                </w:rPr>
                <w:t>Amended and Restated Certificate of Incorporation of P10, Inc. (incorporated by reference to Exhibit 3.1 to the Company’s Current Report</w:t>
              </w:r>
            </w:hyperlink>
          </w:p>
        </w:tc>
        <w:tc>
          <w:tcPr>
            <w:tcW w:w="160" w:type="dxa"/>
            <w:vAlign w:val="bottom"/>
            <w:gridSpan w:val="5"/>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76">
              <w:r>
                <w:rPr>
                  <w:rFonts w:ascii="Arial" w:cs="Arial" w:eastAsia="Arial" w:hAnsi="Arial"/>
                  <w:sz w:val="18"/>
                  <w:szCs w:val="18"/>
                  <w:color w:val="0000FF"/>
                  <w:w w:val="91"/>
                </w:rPr>
                <w:t>on Form 8-K filed on October 26, 2021).</w:t>
              </w:r>
            </w:hyperlink>
          </w:p>
        </w:tc>
        <w:tc>
          <w:tcPr>
            <w:tcW w:w="20" w:type="dxa"/>
            <w:vAlign w:val="bottom"/>
            <w:tcBorders>
              <w:bottom w:val="single" w:sz="8" w:color="0000EE"/>
            </w:tcBorders>
          </w:tcPr>
          <w:p>
            <w:pPr>
              <w:spacing w:after="0"/>
              <w:rPr>
                <w:sz w:val="17"/>
                <w:szCs w:val="17"/>
                <w:color w:val="auto"/>
              </w:rPr>
            </w:pPr>
          </w:p>
        </w:tc>
        <w:tc>
          <w:tcPr>
            <w:tcW w:w="7240" w:type="dxa"/>
            <w:vAlign w:val="bottom"/>
            <w:gridSpan w:val="24"/>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31"/>
          </w:tcPr>
          <w:p>
            <w:pPr>
              <w:spacing w:after="0"/>
              <w:rPr>
                <w:rFonts w:ascii="Arial" w:cs="Arial" w:eastAsia="Arial" w:hAnsi="Arial"/>
                <w:sz w:val="18"/>
                <w:szCs w:val="18"/>
                <w:color w:val="0000FF"/>
                <w:w w:val="91"/>
              </w:rPr>
            </w:pPr>
            <w:hyperlink r:id="rId277">
              <w:r>
                <w:rPr>
                  <w:rFonts w:ascii="Arial" w:cs="Arial" w:eastAsia="Arial" w:hAnsi="Arial"/>
                  <w:sz w:val="18"/>
                  <w:szCs w:val="18"/>
                  <w:color w:val="0000FF"/>
                  <w:w w:val="91"/>
                </w:rPr>
                <w:t>Amended and Restated Bylaws of P10, Inc. (incorporated by reference to Exhibit 3.2 to the Company’s Current Report on Form 8-K filed on</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277">
              <w:r>
                <w:rPr>
                  <w:rFonts w:ascii="Arial" w:cs="Arial" w:eastAsia="Arial" w:hAnsi="Arial"/>
                  <w:sz w:val="18"/>
                  <w:szCs w:val="18"/>
                  <w:color w:val="0000FF"/>
                  <w:w w:val="89"/>
                </w:rPr>
                <w:t>October 26, 2021).</w:t>
              </w:r>
            </w:hyperlink>
          </w:p>
        </w:tc>
        <w:tc>
          <w:tcPr>
            <w:tcW w:w="20" w:type="dxa"/>
            <w:vAlign w:val="bottom"/>
            <w:tcBorders>
              <w:bottom w:val="single" w:sz="8" w:color="0000EE"/>
            </w:tcBorders>
          </w:tcPr>
          <w:p>
            <w:pPr>
              <w:spacing w:after="0"/>
              <w:rPr>
                <w:sz w:val="17"/>
                <w:szCs w:val="17"/>
                <w:color w:val="auto"/>
              </w:rPr>
            </w:pPr>
          </w:p>
        </w:tc>
        <w:tc>
          <w:tcPr>
            <w:tcW w:w="8820" w:type="dxa"/>
            <w:vAlign w:val="bottom"/>
            <w:gridSpan w:val="26"/>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20" w:type="dxa"/>
            <w:vAlign w:val="bottom"/>
            <w:tcBorders>
              <w:bottom w:val="single" w:sz="8" w:color="0000FF"/>
            </w:tcBorders>
            <w:gridSpan w:val="23"/>
          </w:tcPr>
          <w:p>
            <w:pPr>
              <w:spacing w:after="0"/>
              <w:rPr>
                <w:rFonts w:ascii="Arial" w:cs="Arial" w:eastAsia="Arial" w:hAnsi="Arial"/>
                <w:sz w:val="18"/>
                <w:szCs w:val="18"/>
                <w:color w:val="0000FF"/>
                <w:w w:val="90"/>
              </w:rPr>
            </w:pPr>
            <w:hyperlink r:id="rId278">
              <w:r>
                <w:rPr>
                  <w:rFonts w:ascii="Arial" w:cs="Arial" w:eastAsia="Arial" w:hAnsi="Arial"/>
                  <w:sz w:val="18"/>
                  <w:szCs w:val="18"/>
                  <w:color w:val="0000FF"/>
                  <w:w w:val="90"/>
                </w:rPr>
                <w:t>Rights Agreement, dated as of October 20, 2021, by and among the Company and American Stock Transfer &amp; Trust Company, LLC, as</w:t>
              </w:r>
            </w:hyperlink>
          </w:p>
        </w:tc>
        <w:tc>
          <w:tcPr>
            <w:tcW w:w="380" w:type="dxa"/>
            <w:vAlign w:val="bottom"/>
            <w:gridSpan w:val="9"/>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FF"/>
              </w:rPr>
            </w:pPr>
            <w:hyperlink r:id="rId278">
              <w:r>
                <w:rPr>
                  <w:rFonts w:ascii="Arial" w:cs="Arial" w:eastAsia="Arial" w:hAnsi="Arial"/>
                  <w:sz w:val="18"/>
                  <w:szCs w:val="18"/>
                  <w:color w:val="0000FF"/>
                </w:rPr>
                <w:t>rights agent (incorporate by reference to Exhibit 4.1 to the Company’s Current Report on Form 8-K filed on October 26, 2021).</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00" w:type="dxa"/>
            <w:vAlign w:val="bottom"/>
            <w:tcBorders>
              <w:bottom w:val="single" w:sz="8" w:color="0000FF"/>
            </w:tcBorders>
            <w:gridSpan w:val="24"/>
          </w:tcPr>
          <w:p>
            <w:pPr>
              <w:spacing w:after="0"/>
              <w:rPr>
                <w:rFonts w:ascii="Arial" w:cs="Arial" w:eastAsia="Arial" w:hAnsi="Arial"/>
                <w:sz w:val="18"/>
                <w:szCs w:val="18"/>
                <w:color w:val="0000FF"/>
                <w:w w:val="90"/>
              </w:rPr>
            </w:pPr>
            <w:hyperlink r:id="rId279">
              <w:r>
                <w:rPr>
                  <w:rFonts w:ascii="Arial" w:cs="Arial" w:eastAsia="Arial" w:hAnsi="Arial"/>
                  <w:sz w:val="18"/>
                  <w:szCs w:val="18"/>
                  <w:color w:val="0000FF"/>
                  <w:w w:val="90"/>
                </w:rPr>
                <w:t>Separation Agreement and General Release, dated as of May 12, 2023, by and among P10 Holdings, Inc., RCP Advisors 3, LLC and Jeff</w:t>
              </w:r>
            </w:hyperlink>
          </w:p>
        </w:tc>
        <w:tc>
          <w:tcPr>
            <w:tcW w:w="300" w:type="dxa"/>
            <w:vAlign w:val="bottom"/>
            <w:gridSpan w:val="8"/>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279">
              <w:r>
                <w:rPr>
                  <w:rFonts w:ascii="Arial" w:cs="Arial" w:eastAsia="Arial" w:hAnsi="Arial"/>
                  <w:sz w:val="18"/>
                  <w:szCs w:val="18"/>
                  <w:color w:val="0000FF"/>
                  <w:w w:val="91"/>
                </w:rPr>
                <w:t>Gehl (incorporated by reference to Exhibit 10.2 to the Company's Quarterly Report on Form 10-Q filed on May 15, 2023).</w:t>
              </w:r>
            </w:hyperlink>
          </w:p>
        </w:tc>
        <w:tc>
          <w:tcPr>
            <w:tcW w:w="20" w:type="dxa"/>
            <w:vAlign w:val="bottom"/>
            <w:tcBorders>
              <w:bottom w:val="single" w:sz="8" w:color="0000EE"/>
            </w:tcBorders>
          </w:tcPr>
          <w:p>
            <w:pPr>
              <w:spacing w:after="0"/>
              <w:rPr>
                <w:sz w:val="17"/>
                <w:szCs w:val="17"/>
                <w:color w:val="auto"/>
              </w:rPr>
            </w:pPr>
          </w:p>
        </w:tc>
        <w:tc>
          <w:tcPr>
            <w:tcW w:w="1360" w:type="dxa"/>
            <w:vAlign w:val="bottom"/>
            <w:gridSpan w:val="15"/>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tcBorders>
              <w:bottom w:val="single" w:sz="8" w:color="0000FF"/>
            </w:tcBorders>
            <w:gridSpan w:val="22"/>
          </w:tcPr>
          <w:p>
            <w:pPr>
              <w:spacing w:after="0"/>
              <w:rPr>
                <w:rFonts w:ascii="Arial" w:cs="Arial" w:eastAsia="Arial" w:hAnsi="Arial"/>
                <w:sz w:val="18"/>
                <w:szCs w:val="18"/>
                <w:color w:val="0000FF"/>
                <w:w w:val="91"/>
              </w:rPr>
            </w:pPr>
            <w:hyperlink r:id="rId280">
              <w:r>
                <w:rPr>
                  <w:rFonts w:ascii="Arial" w:cs="Arial" w:eastAsia="Arial" w:hAnsi="Arial"/>
                  <w:sz w:val="18"/>
                  <w:szCs w:val="18"/>
                  <w:color w:val="0000FF"/>
                  <w:w w:val="91"/>
                </w:rPr>
                <w:t>Amended &amp; Restated Employment Agreement, dated as of May 12, 2023, by and between P10 Intermediate Holdings LLC, and Robert</w:t>
              </w:r>
            </w:hyperlink>
          </w:p>
        </w:tc>
        <w:tc>
          <w:tcPr>
            <w:tcW w:w="400" w:type="dxa"/>
            <w:vAlign w:val="bottom"/>
            <w:gridSpan w:val="10"/>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32"/>
          </w:tcPr>
          <w:p>
            <w:pPr>
              <w:spacing w:after="0" w:line="196" w:lineRule="exact"/>
              <w:rPr>
                <w:rFonts w:ascii="Arial" w:cs="Arial" w:eastAsia="Arial" w:hAnsi="Arial"/>
                <w:sz w:val="18"/>
                <w:szCs w:val="18"/>
                <w:color w:val="0000FF"/>
              </w:rPr>
            </w:pPr>
            <w:hyperlink r:id="rId280">
              <w:r>
                <w:rPr>
                  <w:rFonts w:ascii="Arial" w:cs="Arial" w:eastAsia="Arial" w:hAnsi="Arial"/>
                  <w:sz w:val="18"/>
                  <w:szCs w:val="18"/>
                  <w:color w:val="0000FF"/>
                </w:rPr>
                <w:t>Alpert (incorporated by reference to Exhibit 10.3 to the Company's Quarterly Report on Form 10-Q filed on May 15, 2023).</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bottom w:val="single" w:sz="8" w:color="0000FF"/>
            </w:tcBorders>
            <w:gridSpan w:val="25"/>
          </w:tcPr>
          <w:p>
            <w:pPr>
              <w:spacing w:after="0"/>
              <w:rPr>
                <w:rFonts w:ascii="Arial" w:cs="Arial" w:eastAsia="Arial" w:hAnsi="Arial"/>
                <w:sz w:val="18"/>
                <w:szCs w:val="18"/>
                <w:color w:val="0000FF"/>
                <w:w w:val="91"/>
              </w:rPr>
            </w:pPr>
            <w:hyperlink r:id="rId281">
              <w:r>
                <w:rPr>
                  <w:rFonts w:ascii="Arial" w:cs="Arial" w:eastAsia="Arial" w:hAnsi="Arial"/>
                  <w:sz w:val="18"/>
                  <w:szCs w:val="18"/>
                  <w:color w:val="0000FF"/>
                  <w:w w:val="91"/>
                </w:rPr>
                <w:t>Amended &amp; Restated Employment Agreement, dated as of May 12, 2023, by and between P10 Intermediate Holdings LLC, and C. Clark</w:t>
              </w:r>
            </w:hyperlink>
          </w:p>
        </w:tc>
        <w:tc>
          <w:tcPr>
            <w:tcW w:w="280" w:type="dxa"/>
            <w:vAlign w:val="bottom"/>
            <w:gridSpan w:val="7"/>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81">
              <w:r>
                <w:rPr>
                  <w:rFonts w:ascii="Arial" w:cs="Arial" w:eastAsia="Arial" w:hAnsi="Arial"/>
                  <w:sz w:val="18"/>
                  <w:szCs w:val="18"/>
                  <w:color w:val="0000FF"/>
                  <w:w w:val="91"/>
                </w:rPr>
                <w:t>Webb (incorporated by reference to Exhibit 10.4 to the Company's Quarterly Report on Form 10-Q filed on May 15, 2023).</w:t>
              </w:r>
            </w:hyperlink>
          </w:p>
        </w:tc>
        <w:tc>
          <w:tcPr>
            <w:tcW w:w="40" w:type="dxa"/>
            <w:vAlign w:val="bottom"/>
            <w:tcBorders>
              <w:bottom w:val="single" w:sz="8" w:color="0000EE"/>
            </w:tcBorders>
          </w:tcPr>
          <w:p>
            <w:pPr>
              <w:spacing w:after="0"/>
              <w:rPr>
                <w:sz w:val="17"/>
                <w:szCs w:val="17"/>
                <w:color w:val="auto"/>
              </w:rPr>
            </w:pPr>
          </w:p>
        </w:tc>
        <w:tc>
          <w:tcPr>
            <w:tcW w:w="1280" w:type="dxa"/>
            <w:vAlign w:val="bottom"/>
            <w:gridSpan w:val="13"/>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30"/>
          </w:tcPr>
          <w:p>
            <w:pPr>
              <w:spacing w:after="0"/>
              <w:rPr>
                <w:rFonts w:ascii="Arial" w:cs="Arial" w:eastAsia="Arial" w:hAnsi="Arial"/>
                <w:sz w:val="18"/>
                <w:szCs w:val="18"/>
                <w:color w:val="0000FF"/>
                <w:w w:val="91"/>
              </w:rPr>
            </w:pPr>
            <w:hyperlink r:id="rId282">
              <w:r>
                <w:rPr>
                  <w:rFonts w:ascii="Arial" w:cs="Arial" w:eastAsia="Arial" w:hAnsi="Arial"/>
                  <w:sz w:val="18"/>
                  <w:szCs w:val="18"/>
                  <w:color w:val="0000FF"/>
                  <w:w w:val="91"/>
                </w:rPr>
                <w:t>Employment Agreement, dated as of May 12, 2023, by and among P10 Intermediate Holdings LLC and William F. Souder (incorporated by</w:t>
              </w:r>
            </w:hyperlink>
          </w:p>
        </w:tc>
        <w:tc>
          <w:tcPr>
            <w:tcW w:w="8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8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282">
              <w:r>
                <w:rPr>
                  <w:rFonts w:ascii="Arial" w:cs="Arial" w:eastAsia="Arial" w:hAnsi="Arial"/>
                  <w:sz w:val="18"/>
                  <w:szCs w:val="18"/>
                  <w:color w:val="0000FF"/>
                  <w:w w:val="91"/>
                </w:rPr>
                <w:t>reference to Exhibit 10.5 to the Company's Quarterly Report on Form 10-Q filed on May 15, 2023).</w:t>
              </w:r>
            </w:hyperlink>
          </w:p>
        </w:tc>
        <w:tc>
          <w:tcPr>
            <w:tcW w:w="3020" w:type="dxa"/>
            <w:vAlign w:val="bottom"/>
            <w:gridSpan w:val="17"/>
          </w:tcPr>
          <w:p>
            <w:pPr>
              <w:spacing w:after="0"/>
              <w:rPr>
                <w:sz w:val="17"/>
                <w:szCs w:val="17"/>
                <w:color w:val="auto"/>
              </w:rPr>
            </w:pPr>
          </w:p>
        </w:tc>
      </w:tr>
      <w:tr>
        <w:trPr>
          <w:trHeight w:val="466"/>
        </w:trPr>
        <w:tc>
          <w:tcPr>
            <w:tcW w:w="92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Amendment No. 1 to Controlled Company Agreement, dated as of May 16, 2023</w:t>
            </w:r>
          </w:p>
        </w:tc>
        <w:tc>
          <w:tcPr>
            <w:tcW w:w="20" w:type="dxa"/>
            <w:vAlign w:val="bottom"/>
            <w:tcBorders>
              <w:bottom w:val="single" w:sz="8" w:color="0000EE"/>
            </w:tcBorders>
          </w:tcPr>
          <w:p>
            <w:pPr>
              <w:spacing w:after="0"/>
              <w:rPr>
                <w:sz w:val="24"/>
                <w:szCs w:val="24"/>
                <w:color w:val="auto"/>
              </w:rPr>
            </w:pPr>
          </w:p>
        </w:tc>
        <w:tc>
          <w:tcPr>
            <w:tcW w:w="4340" w:type="dxa"/>
            <w:vAlign w:val="bottom"/>
            <w:gridSpan w:val="18"/>
          </w:tcPr>
          <w:p>
            <w:pPr>
              <w:spacing w:after="0"/>
              <w:rPr>
                <w:sz w:val="24"/>
                <w:szCs w:val="24"/>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1"/>
              </w:rPr>
              <w:t>Certification of Co-Chief Executive Officer Pursuant to Rules 13a-14(a) and 15d-14(a) under the Securities Exchange Act of 1934, as</w:t>
            </w:r>
          </w:p>
        </w:tc>
        <w:tc>
          <w:tcPr>
            <w:tcW w:w="52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20"/>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8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1"/>
              </w:rPr>
              <w:t>Certification of Co-Chief Executive Officer Pursuant to Rules 13a-14(a) and 15d-14(a) under the Securities Exchange Act of 1934, as</w:t>
            </w:r>
          </w:p>
        </w:tc>
        <w:tc>
          <w:tcPr>
            <w:tcW w:w="520" w:type="dxa"/>
            <w:vAlign w:val="bottom"/>
            <w:gridSpan w:val="11"/>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11"/>
          </w:tcPr>
          <w:p>
            <w:pPr>
              <w:spacing w:after="0" w:line="196" w:lineRule="exact"/>
              <w:rPr>
                <w:sz w:val="20"/>
                <w:szCs w:val="20"/>
                <w:color w:val="auto"/>
              </w:rPr>
            </w:pPr>
            <w:r>
              <w:rPr>
                <w:rFonts w:ascii="Arial" w:cs="Arial" w:eastAsia="Arial" w:hAnsi="Arial"/>
                <w:sz w:val="18"/>
                <w:szCs w:val="18"/>
                <w:color w:val="0000FF"/>
                <w:w w:val="90"/>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200" w:type="dxa"/>
            <w:vAlign w:val="bottom"/>
            <w:gridSpan w:val="20"/>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1"/>
              </w:rPr>
              <w:t>Certification of Chief Financial Officer Pursuant to Rules 13a-14(a) and 15d-14(a) under the Securities Exchange Act of 1934, as Adopted</w:t>
            </w:r>
          </w:p>
        </w:tc>
        <w:tc>
          <w:tcPr>
            <w:tcW w:w="18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0"/>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860" w:type="dxa"/>
            <w:vAlign w:val="bottom"/>
            <w:gridSpan w:val="22"/>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1"/>
              </w:rPr>
              <w:t>Certification of Co-Chief Executive Officer Pursuant to 18 U.S.C. Section 1350, as Adopted Pursuant to Section 906 of the Sarbanes-Oxley</w:t>
            </w:r>
          </w:p>
        </w:tc>
        <w:tc>
          <w:tcPr>
            <w:tcW w:w="1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1"/>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28"/>
          </w:tcPr>
          <w:p>
            <w:pPr>
              <w:spacing w:after="0"/>
              <w:rPr>
                <w:sz w:val="17"/>
                <w:szCs w:val="17"/>
                <w:color w:val="auto"/>
              </w:rPr>
            </w:pPr>
          </w:p>
        </w:tc>
      </w:tr>
      <w:tr>
        <w:trPr>
          <w:trHeight w:val="372"/>
        </w:trPr>
        <w:tc>
          <w:tcPr>
            <w:tcW w:w="9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1"/>
              </w:rPr>
              <w:t>Certification of Co-Chief Executive Officer Pursuant to 18 U.S.C. Section 1350, as Adopted Pursuant to Section 906 of the Sarbanes-Oxley</w:t>
            </w:r>
          </w:p>
        </w:tc>
        <w:tc>
          <w:tcPr>
            <w:tcW w:w="1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91"/>
              </w:rPr>
              <w:t>Act of 2002.</w:t>
            </w:r>
          </w:p>
        </w:tc>
        <w:tc>
          <w:tcPr>
            <w:tcW w:w="20" w:type="dxa"/>
            <w:vAlign w:val="bottom"/>
            <w:tcBorders>
              <w:bottom w:val="single" w:sz="8" w:color="0000EE"/>
            </w:tcBorders>
          </w:tcPr>
          <w:p>
            <w:pPr>
              <w:spacing w:after="0"/>
              <w:rPr>
                <w:sz w:val="17"/>
                <w:szCs w:val="17"/>
                <w:color w:val="auto"/>
              </w:rPr>
            </w:pPr>
          </w:p>
        </w:tc>
        <w:tc>
          <w:tcPr>
            <w:tcW w:w="9280" w:type="dxa"/>
            <w:vAlign w:val="bottom"/>
            <w:gridSpan w:val="28"/>
          </w:tcPr>
          <w:p>
            <w:pPr>
              <w:spacing w:after="0"/>
              <w:rPr>
                <w:sz w:val="17"/>
                <w:szCs w:val="17"/>
                <w:color w:val="auto"/>
              </w:rPr>
            </w:pPr>
          </w:p>
        </w:tc>
      </w:tr>
      <w:tr>
        <w:trPr>
          <w:trHeight w:val="371"/>
        </w:trPr>
        <w:tc>
          <w:tcPr>
            <w:tcW w:w="920" w:type="dxa"/>
            <w:vAlign w:val="bottom"/>
          </w:tcPr>
          <w:p>
            <w:pPr>
              <w:ind w:left="2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1"/>
              </w:rPr>
              <w:t>Certification of Chief Financial Officer Pursuant to 18 U.S.C. Section 1350, as Adopted Pursuant to Section 906 of the Sarbanes-Oxley Act</w:t>
            </w:r>
          </w:p>
        </w:tc>
        <w:tc>
          <w:tcPr>
            <w:tcW w:w="12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9"/>
              </w:rPr>
              <w:t>of 2002.</w:t>
            </w:r>
          </w:p>
        </w:tc>
        <w:tc>
          <w:tcPr>
            <w:tcW w:w="20" w:type="dxa"/>
            <w:vAlign w:val="bottom"/>
            <w:tcBorders>
              <w:bottom w:val="single" w:sz="8" w:color="0000EE"/>
            </w:tcBorders>
          </w:tcPr>
          <w:p>
            <w:pPr>
              <w:spacing w:after="0"/>
              <w:rPr>
                <w:sz w:val="17"/>
                <w:szCs w:val="17"/>
                <w:color w:val="auto"/>
              </w:rPr>
            </w:pPr>
          </w:p>
        </w:tc>
        <w:tc>
          <w:tcPr>
            <w:tcW w:w="9580" w:type="dxa"/>
            <w:vAlign w:val="bottom"/>
            <w:gridSpan w:val="30"/>
          </w:tcPr>
          <w:p>
            <w:pPr>
              <w:spacing w:after="0"/>
              <w:rPr>
                <w:sz w:val="17"/>
                <w:szCs w:val="17"/>
                <w:color w:val="auto"/>
              </w:rPr>
            </w:pPr>
          </w:p>
        </w:tc>
      </w:tr>
      <w:tr>
        <w:trPr>
          <w:trHeight w:val="412"/>
        </w:trPr>
        <w:tc>
          <w:tcPr>
            <w:tcW w:w="920" w:type="dxa"/>
            <w:vAlign w:val="bottom"/>
          </w:tcPr>
          <w:p>
            <w:pPr>
              <w:ind w:left="20"/>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32"/>
          </w:tcPr>
          <w:p>
            <w:pPr>
              <w:spacing w:after="0"/>
              <w:rPr>
                <w:sz w:val="20"/>
                <w:szCs w:val="20"/>
                <w:color w:val="auto"/>
              </w:rPr>
            </w:pPr>
            <w:r>
              <w:rPr>
                <w:rFonts w:ascii="Arial" w:cs="Arial" w:eastAsia="Arial" w:hAnsi="Arial"/>
                <w:sz w:val="18"/>
                <w:szCs w:val="18"/>
                <w:color w:val="auto"/>
              </w:rPr>
              <w:t>Inline XBRL Instance Document</w:t>
            </w:r>
          </w:p>
        </w:tc>
      </w:tr>
      <w:tr>
        <w:trPr>
          <w:trHeight w:val="391"/>
        </w:trPr>
        <w:tc>
          <w:tcPr>
            <w:tcW w:w="920" w:type="dxa"/>
            <w:vAlign w:val="bottom"/>
          </w:tcPr>
          <w:p>
            <w:pPr>
              <w:ind w:left="20"/>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3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920" w:type="dxa"/>
            <w:vAlign w:val="bottom"/>
          </w:tcPr>
          <w:p>
            <w:pPr>
              <w:ind w:left="20"/>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3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2"/>
        </w:trPr>
        <w:tc>
          <w:tcPr>
            <w:tcW w:w="920" w:type="dxa"/>
            <w:vAlign w:val="bottom"/>
          </w:tcPr>
          <w:p>
            <w:pPr>
              <w:ind w:left="20"/>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3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1"/>
        </w:trPr>
        <w:tc>
          <w:tcPr>
            <w:tcW w:w="920" w:type="dxa"/>
            <w:vAlign w:val="bottom"/>
          </w:tcPr>
          <w:p>
            <w:pPr>
              <w:ind w:left="20"/>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3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1"/>
        </w:trPr>
        <w:tc>
          <w:tcPr>
            <w:tcW w:w="920" w:type="dxa"/>
            <w:vAlign w:val="bottom"/>
          </w:tcPr>
          <w:p>
            <w:pPr>
              <w:ind w:left="20"/>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3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61" w:lineRule="exact"/>
        <w:rPr>
          <w:sz w:val="20"/>
          <w:szCs w:val="20"/>
          <w:color w:val="auto"/>
        </w:rPr>
      </w:pPr>
    </w:p>
    <w:p>
      <w:pPr>
        <w:ind w:left="5540" w:right="4420" w:hanging="5519"/>
        <w:spacing w:after="0" w:line="5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49" w:name="page50"/>
    <w:bookmarkEnd w:id="49"/>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P10, Inc.</w:t>
      </w:r>
    </w:p>
    <w:p>
      <w:pPr>
        <w:spacing w:after="0" w:line="252" w:lineRule="exact"/>
        <w:rPr>
          <w:sz w:val="20"/>
          <w:szCs w:val="20"/>
          <w:color w:val="auto"/>
        </w:rPr>
      </w:pPr>
    </w:p>
    <w:p>
      <w:pPr>
        <w:ind w:left="20"/>
        <w:spacing w:after="0"/>
        <w:tabs>
          <w:tab w:leader="none" w:pos="5680" w:val="left"/>
          <w:tab w:leader="none" w:pos="806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32"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-127635</wp:posOffset>
            </wp:positionV>
            <wp:extent cx="324040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ind w:left="6440"/>
        <w:spacing w:after="0"/>
        <w:rPr>
          <w:sz w:val="20"/>
          <w:szCs w:val="20"/>
          <w:color w:val="auto"/>
        </w:rPr>
      </w:pPr>
      <w:r>
        <w:rPr>
          <w:rFonts w:ascii="Arial" w:cs="Arial" w:eastAsia="Arial" w:hAnsi="Arial"/>
          <w:sz w:val="17"/>
          <w:szCs w:val="17"/>
          <w:b w:val="1"/>
          <w:bCs w:val="1"/>
          <w:color w:val="auto"/>
        </w:rPr>
        <w:t>Co-Chief Executive Officer and Chairman of the Board of</w:t>
      </w:r>
    </w:p>
    <w:p>
      <w:pPr>
        <w:spacing w:after="0" w:line="34"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Directors (Co-Principal Executive Officer)</w:t>
      </w:r>
    </w:p>
    <w:p>
      <w:pPr>
        <w:spacing w:after="0" w:line="238"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3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-127635</wp:posOffset>
            </wp:positionV>
            <wp:extent cx="324040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auto"/>
        </w:rPr>
        <w:t>Co-Chief Executive Officer and Director (Co-Principal Executive</w:t>
      </w:r>
    </w:p>
    <w:p>
      <w:pPr>
        <w:spacing w:after="0" w:line="46"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Officer)</w:t>
      </w:r>
    </w:p>
    <w:p>
      <w:pPr>
        <w:spacing w:after="0" w:line="238"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32" w:lineRule="exact"/>
        <w:rPr>
          <w:sz w:val="20"/>
          <w:szCs w:val="20"/>
          <w:color w:val="auto"/>
        </w:rPr>
      </w:pPr>
    </w:p>
    <w:p>
      <w:pPr>
        <w:ind w:left="7980"/>
        <w:spacing w:after="0"/>
        <w:rPr>
          <w:sz w:val="20"/>
          <w:szCs w:val="20"/>
          <w:color w:val="auto"/>
        </w:rPr>
      </w:pPr>
      <w:r>
        <w:rPr>
          <w:rFonts w:ascii="Arial" w:cs="Arial" w:eastAsia="Arial" w:hAnsi="Arial"/>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-127635</wp:posOffset>
            </wp:positionV>
            <wp:extent cx="32404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3240405" cy="825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Financial Officer (Principal Financial Officer and Principal</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Accounting Officer)</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0" w:name="page51"/>
    <w:bookmarkEnd w:id="50"/>
    <w:p>
      <w:pPr>
        <w:jc w:val="center"/>
        <w:ind w:right="60"/>
        <w:spacing w:after="0"/>
        <w:rPr>
          <w:sz w:val="20"/>
          <w:szCs w:val="20"/>
          <w:color w:val="auto"/>
        </w:rPr>
      </w:pPr>
      <w:r>
        <w:rPr>
          <w:rFonts w:ascii="Arial" w:cs="Arial" w:eastAsia="Arial" w:hAnsi="Arial"/>
          <w:sz w:val="22"/>
          <w:szCs w:val="22"/>
          <w:color w:val="auto"/>
        </w:rPr>
        <w:t>AMENDMENT NO. 1 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CONTROLLED COMPANY AGREEMENT</w:t>
      </w:r>
    </w:p>
    <w:p>
      <w:pPr>
        <w:spacing w:after="0" w:line="206"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This AMENDMENT NO. 1 TO CONTROLLED COMPANY AGREEMENT (the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May 16, 2023 to amend that Controlled Company Agreement dated as of October 20, 2021 (the “</w:t>
      </w:r>
      <w:r>
        <w:rPr>
          <w:rFonts w:ascii="Arial" w:cs="Arial" w:eastAsia="Arial" w:hAnsi="Arial"/>
          <w:sz w:val="22"/>
          <w:szCs w:val="22"/>
          <w:u w:val="single" w:color="auto"/>
          <w:color w:val="auto"/>
        </w:rPr>
        <w:t>Controlled Company</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w:t>
      </w:r>
      <w:r>
        <w:rPr>
          <w:rFonts w:ascii="Arial" w:cs="Arial" w:eastAsia="Arial" w:hAnsi="Arial"/>
          <w:sz w:val="22"/>
          <w:szCs w:val="22"/>
          <w:color w:val="auto"/>
        </w:rPr>
        <w:t>”), by and among the parties listed on the signature pages thereto, and shall be effective as of the Effective Date (as defined below). Capitalized terms not otherwise defined herein shall have the meanings ascribed in the Controlled Company Agreement.</w:t>
      </w:r>
    </w:p>
    <w:p>
      <w:pPr>
        <w:spacing w:after="0" w:line="187" w:lineRule="exact"/>
        <w:rPr>
          <w:sz w:val="20"/>
          <w:szCs w:val="20"/>
          <w:color w:val="auto"/>
        </w:rPr>
      </w:pPr>
    </w:p>
    <w:p>
      <w:pPr>
        <w:jc w:val="both"/>
        <w:ind w:firstLine="432"/>
        <w:spacing w:after="0"/>
        <w:rPr>
          <w:sz w:val="20"/>
          <w:szCs w:val="20"/>
          <w:color w:val="auto"/>
        </w:rPr>
      </w:pPr>
      <w:r>
        <w:rPr>
          <w:rFonts w:ascii="Arial" w:cs="Arial" w:eastAsia="Arial" w:hAnsi="Arial"/>
          <w:sz w:val="22"/>
          <w:szCs w:val="22"/>
          <w:color w:val="auto"/>
        </w:rPr>
        <w:t>WHEREAS, in connection with the consummation by Issuer of a Restructuring, the Issuer and Stockholders agreed to enter into the Controlled Company Agreement to govern certain of their rights, duties and obligations with respect to their ownership of Shares after consummation of the Restructuring.</w:t>
      </w:r>
    </w:p>
    <w:p>
      <w:pPr>
        <w:spacing w:after="0" w:line="186"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21"/>
          <w:szCs w:val="21"/>
          <w:color w:val="auto"/>
        </w:rPr>
        <w:t>WHEREAS, Jeff P. Gehl, the Trustee of the Jeff P. Gehl Living Trust dated January 25, 2011, a Restricted Stockholder, has elected to terminate his employment, service and association with RCP Advisors 2, LLC and RCP Advisors 3, LLC effective as of May 15, 2023 (the “</w:t>
      </w:r>
      <w:r>
        <w:rPr>
          <w:rFonts w:ascii="Arial" w:cs="Arial" w:eastAsia="Arial" w:hAnsi="Arial"/>
          <w:sz w:val="21"/>
          <w:szCs w:val="21"/>
          <w:u w:val="single" w:color="auto"/>
          <w:color w:val="auto"/>
        </w:rPr>
        <w:t>Effective Date</w:t>
      </w:r>
      <w:r>
        <w:rPr>
          <w:rFonts w:ascii="Arial" w:cs="Arial" w:eastAsia="Arial" w:hAnsi="Arial"/>
          <w:sz w:val="21"/>
          <w:szCs w:val="21"/>
          <w:color w:val="auto"/>
        </w:rPr>
        <w:t>”), and in connection therewith, desires to be released from the rights, duties and obligations under the Controlled Company Agreement as a Restricted Stockholder.</w:t>
      </w:r>
    </w:p>
    <w:p>
      <w:pPr>
        <w:spacing w:after="0" w:line="17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21"/>
          <w:szCs w:val="21"/>
          <w:color w:val="auto"/>
        </w:rPr>
        <w:t>WHEREAS, pursuant to Section 4.1 of the Controlled Company Agreement, each of the parties to the Controlled Company Agreement are entering into this Amendment to amend the Controlled Company Agreement to remove the Jeff P. Gehl Living Trust dated January 25, 2011 as a Restricted Stockholder on and after the Effective Date.</w:t>
      </w:r>
    </w:p>
    <w:p>
      <w:pPr>
        <w:spacing w:after="0" w:line="169" w:lineRule="exact"/>
        <w:rPr>
          <w:sz w:val="20"/>
          <w:szCs w:val="20"/>
          <w:color w:val="auto"/>
        </w:rPr>
      </w:pPr>
    </w:p>
    <w:p>
      <w:pPr>
        <w:ind w:right="60" w:firstLine="432"/>
        <w:spacing w:after="0" w:line="328" w:lineRule="auto"/>
        <w:rPr>
          <w:sz w:val="20"/>
          <w:szCs w:val="20"/>
          <w:color w:val="auto"/>
        </w:rPr>
      </w:pPr>
      <w:r>
        <w:rPr>
          <w:rFonts w:ascii="Arial" w:cs="Arial" w:eastAsia="Arial" w:hAnsi="Arial"/>
          <w:sz w:val="19"/>
          <w:szCs w:val="19"/>
          <w:color w:val="auto"/>
        </w:rPr>
        <w:t>NOW, THEREFORE, in consideration of the mutual covenants and agreements contained herein, and other good and valuable consideration, the adequacy and receipt of which are hereby acknowledged the parties mutually agree as follows:</w:t>
      </w:r>
    </w:p>
    <w:p>
      <w:pPr>
        <w:spacing w:after="0" w:line="105" w:lineRule="exact"/>
        <w:rPr>
          <w:sz w:val="20"/>
          <w:szCs w:val="20"/>
          <w:color w:val="auto"/>
        </w:rPr>
      </w:pPr>
    </w:p>
    <w:p>
      <w:pPr>
        <w:jc w:val="both"/>
        <w:ind w:left="760" w:hanging="378"/>
        <w:spacing w:after="0"/>
        <w:tabs>
          <w:tab w:leader="none" w:pos="7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From and after the Effective Date, the term “</w:t>
      </w:r>
      <w:r>
        <w:rPr>
          <w:rFonts w:ascii="Arial" w:cs="Arial" w:eastAsia="Arial" w:hAnsi="Arial"/>
          <w:sz w:val="22"/>
          <w:szCs w:val="22"/>
          <w:u w:val="single" w:color="auto"/>
          <w:color w:val="auto"/>
        </w:rPr>
        <w:t>Restricted Stockholders</w:t>
      </w:r>
      <w:r>
        <w:rPr>
          <w:rFonts w:ascii="Arial" w:cs="Arial" w:eastAsia="Arial" w:hAnsi="Arial"/>
          <w:sz w:val="22"/>
          <w:szCs w:val="22"/>
          <w:color w:val="auto"/>
        </w:rPr>
        <w:t>” as used in the Controlled Company Agreement shall mean the Stockholders listed on the signature pages of this Amendment, other than Jeff P. Gehl, the Trustee of the Jeff P. Gehl Living Trust dated January 25, 2011.</w:t>
      </w:r>
    </w:p>
    <w:p>
      <w:pPr>
        <w:spacing w:after="0" w:line="186" w:lineRule="exact"/>
        <w:rPr>
          <w:rFonts w:ascii="Arial" w:cs="Arial" w:eastAsia="Arial" w:hAnsi="Arial"/>
          <w:sz w:val="22"/>
          <w:szCs w:val="22"/>
          <w:color w:val="auto"/>
        </w:rPr>
      </w:pPr>
    </w:p>
    <w:p>
      <w:pPr>
        <w:jc w:val="both"/>
        <w:ind w:left="760" w:hanging="378"/>
        <w:spacing w:after="0" w:line="297" w:lineRule="auto"/>
        <w:tabs>
          <w:tab w:leader="none" w:pos="7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From and after the Effective Date, the term “</w:t>
      </w:r>
      <w:r>
        <w:rPr>
          <w:rFonts w:ascii="Arial" w:cs="Arial" w:eastAsia="Arial" w:hAnsi="Arial"/>
          <w:sz w:val="19"/>
          <w:szCs w:val="19"/>
          <w:u w:val="single" w:color="auto"/>
          <w:color w:val="auto"/>
        </w:rPr>
        <w:t>RCP Stockholders</w:t>
      </w:r>
      <w:r>
        <w:rPr>
          <w:rFonts w:ascii="Arial" w:cs="Arial" w:eastAsia="Arial" w:hAnsi="Arial"/>
          <w:sz w:val="19"/>
          <w:szCs w:val="19"/>
          <w:color w:val="auto"/>
        </w:rPr>
        <w:t>” as used in the Controlled Company Agreement shall mean RCP Advisors 2, LLC and RCP Advisors 3, LLC, those parties listed on the signature pages of this Amendment under the heading RCP Stockholders, and any of their Permitted Transferees who hold Shares as of the applicable time.</w:t>
      </w:r>
    </w:p>
    <w:p>
      <w:pPr>
        <w:spacing w:after="0" w:line="133" w:lineRule="exact"/>
        <w:rPr>
          <w:rFonts w:ascii="Arial" w:cs="Arial" w:eastAsia="Arial" w:hAnsi="Arial"/>
          <w:sz w:val="19"/>
          <w:szCs w:val="19"/>
          <w:color w:val="auto"/>
        </w:rPr>
      </w:pPr>
    </w:p>
    <w:p>
      <w:pPr>
        <w:jc w:val="both"/>
        <w:ind w:left="760" w:hanging="378"/>
        <w:spacing w:after="0" w:line="252" w:lineRule="auto"/>
        <w:tabs>
          <w:tab w:leader="none" w:pos="760"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This Amendment constitutes an amendment to and a part of the Controlled Company Agreement from and after the date hereof, and in the event of any inconsistencies between the provisions of this Amendment and the Controlled Company Agreement, the provisions of this Amendment shall control. However, except as expressly modified by this Amendment, the Controlled Company Agreement shall continue in full force and effect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346075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1" w:name="page52"/>
    <w:bookmarkEnd w:id="51"/>
    <w:p>
      <w:pPr>
        <w:ind w:left="760"/>
        <w:spacing w:after="0"/>
        <w:rPr>
          <w:sz w:val="20"/>
          <w:szCs w:val="20"/>
          <w:color w:val="auto"/>
        </w:rPr>
      </w:pPr>
      <w:r>
        <w:rPr>
          <w:rFonts w:ascii="Arial" w:cs="Arial" w:eastAsia="Arial" w:hAnsi="Arial"/>
          <w:sz w:val="21"/>
          <w:szCs w:val="21"/>
          <w:color w:val="auto"/>
        </w:rPr>
        <w:t>and govern the parties’ relationship with respect to matters addressed in the Controlled Company Agreement.</w:t>
      </w:r>
    </w:p>
    <w:p>
      <w:pPr>
        <w:spacing w:after="0" w:line="218" w:lineRule="exact"/>
        <w:rPr>
          <w:sz w:val="20"/>
          <w:szCs w:val="20"/>
          <w:color w:val="auto"/>
        </w:rPr>
      </w:pPr>
    </w:p>
    <w:p>
      <w:pPr>
        <w:jc w:val="both"/>
        <w:ind w:left="760" w:hanging="378"/>
        <w:spacing w:after="0" w:line="238" w:lineRule="auto"/>
        <w:tabs>
          <w:tab w:leader="none" w:pos="7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This Amendment may be executed in any number of counterparts and by different parties to this Amendment on separate counterparts, each of which, when so executed, shall be deemed an original, but all such counterparts shall constitute one and the same agreement. Any signature delivered by a party by facsimile or other electronic transmission shall be deemed to be an original signature hereto.</w:t>
      </w:r>
    </w:p>
    <w:p>
      <w:pPr>
        <w:spacing w:after="0" w:line="185"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remainder of this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Error! No document variable supplied.</w:t>
      </w:r>
      <w:r>
        <w:rPr>
          <w:rFonts w:ascii="Arial" w:cs="Arial" w:eastAsia="Arial" w:hAnsi="Arial"/>
          <w:sz w:val="16"/>
          <w:szCs w:val="16"/>
          <w:color w:val="auto"/>
        </w:rPr>
        <w:t>" = "1" "</w:t>
      </w:r>
      <w:r>
        <w:rPr>
          <w:rFonts w:ascii="Arial" w:cs="Arial" w:eastAsia="Arial" w:hAnsi="Arial"/>
          <w:sz w:val="14"/>
          <w:szCs w:val="14"/>
          <w:color w:val="auto"/>
        </w:rPr>
        <w:t>5971963-7</w:t>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2" w:name="page53"/>
    <w:bookmarkEnd w:id="52"/>
    <w:p>
      <w:pPr>
        <w:ind w:firstLine="509"/>
        <w:spacing w:after="0" w:line="250" w:lineRule="auto"/>
        <w:rPr>
          <w:sz w:val="20"/>
          <w:szCs w:val="20"/>
          <w:color w:val="auto"/>
        </w:rPr>
      </w:pPr>
      <w:r>
        <w:rPr>
          <w:rFonts w:ascii="Arial" w:cs="Arial" w:eastAsia="Arial" w:hAnsi="Arial"/>
          <w:sz w:val="22"/>
          <w:szCs w:val="22"/>
          <w:color w:val="auto"/>
        </w:rPr>
        <w:t>IN WITNESS WHEREOF, each of the undersigned has executed this Agreement or caused this Agreement to be executed on its behalf as of the date first written above.</w:t>
      </w:r>
    </w:p>
    <w:p>
      <w:pPr>
        <w:spacing w:after="0" w:line="200" w:lineRule="exact"/>
        <w:rPr>
          <w:sz w:val="20"/>
          <w:szCs w:val="20"/>
          <w:color w:val="auto"/>
        </w:rPr>
      </w:pPr>
    </w:p>
    <w:p>
      <w:pPr>
        <w:spacing w:after="0" w:line="279" w:lineRule="exact"/>
        <w:rPr>
          <w:sz w:val="20"/>
          <w:szCs w:val="20"/>
          <w:color w:val="auto"/>
        </w:rPr>
      </w:pPr>
    </w:p>
    <w:p>
      <w:pPr>
        <w:ind w:left="6780"/>
        <w:spacing w:after="0"/>
        <w:rPr>
          <w:sz w:val="20"/>
          <w:szCs w:val="20"/>
          <w:color w:val="auto"/>
        </w:rPr>
      </w:pPr>
      <w:r>
        <w:rPr>
          <w:rFonts w:ascii="Arial" w:cs="Arial" w:eastAsia="Arial" w:hAnsi="Arial"/>
          <w:sz w:val="22"/>
          <w:szCs w:val="22"/>
          <w:b w:val="1"/>
          <w:bCs w:val="1"/>
          <w:u w:val="single" w:color="auto"/>
          <w:color w:val="auto"/>
        </w:rPr>
        <w:t>ISSUER:</w:t>
      </w:r>
    </w:p>
    <w:p>
      <w:pPr>
        <w:spacing w:after="0" w:line="287" w:lineRule="exact"/>
        <w:rPr>
          <w:sz w:val="20"/>
          <w:szCs w:val="20"/>
          <w:color w:val="auto"/>
        </w:rPr>
      </w:pPr>
    </w:p>
    <w:p>
      <w:pPr>
        <w:ind w:left="6780"/>
        <w:spacing w:after="0"/>
        <w:rPr>
          <w:sz w:val="20"/>
          <w:szCs w:val="20"/>
          <w:color w:val="auto"/>
        </w:rPr>
      </w:pPr>
      <w:r>
        <w:rPr>
          <w:rFonts w:ascii="Arial" w:cs="Arial" w:eastAsia="Arial" w:hAnsi="Arial"/>
          <w:sz w:val="22"/>
          <w:szCs w:val="22"/>
          <w:b w:val="1"/>
          <w:bCs w:val="1"/>
          <w:color w:val="auto"/>
        </w:rPr>
        <w:t>P10,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By:  /s/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6985</wp:posOffset>
            </wp:positionV>
            <wp:extent cx="25628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4"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 Amanda Coussens</w:t>
      </w:r>
    </w:p>
    <w:p>
      <w:pPr>
        <w:spacing w:after="0" w:line="21"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Title: CFO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Amendment No. 1 to Controlled Company Agreement</w:t>
      </w:r>
      <w:r>
        <w:rPr>
          <w:rFonts w:ascii="Arial" w:cs="Arial" w:eastAsia="Arial" w:hAnsi="Arial"/>
          <w:sz w:val="22"/>
          <w:szCs w:val="22"/>
          <w:color w:val="auto"/>
        </w:rPr>
        <w:t>]</w:t>
      </w:r>
    </w:p>
    <w:p>
      <w:pPr>
        <w:spacing w:after="0" w:line="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3</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Error! No document variable supplied.</w:t>
      </w:r>
      <w:r>
        <w:rPr>
          <w:rFonts w:ascii="Arial" w:cs="Arial" w:eastAsia="Arial" w:hAnsi="Arial"/>
          <w:sz w:val="16"/>
          <w:szCs w:val="16"/>
          <w:color w:val="auto"/>
        </w:rPr>
        <w:t>" = "1" "</w:t>
      </w:r>
      <w:r>
        <w:rPr>
          <w:rFonts w:ascii="Arial" w:cs="Arial" w:eastAsia="Arial" w:hAnsi="Arial"/>
          <w:sz w:val="14"/>
          <w:szCs w:val="14"/>
          <w:color w:val="auto"/>
        </w:rPr>
        <w:t>5971963-7</w:t>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1" w:right="499" w:bottom="1440" w:gutter="0" w:footer="0" w:header="0"/>
        </w:sectPr>
      </w:pPr>
    </w:p>
    <w:bookmarkStart w:id="53" w:name="page54"/>
    <w:bookmarkEnd w:id="53"/>
    <w:p>
      <w:pPr>
        <w:ind w:left="5660"/>
        <w:spacing w:after="0"/>
        <w:rPr>
          <w:sz w:val="20"/>
          <w:szCs w:val="20"/>
          <w:color w:val="auto"/>
        </w:rPr>
      </w:pPr>
      <w:r>
        <w:rPr>
          <w:rFonts w:ascii="Arial" w:cs="Arial" w:eastAsia="Arial" w:hAnsi="Arial"/>
          <w:sz w:val="19"/>
          <w:szCs w:val="19"/>
          <w:b w:val="1"/>
          <w:bCs w:val="1"/>
          <w:color w:val="auto"/>
        </w:rPr>
        <w:t>Jeff P. Gehl Living Trust dated</w:t>
      </w:r>
    </w:p>
    <w:p>
      <w:pPr>
        <w:spacing w:after="0" w:line="49"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January 25, 2011</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By:  /s/ Jeff P. Gehl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6985</wp:posOffset>
            </wp:positionV>
            <wp:extent cx="25628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4"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Name: Jeff P. Gehl</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22"/>
          <w:szCs w:val="22"/>
          <w:color w:val="auto"/>
        </w:rPr>
        <w:t>Its: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 to Amendment No. 1 to Controlled Company Agreement</w:t>
      </w:r>
      <w:r>
        <w:rPr>
          <w:rFonts w:ascii="Arial" w:cs="Arial" w:eastAsia="Arial" w:hAnsi="Arial"/>
          <w:sz w:val="19"/>
          <w:szCs w:val="19"/>
          <w:color w:val="auto"/>
        </w:rPr>
        <w:t>]</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334645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39" w:right="1440" w:bottom="1440" w:gutter="0" w:footer="0" w:header="0"/>
        </w:sectPr>
      </w:pPr>
    </w:p>
    <w:bookmarkStart w:id="54" w:name="page55"/>
    <w:bookmarkEnd w:id="54"/>
    <w:p>
      <w:pPr>
        <w:ind w:left="6780"/>
        <w:spacing w:after="0"/>
        <w:rPr>
          <w:sz w:val="20"/>
          <w:szCs w:val="20"/>
          <w:color w:val="auto"/>
        </w:rPr>
      </w:pPr>
      <w:r>
        <w:rPr>
          <w:rFonts w:ascii="Arial" w:cs="Arial" w:eastAsia="Arial" w:hAnsi="Arial"/>
          <w:sz w:val="22"/>
          <w:szCs w:val="22"/>
          <w:b w:val="1"/>
          <w:bCs w:val="1"/>
          <w:u w:val="single" w:color="auto"/>
          <w:color w:val="auto"/>
        </w:rPr>
        <w:t>210 Stockholders:</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210/P10 ACQUISITION PARTNERS, LLC</w:t>
      </w:r>
    </w:p>
    <w:p>
      <w:pPr>
        <w:spacing w:after="0" w:line="200" w:lineRule="exact"/>
        <w:rPr>
          <w:sz w:val="20"/>
          <w:szCs w:val="20"/>
          <w:color w:val="auto"/>
        </w:rPr>
      </w:pPr>
    </w:p>
    <w:p>
      <w:pPr>
        <w:spacing w:after="0" w:line="336"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By: 210 Capital, LLC</w:t>
      </w:r>
    </w:p>
    <w:p>
      <w:pPr>
        <w:spacing w:after="0" w:line="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Its:  Sole Member</w:t>
      </w:r>
    </w:p>
    <w:p>
      <w:pPr>
        <w:spacing w:after="0" w:line="215"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By: Covenant RHA Partners, L.P.</w:t>
      </w:r>
    </w:p>
    <w:p>
      <w:pPr>
        <w:spacing w:after="0" w:line="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Its:  Member</w:t>
      </w:r>
    </w:p>
    <w:p>
      <w:pPr>
        <w:spacing w:after="0" w:line="215"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22"/>
          <w:szCs w:val="22"/>
          <w:color w:val="auto"/>
        </w:rPr>
        <w:t>By:</w:t>
        <w:tab/>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6985</wp:posOffset>
            </wp:positionV>
            <wp:extent cx="24942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 Robert Alpert</w:t>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Its: Authorized Signatory</w:t>
      </w:r>
    </w:p>
    <w:p>
      <w:pPr>
        <w:spacing w:after="0" w:line="283"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By: CCW/LAW Holdings, LLC</w:t>
      </w:r>
    </w:p>
    <w:p>
      <w:pPr>
        <w:spacing w:after="0" w:line="8" w:lineRule="exact"/>
        <w:rPr>
          <w:sz w:val="20"/>
          <w:szCs w:val="20"/>
          <w:color w:val="auto"/>
        </w:rPr>
      </w:pPr>
    </w:p>
    <w:p>
      <w:pPr>
        <w:ind w:left="6780"/>
        <w:spacing w:after="0"/>
        <w:rPr>
          <w:sz w:val="20"/>
          <w:szCs w:val="20"/>
          <w:color w:val="auto"/>
        </w:rPr>
      </w:pPr>
      <w:r>
        <w:rPr>
          <w:rFonts w:ascii="Arial" w:cs="Arial" w:eastAsia="Arial" w:hAnsi="Arial"/>
          <w:sz w:val="22"/>
          <w:szCs w:val="22"/>
          <w:color w:val="auto"/>
        </w:rPr>
        <w:t>Its:  Member</w:t>
      </w:r>
    </w:p>
    <w:p>
      <w:pPr>
        <w:spacing w:after="0" w:line="215"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22"/>
          <w:szCs w:val="22"/>
          <w:color w:val="auto"/>
        </w:rPr>
        <w:t>By:</w:t>
        <w:tab/>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6985</wp:posOffset>
            </wp:positionV>
            <wp:extent cx="24942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 C. Clark Webb</w:t>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Amendment No. 1 to Controlled Company Agreement</w:t>
      </w:r>
      <w:r>
        <w:rPr>
          <w:rFonts w:ascii="Arial" w:cs="Arial" w:eastAsia="Arial" w:hAnsi="Arial"/>
          <w:sz w:val="22"/>
          <w:szCs w:val="22"/>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4882-6473-8657.3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855" w:right="799" w:bottom="1440" w:gutter="0" w:footer="0" w:header="0"/>
        </w:sectPr>
      </w:pPr>
    </w:p>
    <w:bookmarkStart w:id="55" w:name="page56"/>
    <w:bookmarkEnd w:id="55"/>
    <w:p>
      <w:pPr>
        <w:ind w:left="6660"/>
        <w:spacing w:after="0"/>
        <w:rPr>
          <w:sz w:val="20"/>
          <w:szCs w:val="20"/>
          <w:color w:val="auto"/>
        </w:rPr>
      </w:pPr>
      <w:r>
        <w:rPr>
          <w:rFonts w:ascii="Arial" w:cs="Arial" w:eastAsia="Arial" w:hAnsi="Arial"/>
          <w:sz w:val="22"/>
          <w:szCs w:val="22"/>
          <w:b w:val="1"/>
          <w:bCs w:val="1"/>
          <w:u w:val="single" w:color="auto"/>
          <w:color w:val="auto"/>
        </w:rPr>
        <w:t>RCP Stockholders:</w:t>
      </w:r>
    </w:p>
    <w:p>
      <w:pPr>
        <w:spacing w:after="0" w:line="266"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/s/ David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161290</wp:posOffset>
            </wp:positionV>
            <wp:extent cx="290576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67"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David McCoy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/s/ Alexander Abell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6985</wp:posOffset>
            </wp:positionV>
            <wp:extent cx="29057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4"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Alexander Abell</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/s/ Michael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6985</wp:posOffset>
            </wp:positionV>
            <wp:extent cx="29057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4"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Michael Feinglass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/s/ Andrew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6985</wp:posOffset>
            </wp:positionV>
            <wp:extent cx="29057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4"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Andrew Nelson</w:t>
      </w:r>
    </w:p>
    <w:p>
      <w:pPr>
        <w:spacing w:after="0" w:line="200" w:lineRule="exact"/>
        <w:rPr>
          <w:sz w:val="20"/>
          <w:szCs w:val="20"/>
          <w:color w:val="auto"/>
        </w:rPr>
      </w:pPr>
    </w:p>
    <w:p>
      <w:pPr>
        <w:spacing w:after="0" w:line="30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/s/ Nell Blatherwick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15875</wp:posOffset>
            </wp:positionV>
            <wp:extent cx="29229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1"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Nell Blatherwick</w:t>
      </w:r>
    </w:p>
    <w:p>
      <w:pPr>
        <w:spacing w:after="0" w:line="200" w:lineRule="exact"/>
        <w:rPr>
          <w:sz w:val="20"/>
          <w:szCs w:val="20"/>
          <w:color w:val="auto"/>
        </w:rPr>
      </w:pPr>
    </w:p>
    <w:p>
      <w:pPr>
        <w:spacing w:after="0" w:line="297" w:lineRule="exact"/>
        <w:rPr>
          <w:sz w:val="20"/>
          <w:szCs w:val="20"/>
          <w:color w:val="auto"/>
        </w:rPr>
      </w:pPr>
    </w:p>
    <w:p>
      <w:pPr>
        <w:ind w:left="6660"/>
        <w:spacing w:after="0"/>
        <w:rPr>
          <w:sz w:val="20"/>
          <w:szCs w:val="20"/>
          <w:color w:val="auto"/>
        </w:rPr>
      </w:pPr>
      <w:r>
        <w:rPr>
          <w:rFonts w:ascii="Arial" w:cs="Arial" w:eastAsia="Arial" w:hAnsi="Arial"/>
          <w:sz w:val="19"/>
          <w:szCs w:val="19"/>
          <w:b w:val="1"/>
          <w:bCs w:val="1"/>
          <w:color w:val="auto"/>
        </w:rPr>
        <w:t>Thomas P. Danis, Jr. Revocable Living Trust</w:t>
      </w:r>
    </w:p>
    <w:p>
      <w:pPr>
        <w:spacing w:after="0" w:line="49" w:lineRule="exact"/>
        <w:rPr>
          <w:sz w:val="20"/>
          <w:szCs w:val="20"/>
          <w:color w:val="auto"/>
        </w:rPr>
      </w:pPr>
    </w:p>
    <w:p>
      <w:pPr>
        <w:ind w:left="6660"/>
        <w:spacing w:after="0"/>
        <w:rPr>
          <w:sz w:val="20"/>
          <w:szCs w:val="20"/>
          <w:color w:val="auto"/>
        </w:rPr>
      </w:pPr>
      <w:r>
        <w:rPr>
          <w:rFonts w:ascii="Arial" w:cs="Arial" w:eastAsia="Arial" w:hAnsi="Arial"/>
          <w:sz w:val="22"/>
          <w:szCs w:val="22"/>
          <w:b w:val="1"/>
          <w:bCs w:val="1"/>
          <w:color w:val="auto"/>
        </w:rPr>
        <w:t>dated March 10, 2003, as amended</w:t>
      </w:r>
    </w:p>
    <w:p>
      <w:pPr>
        <w:spacing w:after="0" w:line="215" w:lineRule="exact"/>
        <w:rPr>
          <w:sz w:val="20"/>
          <w:szCs w:val="20"/>
          <w:color w:val="auto"/>
        </w:rPr>
      </w:pPr>
    </w:p>
    <w:p>
      <w:pPr>
        <w:ind w:left="6660"/>
        <w:spacing w:after="0"/>
        <w:tabs>
          <w:tab w:leader="none" w:pos="7220" w:val="left"/>
        </w:tabs>
        <w:rPr>
          <w:sz w:val="20"/>
          <w:szCs w:val="20"/>
          <w:color w:val="auto"/>
        </w:rPr>
      </w:pPr>
      <w:r>
        <w:rPr>
          <w:rFonts w:ascii="Arial" w:cs="Arial" w:eastAsia="Arial" w:hAnsi="Arial"/>
          <w:sz w:val="22"/>
          <w:szCs w:val="22"/>
          <w:color w:val="auto"/>
        </w:rPr>
        <w:t>By:</w:t>
        <w:tab/>
        <w:t>/s/ Thomas P. Danis,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6985</wp:posOffset>
            </wp:positionV>
            <wp:extent cx="25628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28" w:lineRule="exact"/>
        <w:rPr>
          <w:sz w:val="20"/>
          <w:szCs w:val="20"/>
          <w:color w:val="auto"/>
        </w:rPr>
      </w:pPr>
    </w:p>
    <w:p>
      <w:pPr>
        <w:ind w:left="7020"/>
        <w:spacing w:after="0"/>
        <w:rPr>
          <w:sz w:val="20"/>
          <w:szCs w:val="20"/>
          <w:color w:val="auto"/>
        </w:rPr>
      </w:pPr>
      <w:r>
        <w:rPr>
          <w:rFonts w:ascii="Arial" w:cs="Arial" w:eastAsia="Arial" w:hAnsi="Arial"/>
          <w:sz w:val="22"/>
          <w:szCs w:val="22"/>
          <w:color w:val="auto"/>
        </w:rPr>
        <w:t>Name: Thomas P. Danis, Jr.</w:t>
      </w:r>
    </w:p>
    <w:p>
      <w:pPr>
        <w:spacing w:after="0" w:line="17" w:lineRule="exact"/>
        <w:rPr>
          <w:sz w:val="20"/>
          <w:szCs w:val="20"/>
          <w:color w:val="auto"/>
        </w:rPr>
      </w:pPr>
    </w:p>
    <w:p>
      <w:pPr>
        <w:ind w:left="7020"/>
        <w:spacing w:after="0"/>
        <w:rPr>
          <w:sz w:val="20"/>
          <w:szCs w:val="20"/>
          <w:color w:val="auto"/>
        </w:rPr>
      </w:pPr>
      <w:r>
        <w:rPr>
          <w:rFonts w:ascii="Arial" w:cs="Arial" w:eastAsia="Arial" w:hAnsi="Arial"/>
          <w:sz w:val="22"/>
          <w:szCs w:val="22"/>
          <w:color w:val="auto"/>
        </w:rPr>
        <w:t>Its: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Amendment No. 1 to Controlled Company Agreement</w:t>
      </w:r>
      <w:r>
        <w:rPr>
          <w:rFonts w:ascii="Arial" w:cs="Arial" w:eastAsia="Arial" w:hAnsi="Arial"/>
          <w:sz w:val="22"/>
          <w:szCs w:val="22"/>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4882-6473-8657.3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320" w:top="612" w:right="819" w:bottom="1440" w:gutter="0" w:footer="0" w:header="0"/>
        </w:sectPr>
      </w:pPr>
    </w:p>
    <w:bookmarkStart w:id="56" w:name="page57"/>
    <w:bookmarkEnd w:id="56"/>
    <w:p>
      <w:pPr>
        <w:ind w:left="6780"/>
        <w:spacing w:after="0"/>
        <w:rPr>
          <w:sz w:val="20"/>
          <w:szCs w:val="20"/>
          <w:color w:val="auto"/>
        </w:rPr>
      </w:pPr>
      <w:r>
        <w:rPr>
          <w:rFonts w:ascii="Arial" w:cs="Arial" w:eastAsia="Arial" w:hAnsi="Arial"/>
          <w:sz w:val="22"/>
          <w:szCs w:val="22"/>
          <w:b w:val="1"/>
          <w:bCs w:val="1"/>
          <w:u w:val="single" w:color="auto"/>
          <w:color w:val="auto"/>
        </w:rPr>
        <w:t>RCP Stockholders (continued):</w:t>
      </w:r>
    </w:p>
    <w:p>
      <w:pPr>
        <w:spacing w:after="0" w:line="200" w:lineRule="exact"/>
        <w:rPr>
          <w:sz w:val="20"/>
          <w:szCs w:val="20"/>
          <w:color w:val="auto"/>
        </w:rPr>
      </w:pPr>
    </w:p>
    <w:p>
      <w:pPr>
        <w:spacing w:after="0" w:line="276" w:lineRule="exact"/>
        <w:rPr>
          <w:sz w:val="20"/>
          <w:szCs w:val="20"/>
          <w:color w:val="auto"/>
        </w:rPr>
      </w:pPr>
    </w:p>
    <w:p>
      <w:pPr>
        <w:ind w:left="6780"/>
        <w:spacing w:after="0"/>
        <w:rPr>
          <w:sz w:val="20"/>
          <w:szCs w:val="20"/>
          <w:color w:val="auto"/>
        </w:rPr>
      </w:pPr>
      <w:r>
        <w:rPr>
          <w:rFonts w:ascii="Arial" w:cs="Arial" w:eastAsia="Arial" w:hAnsi="Arial"/>
          <w:sz w:val="19"/>
          <w:szCs w:val="19"/>
          <w:b w:val="1"/>
          <w:bCs w:val="1"/>
          <w:color w:val="auto"/>
        </w:rPr>
        <w:t>Charles K. Huebner Trust dated January 16,</w:t>
      </w:r>
    </w:p>
    <w:p>
      <w:pPr>
        <w:spacing w:after="0" w:line="49" w:lineRule="exact"/>
        <w:rPr>
          <w:sz w:val="20"/>
          <w:szCs w:val="20"/>
          <w:color w:val="auto"/>
        </w:rPr>
      </w:pPr>
    </w:p>
    <w:p>
      <w:pPr>
        <w:ind w:left="6780"/>
        <w:spacing w:after="0"/>
        <w:rPr>
          <w:sz w:val="20"/>
          <w:szCs w:val="20"/>
          <w:color w:val="auto"/>
        </w:rPr>
      </w:pPr>
      <w:r>
        <w:rPr>
          <w:rFonts w:ascii="Arial" w:cs="Arial" w:eastAsia="Arial" w:hAnsi="Arial"/>
          <w:sz w:val="22"/>
          <w:szCs w:val="22"/>
          <w:b w:val="1"/>
          <w:bCs w:val="1"/>
          <w:color w:val="auto"/>
        </w:rPr>
        <w:t>2001</w:t>
      </w:r>
    </w:p>
    <w:p>
      <w:pPr>
        <w:spacing w:after="0" w:line="215"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22"/>
          <w:szCs w:val="22"/>
          <w:color w:val="auto"/>
        </w:rPr>
        <w:t>By:</w:t>
        <w:tab/>
        <w:t>/s/ Charles K. Huebner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6985</wp:posOffset>
            </wp:positionV>
            <wp:extent cx="24942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 Charles K. Huebner</w:t>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Its: Trustee</w:t>
      </w:r>
    </w:p>
    <w:p>
      <w:pPr>
        <w:spacing w:after="0" w:line="250" w:lineRule="exact"/>
        <w:rPr>
          <w:sz w:val="20"/>
          <w:szCs w:val="20"/>
          <w:color w:val="auto"/>
        </w:rPr>
      </w:pPr>
    </w:p>
    <w:p>
      <w:pPr>
        <w:ind w:left="6780"/>
        <w:spacing w:after="0"/>
        <w:rPr>
          <w:sz w:val="20"/>
          <w:szCs w:val="20"/>
          <w:color w:val="auto"/>
        </w:rPr>
      </w:pPr>
      <w:r>
        <w:rPr>
          <w:rFonts w:ascii="Arial" w:cs="Arial" w:eastAsia="Arial" w:hAnsi="Arial"/>
          <w:sz w:val="22"/>
          <w:szCs w:val="22"/>
          <w:b w:val="1"/>
          <w:bCs w:val="1"/>
          <w:color w:val="auto"/>
        </w:rPr>
        <w:t>Jon I. Madorsky Revocable Trust dated</w:t>
      </w:r>
    </w:p>
    <w:p>
      <w:pPr>
        <w:spacing w:after="0" w:line="14" w:lineRule="exact"/>
        <w:rPr>
          <w:sz w:val="20"/>
          <w:szCs w:val="20"/>
          <w:color w:val="auto"/>
        </w:rPr>
      </w:pPr>
    </w:p>
    <w:p>
      <w:pPr>
        <w:ind w:left="6780"/>
        <w:spacing w:after="0"/>
        <w:rPr>
          <w:sz w:val="20"/>
          <w:szCs w:val="20"/>
          <w:color w:val="auto"/>
        </w:rPr>
      </w:pPr>
      <w:r>
        <w:rPr>
          <w:rFonts w:ascii="Arial" w:cs="Arial" w:eastAsia="Arial" w:hAnsi="Arial"/>
          <w:sz w:val="22"/>
          <w:szCs w:val="22"/>
          <w:b w:val="1"/>
          <w:bCs w:val="1"/>
          <w:color w:val="auto"/>
        </w:rPr>
        <w:t>December 1, 2008</w:t>
      </w:r>
    </w:p>
    <w:p>
      <w:pPr>
        <w:spacing w:after="0" w:line="215"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22"/>
          <w:szCs w:val="22"/>
          <w:color w:val="auto"/>
        </w:rPr>
        <w:t>By:</w:t>
        <w:tab/>
        <w:t>/s/ Jon I/ Madorsky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6985</wp:posOffset>
            </wp:positionV>
            <wp:extent cx="24942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 Jon I. Madorsky</w:t>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Its: Trustee</w:t>
      </w:r>
    </w:p>
    <w:p>
      <w:pPr>
        <w:spacing w:after="0" w:line="250" w:lineRule="exact"/>
        <w:rPr>
          <w:sz w:val="20"/>
          <w:szCs w:val="20"/>
          <w:color w:val="auto"/>
        </w:rPr>
      </w:pPr>
    </w:p>
    <w:p>
      <w:pPr>
        <w:ind w:left="6780"/>
        <w:spacing w:after="0"/>
        <w:rPr>
          <w:sz w:val="20"/>
          <w:szCs w:val="20"/>
          <w:color w:val="auto"/>
        </w:rPr>
      </w:pPr>
      <w:r>
        <w:rPr>
          <w:rFonts w:ascii="Arial" w:cs="Arial" w:eastAsia="Arial" w:hAnsi="Arial"/>
          <w:sz w:val="22"/>
          <w:szCs w:val="22"/>
          <w:b w:val="1"/>
          <w:bCs w:val="1"/>
          <w:color w:val="auto"/>
        </w:rPr>
        <w:t>Souder Family LLC</w:t>
      </w:r>
    </w:p>
    <w:p>
      <w:pPr>
        <w:spacing w:after="0" w:line="239"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22"/>
          <w:szCs w:val="22"/>
          <w:color w:val="auto"/>
        </w:rPr>
        <w:t>By:</w:t>
        <w:tab/>
        <w:t>/s/ 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6985</wp:posOffset>
            </wp:positionV>
            <wp:extent cx="24942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 William F. Souder</w:t>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Amendment No. 1 to Controlled Company Agreement</w:t>
      </w:r>
      <w:r>
        <w:rPr>
          <w:rFonts w:ascii="Arial" w:cs="Arial" w:eastAsia="Arial" w:hAnsi="Arial"/>
          <w:sz w:val="22"/>
          <w:szCs w:val="22"/>
          <w:color w:val="auto"/>
        </w:rPr>
        <w:t>]</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4882-6473-8657.3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69" w:right="679" w:bottom="1440" w:gutter="0" w:footer="0" w:header="0"/>
        </w:sectPr>
      </w:pPr>
    </w:p>
    <w:bookmarkStart w:id="57" w:name="page58"/>
    <w:bookmarkEnd w:id="57"/>
    <w:p>
      <w:pPr>
        <w:ind w:left="6780"/>
        <w:spacing w:after="0"/>
        <w:rPr>
          <w:sz w:val="20"/>
          <w:szCs w:val="20"/>
          <w:color w:val="auto"/>
        </w:rPr>
      </w:pPr>
      <w:r>
        <w:rPr>
          <w:rFonts w:ascii="Arial" w:cs="Arial" w:eastAsia="Arial" w:hAnsi="Arial"/>
          <w:sz w:val="22"/>
          <w:szCs w:val="22"/>
          <w:b w:val="1"/>
          <w:bCs w:val="1"/>
          <w:u w:val="single" w:color="auto"/>
          <w:color w:val="auto"/>
        </w:rPr>
        <w:t>TrueBridge Stockholders:</w:t>
      </w:r>
    </w:p>
    <w:p>
      <w:pPr>
        <w:spacing w:after="0" w:line="200" w:lineRule="exact"/>
        <w:rPr>
          <w:sz w:val="20"/>
          <w:szCs w:val="20"/>
          <w:color w:val="auto"/>
        </w:rPr>
      </w:pPr>
    </w:p>
    <w:p>
      <w:pPr>
        <w:spacing w:after="0" w:line="276" w:lineRule="exact"/>
        <w:rPr>
          <w:sz w:val="20"/>
          <w:szCs w:val="20"/>
          <w:color w:val="auto"/>
        </w:rPr>
      </w:pPr>
    </w:p>
    <w:p>
      <w:pPr>
        <w:ind w:left="6780"/>
        <w:spacing w:after="0"/>
        <w:rPr>
          <w:sz w:val="20"/>
          <w:szCs w:val="20"/>
          <w:color w:val="auto"/>
        </w:rPr>
      </w:pPr>
      <w:r>
        <w:rPr>
          <w:rFonts w:ascii="Arial" w:cs="Arial" w:eastAsia="Arial" w:hAnsi="Arial"/>
          <w:sz w:val="19"/>
          <w:szCs w:val="19"/>
          <w:b w:val="1"/>
          <w:bCs w:val="1"/>
          <w:color w:val="auto"/>
        </w:rPr>
        <w:t>TrueBridge Colonial Fund, u/a dated 11/15/2015</w:t>
      </w:r>
    </w:p>
    <w:p>
      <w:pPr>
        <w:spacing w:after="0" w:line="274"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22"/>
          <w:szCs w:val="22"/>
          <w:color w:val="auto"/>
        </w:rPr>
        <w:t>By:</w:t>
        <w:tab/>
        <w:t>/s/ Edwin Poston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6985</wp:posOffset>
            </wp:positionV>
            <wp:extent cx="24942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 Edwin Poston</w:t>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Its:</w:t>
      </w:r>
    </w:p>
    <w:p>
      <w:pPr>
        <w:spacing w:after="0" w:line="250" w:lineRule="exact"/>
        <w:rPr>
          <w:sz w:val="20"/>
          <w:szCs w:val="20"/>
          <w:color w:val="auto"/>
        </w:rPr>
      </w:pPr>
    </w:p>
    <w:p>
      <w:pPr>
        <w:ind w:left="6780"/>
        <w:spacing w:after="0"/>
        <w:rPr>
          <w:sz w:val="20"/>
          <w:szCs w:val="20"/>
          <w:color w:val="auto"/>
        </w:rPr>
      </w:pPr>
      <w:r>
        <w:rPr>
          <w:rFonts w:ascii="Arial" w:cs="Arial" w:eastAsia="Arial" w:hAnsi="Arial"/>
          <w:sz w:val="21"/>
          <w:szCs w:val="21"/>
          <w:b w:val="1"/>
          <w:bCs w:val="1"/>
          <w:color w:val="auto"/>
        </w:rPr>
        <w:t>Mel Williams Irrevocable Trust u/a/d August</w:t>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22"/>
          <w:szCs w:val="22"/>
          <w:b w:val="1"/>
          <w:bCs w:val="1"/>
          <w:color w:val="auto"/>
        </w:rPr>
        <w:t>12, 2015</w:t>
      </w:r>
    </w:p>
    <w:p>
      <w:pPr>
        <w:ind w:left="6780"/>
        <w:spacing w:after="0"/>
        <w:rPr>
          <w:sz w:val="20"/>
          <w:szCs w:val="20"/>
          <w:color w:val="auto"/>
        </w:rPr>
      </w:pPr>
      <w:r>
        <w:rPr>
          <w:rFonts w:ascii="Arial" w:cs="Arial" w:eastAsia="Arial" w:hAnsi="Arial"/>
          <w:sz w:val="22"/>
          <w:szCs w:val="22"/>
          <w:color w:val="auto"/>
        </w:rPr>
        <w:t>By: Alliance Trust Company, its Trustee</w:t>
      </w:r>
    </w:p>
    <w:p>
      <w:pPr>
        <w:spacing w:after="0" w:line="215"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22"/>
          <w:szCs w:val="22"/>
          <w:color w:val="auto"/>
        </w:rPr>
        <w:t>By:</w:t>
        <w:tab/>
        <w:t>/s/ Mel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6985</wp:posOffset>
            </wp:positionV>
            <wp:extent cx="24942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 Mel Williams</w:t>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Its:</w:t>
      </w:r>
    </w:p>
    <w:p>
      <w:pPr>
        <w:spacing w:after="0" w:line="250" w:lineRule="exact"/>
        <w:rPr>
          <w:sz w:val="20"/>
          <w:szCs w:val="20"/>
          <w:color w:val="auto"/>
        </w:rPr>
      </w:pPr>
    </w:p>
    <w:p>
      <w:pPr>
        <w:ind w:left="6780"/>
        <w:spacing w:after="0"/>
        <w:rPr>
          <w:sz w:val="20"/>
          <w:szCs w:val="20"/>
          <w:color w:val="auto"/>
        </w:rPr>
      </w:pPr>
      <w:r>
        <w:rPr>
          <w:rFonts w:ascii="Arial" w:cs="Arial" w:eastAsia="Arial" w:hAnsi="Arial"/>
          <w:sz w:val="22"/>
          <w:szCs w:val="22"/>
          <w:b w:val="1"/>
          <w:bCs w:val="1"/>
          <w:color w:val="auto"/>
        </w:rPr>
        <w:t>TrueBridge Ascent LLC</w:t>
      </w:r>
    </w:p>
    <w:p>
      <w:pPr>
        <w:spacing w:after="0" w:line="239"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22"/>
          <w:szCs w:val="22"/>
          <w:color w:val="auto"/>
        </w:rPr>
        <w:t>By:</w:t>
        <w:tab/>
        <w:t>/s/ Edwin Poston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6985</wp:posOffset>
            </wp:positionV>
            <wp:extent cx="24942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 Edwin Poston</w:t>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Its: GP</w:t>
      </w:r>
    </w:p>
    <w:p>
      <w:pPr>
        <w:spacing w:after="0" w:line="250" w:lineRule="exact"/>
        <w:rPr>
          <w:sz w:val="20"/>
          <w:szCs w:val="20"/>
          <w:color w:val="auto"/>
        </w:rPr>
      </w:pPr>
    </w:p>
    <w:p>
      <w:pPr>
        <w:ind w:left="6780"/>
        <w:spacing w:after="0"/>
        <w:rPr>
          <w:sz w:val="20"/>
          <w:szCs w:val="20"/>
          <w:color w:val="auto"/>
        </w:rPr>
      </w:pPr>
      <w:r>
        <w:rPr>
          <w:rFonts w:ascii="Arial" w:cs="Arial" w:eastAsia="Arial" w:hAnsi="Arial"/>
          <w:sz w:val="22"/>
          <w:szCs w:val="22"/>
          <w:b w:val="1"/>
          <w:bCs w:val="1"/>
          <w:color w:val="auto"/>
        </w:rPr>
        <w:t>MAW Management Co.</w:t>
      </w:r>
    </w:p>
    <w:p>
      <w:pPr>
        <w:spacing w:after="0" w:line="239" w:lineRule="exact"/>
        <w:rPr>
          <w:sz w:val="20"/>
          <w:szCs w:val="20"/>
          <w:color w:val="auto"/>
        </w:rPr>
      </w:pPr>
    </w:p>
    <w:p>
      <w:pPr>
        <w:ind w:left="6780"/>
        <w:spacing w:after="0"/>
        <w:tabs>
          <w:tab w:leader="none" w:pos="7340" w:val="left"/>
        </w:tabs>
        <w:rPr>
          <w:sz w:val="20"/>
          <w:szCs w:val="20"/>
          <w:color w:val="auto"/>
        </w:rPr>
      </w:pPr>
      <w:r>
        <w:rPr>
          <w:rFonts w:ascii="Arial" w:cs="Arial" w:eastAsia="Arial" w:hAnsi="Arial"/>
          <w:sz w:val="22"/>
          <w:szCs w:val="22"/>
          <w:color w:val="auto"/>
        </w:rPr>
        <w:t>By:</w:t>
        <w:tab/>
        <w:t>/s/ Mel A.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6985</wp:posOffset>
            </wp:positionV>
            <wp:extent cx="24942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8"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Name: Mel A. Williams</w:t>
      </w:r>
    </w:p>
    <w:p>
      <w:pPr>
        <w:spacing w:after="0" w:line="17"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Its: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Amendment No. 1 to Controlled Company Agreement</w:t>
      </w:r>
      <w:r>
        <w:rPr>
          <w:rFonts w:ascii="Arial" w:cs="Arial" w:eastAsia="Arial" w:hAnsi="Arial"/>
          <w:sz w:val="22"/>
          <w:szCs w:val="22"/>
          <w:color w:val="auto"/>
        </w:rPr>
        <w: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4882-6473-8657.3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Robert Alpert, certify that:</w:t>
      </w:r>
    </w:p>
    <w:p>
      <w:pPr>
        <w:spacing w:after="0" w:line="103"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20" w:hanging="503"/>
        <w:spacing w:after="0" w:line="255"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81" w:lineRule="auto"/>
        <w:tabs>
          <w:tab w:leader="none" w:pos="251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2040" w:right="320" w:firstLine="5"/>
        <w:spacing w:after="0" w:line="281" w:lineRule="auto"/>
        <w:tabs>
          <w:tab w:leader="none" w:pos="25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2040" w:right="60" w:firstLine="5"/>
        <w:spacing w:after="0" w:line="250" w:lineRule="auto"/>
        <w:tabs>
          <w:tab w:leader="none" w:pos="25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2040" w:right="240" w:firstLine="5"/>
        <w:spacing w:after="0" w:line="302" w:lineRule="auto"/>
        <w:tabs>
          <w:tab w:leader="none" w:pos="25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6"/>
          <w:szCs w:val="16"/>
          <w:color w:val="auto"/>
        </w:rPr>
      </w:pPr>
    </w:p>
    <w:p>
      <w:pPr>
        <w:ind w:left="1020" w:right="460" w:hanging="503"/>
        <w:spacing w:after="0" w:line="255"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right="560" w:firstLine="5"/>
        <w:spacing w:after="0" w:line="250" w:lineRule="auto"/>
        <w:tabs>
          <w:tab w:leader="none" w:pos="251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2040" w:right="360" w:firstLine="5"/>
        <w:spacing w:after="0" w:line="260" w:lineRule="auto"/>
        <w:tabs>
          <w:tab w:leader="none" w:pos="25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C. Clark Webb, certify that:</w:t>
      </w:r>
    </w:p>
    <w:p>
      <w:pPr>
        <w:spacing w:after="0" w:line="103"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20" w:hanging="503"/>
        <w:spacing w:after="0" w:line="25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81" w:lineRule="auto"/>
        <w:tabs>
          <w:tab w:leader="none" w:pos="251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2040" w:right="320" w:firstLine="5"/>
        <w:spacing w:after="0" w:line="281" w:lineRule="auto"/>
        <w:tabs>
          <w:tab w:leader="none" w:pos="25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2040" w:right="60" w:firstLine="5"/>
        <w:spacing w:after="0" w:line="250" w:lineRule="auto"/>
        <w:tabs>
          <w:tab w:leader="none" w:pos="25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2040" w:right="240" w:firstLine="5"/>
        <w:spacing w:after="0" w:line="302" w:lineRule="auto"/>
        <w:tabs>
          <w:tab w:leader="none" w:pos="252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6"/>
          <w:szCs w:val="16"/>
          <w:color w:val="auto"/>
        </w:rPr>
      </w:pPr>
    </w:p>
    <w:p>
      <w:pPr>
        <w:ind w:left="1020" w:right="460" w:hanging="503"/>
        <w:spacing w:after="0" w:line="255"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right="560" w:firstLine="5"/>
        <w:spacing w:after="0" w:line="250" w:lineRule="auto"/>
        <w:tabs>
          <w:tab w:leader="none" w:pos="251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2040" w:right="360" w:firstLine="5"/>
        <w:spacing w:after="0" w:line="260" w:lineRule="auto"/>
        <w:tabs>
          <w:tab w:leader="none" w:pos="2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Amanda Coussens, certify that:</w:t>
      </w:r>
    </w:p>
    <w:p>
      <w:pPr>
        <w:spacing w:after="0" w:line="103"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17" w:lineRule="exact"/>
        <w:rPr>
          <w:rFonts w:ascii="Arial" w:cs="Arial" w:eastAsia="Arial" w:hAnsi="Arial"/>
          <w:sz w:val="18"/>
          <w:szCs w:val="18"/>
          <w:color w:val="auto"/>
        </w:rPr>
      </w:pPr>
    </w:p>
    <w:p>
      <w:pPr>
        <w:jc w:val="both"/>
        <w:ind w:left="1020" w:right="20" w:hanging="503"/>
        <w:spacing w:after="0" w:line="263"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20" w:right="500" w:hanging="503"/>
        <w:spacing w:after="0" w:line="342" w:lineRule="auto"/>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20" w:right="20" w:hanging="503"/>
        <w:spacing w:after="0" w:line="255"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81" w:lineRule="auto"/>
        <w:tabs>
          <w:tab w:leader="none" w:pos="251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6"/>
          <w:szCs w:val="16"/>
          <w:color w:val="auto"/>
        </w:rPr>
      </w:pPr>
    </w:p>
    <w:p>
      <w:pPr>
        <w:ind w:left="2040" w:right="320" w:firstLine="5"/>
        <w:spacing w:after="0" w:line="281" w:lineRule="auto"/>
        <w:tabs>
          <w:tab w:leader="none" w:pos="25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6"/>
          <w:szCs w:val="16"/>
          <w:color w:val="auto"/>
        </w:rPr>
      </w:pPr>
    </w:p>
    <w:p>
      <w:pPr>
        <w:ind w:left="2040" w:right="60" w:firstLine="5"/>
        <w:spacing w:after="0" w:line="250" w:lineRule="auto"/>
        <w:tabs>
          <w:tab w:leader="none" w:pos="25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2040" w:right="240" w:firstLine="5"/>
        <w:spacing w:after="0" w:line="302" w:lineRule="auto"/>
        <w:tabs>
          <w:tab w:leader="none" w:pos="25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7" w:lineRule="exact"/>
        <w:rPr>
          <w:rFonts w:ascii="Arial" w:cs="Arial" w:eastAsia="Arial" w:hAnsi="Arial"/>
          <w:sz w:val="16"/>
          <w:szCs w:val="16"/>
          <w:color w:val="auto"/>
        </w:rPr>
      </w:pPr>
    </w:p>
    <w:p>
      <w:pPr>
        <w:ind w:left="1020" w:right="460" w:hanging="503"/>
        <w:spacing w:after="0" w:line="255"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right="560" w:firstLine="5"/>
        <w:spacing w:after="0" w:line="250" w:lineRule="auto"/>
        <w:tabs>
          <w:tab w:leader="none" w:pos="251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2040" w:right="360" w:firstLine="5"/>
        <w:spacing w:after="0" w:line="260" w:lineRule="auto"/>
        <w:tabs>
          <w:tab w:leader="none" w:pos="2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connection with the Quarterly Report of P10, Inc. (the “Company”) on Form 10-Q for the quarter ended June 30, 2023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49"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connection with the Quarterly Report of P10, Inc. (the “Company”) on Form 10-Q for the quarter ended June 30, 2023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49"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connection with the Quarterly Report of P10, Inc. (the “Company”) on Form 10-Q for the quarter ended June 30, 2023 as filed with the Securities and Exchange Commission on the date hereof (the “Report”), I certify, pursuant to 18 U.S.C. § 1350, as adopted pursuant to § 906 of the Sarbanes-Oxley Act of 2002, that:</w:t>
      </w:r>
    </w:p>
    <w:p>
      <w:pPr>
        <w:spacing w:after="0" w:line="1" w:lineRule="exact"/>
        <w:rPr>
          <w:sz w:val="20"/>
          <w:szCs w:val="20"/>
          <w:color w:val="auto"/>
        </w:rPr>
      </w:pPr>
    </w:p>
    <w:p>
      <w:pPr>
        <w:ind w:left="480" w:hanging="472"/>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49"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August 14,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3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2"/>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04"/>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4"/>
    </w:lvl>
  </w:abstractNum>
  <w:abstractNum w:abstractNumId="20">
    <w:nsid w:val="6763845E"/>
    <w:multiLevelType w:val="hybridMultilevel"/>
    <w:lvl w:ilvl="0">
      <w:lvlJc w:val="left"/>
      <w:lvlText w:val="%1."/>
      <w:numFmt w:val="decimal"/>
      <w:start w:val="1"/>
    </w:lvl>
    <w:lvl w:ilvl="1">
      <w:lvlJc w:val="left"/>
      <w:lvlText w:val="(%2)"/>
      <w:numFmt w:val="lowerLetter"/>
      <w:start w:val="1"/>
    </w:lvl>
  </w:abstractNum>
  <w:abstractNum w:abstractNumId="21">
    <w:nsid w:val="75A2A8D4"/>
    <w:multiLevelType w:val="hybridMultilevel"/>
    <w:lvl w:ilvl="0">
      <w:lvlJc w:val="left"/>
      <w:lvlText w:val="%1."/>
      <w:numFmt w:val="decimal"/>
      <w:start w:val="1"/>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276" Type="http://schemas.openxmlformats.org/officeDocument/2006/relationships/hyperlink" Target="https://www.sec.gov/Archives/edgar/data/1841968/000119312521308150/d247132dex31.htm" TargetMode="External"/><Relationship Id="rId277" Type="http://schemas.openxmlformats.org/officeDocument/2006/relationships/hyperlink" Target="https://www.sec.gov/Archives/edgar/data/1841968/000119312521308150/d247132dex32.htm" TargetMode="External"/><Relationship Id="rId278" Type="http://schemas.openxmlformats.org/officeDocument/2006/relationships/hyperlink" Target="https://www.sec.gov/Archives/edgar/data/1841968/000119312521308150/d247132dex41.htm" TargetMode="External"/><Relationship Id="rId279" Type="http://schemas.openxmlformats.org/officeDocument/2006/relationships/hyperlink" Target="https://www.sec.gov/Archives/edgar/data/1841968/000095017023022237/px-ex10_2.htm" TargetMode="External"/><Relationship Id="rId280" Type="http://schemas.openxmlformats.org/officeDocument/2006/relationships/hyperlink" Target="https://www.sec.gov/Archives/edgar/data/1841968/000095017023022237/px-ex10_3.htm" TargetMode="External"/><Relationship Id="rId281" Type="http://schemas.openxmlformats.org/officeDocument/2006/relationships/hyperlink" Target="https://www.sec.gov/Archives/edgar/data/1841968/000095017023022237/px-ex10_4.htm" TargetMode="External"/><Relationship Id="rId282" Type="http://schemas.openxmlformats.org/officeDocument/2006/relationships/hyperlink" Target="https://www.sec.gov/Archives/edgar/data/1841968/000095017023022237/px-ex10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2023-08-14T15:01:10Z</dcterms:created>
  <dcterms:modified xsi:type="dcterms:W3CDTF">2023-08-14T15:01:10Z</dcterms:modified>
</cp:coreProperties>
</file>