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505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50557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HOOD MARK C</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80" w:type="dxa"/>
            <w:vAlign w:val="bottom"/>
            <w:tcBorders>
              <w:top w:val="single" w:sz="8" w:color="0000EE"/>
              <w:bottom w:val="single" w:sz="8" w:color="9A9A9A"/>
            </w:tcBorders>
          </w:tcPr>
          <w:p>
            <w:pPr>
              <w:spacing w:after="0"/>
              <w:rPr>
                <w:sz w:val="17"/>
                <w:szCs w:val="17"/>
                <w:color w:val="auto"/>
              </w:rPr>
            </w:pPr>
          </w:p>
        </w:tc>
        <w:tc>
          <w:tcPr>
            <w:tcW w:w="13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02/27/2024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P10,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20" w:type="dxa"/>
            <w:vAlign w:val="bottom"/>
          </w:tcPr>
          <w:p>
            <w:pPr>
              <w:ind w:left="12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1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P10, INC.</w:t>
            </w:r>
          </w:p>
        </w:tc>
        <w:tc>
          <w:tcPr>
            <w:tcW w:w="134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4514 COLE AVENUE, SUITE 1600</w:t>
            </w:r>
          </w:p>
        </w:tc>
      </w:tr>
      <w:tr>
        <w:trPr>
          <w:trHeight w:val="177"/>
        </w:trPr>
        <w:tc>
          <w:tcPr>
            <w:tcW w:w="9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DALLAS</w:t>
            </w:r>
          </w:p>
        </w:tc>
        <w:tc>
          <w:tcPr>
            <w:tcW w:w="82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TX</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75205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1083"/>
        <w:spacing w:after="0"/>
        <w:rPr>
          <w:sz w:val="20"/>
          <w:szCs w:val="20"/>
          <w:color w:val="auto"/>
        </w:rPr>
      </w:pPr>
      <w:r>
        <w:rPr>
          <w:rFonts w:ascii="Times New Roman" w:cs="Times New Roman" w:eastAsia="Times New Roman" w:hAnsi="Times New Roman"/>
          <w:sz w:val="20"/>
          <w:szCs w:val="20"/>
          <w:color w:val="0000FF"/>
        </w:rPr>
        <w:t>See remarks</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9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780" w:type="dxa"/>
            <w:vAlign w:val="bottom"/>
          </w:tcPr>
          <w:p>
            <w:pPr>
              <w:ind w:left="640"/>
              <w:spacing w:after="0"/>
              <w:rPr>
                <w:sz w:val="20"/>
                <w:szCs w:val="20"/>
                <w:color w:val="auto"/>
              </w:rPr>
            </w:pPr>
            <w:r>
              <w:rPr>
                <w:rFonts w:ascii="Times New Roman" w:cs="Times New Roman" w:eastAsia="Times New Roman" w:hAnsi="Times New Roman"/>
                <w:sz w:val="20"/>
                <w:szCs w:val="20"/>
                <w:color w:val="0000FF"/>
              </w:rPr>
              <w:t>72,226</w:t>
            </w:r>
          </w:p>
        </w:tc>
        <w:tc>
          <w:tcPr>
            <w:tcW w:w="840" w:type="dxa"/>
            <w:vAlign w:val="bottom"/>
            <w:gridSpan w:val="2"/>
          </w:tcPr>
          <w:p>
            <w:pPr>
              <w:ind w:left="68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tcPr>
          <w:p>
            <w:pPr>
              <w:spacing w:after="0"/>
              <w:rPr>
                <w:sz w:val="9"/>
                <w:szCs w:val="9"/>
                <w:color w:val="auto"/>
              </w:rPr>
            </w:pPr>
          </w:p>
        </w:tc>
        <w:tc>
          <w:tcPr>
            <w:tcW w:w="444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3080" w:type="dxa"/>
            <w:vAlign w:val="bottom"/>
            <w:tcBorders>
              <w:top w:val="single" w:sz="8" w:color="2C2C2C"/>
            </w:tcBorders>
          </w:tcPr>
          <w:p>
            <w:pPr>
              <w:spacing w:after="0"/>
              <w:rPr>
                <w:sz w:val="22"/>
                <w:szCs w:val="22"/>
                <w:color w:val="auto"/>
              </w:rPr>
            </w:pPr>
          </w:p>
        </w:tc>
        <w:tc>
          <w:tcPr>
            <w:tcW w:w="5420" w:type="dxa"/>
            <w:vAlign w:val="bottom"/>
            <w:tcBorders>
              <w:top w:val="single" w:sz="8" w:color="2C2C2C"/>
            </w:tcBorders>
            <w:gridSpan w:val="6"/>
          </w:tcPr>
          <w:p>
            <w:pPr>
              <w:ind w:left="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500" w:type="dxa"/>
            <w:vAlign w:val="bottom"/>
            <w:gridSpan w:val="7"/>
          </w:tcPr>
          <w:p>
            <w:pPr>
              <w:ind w:left="2760"/>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4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4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80" w:type="dxa"/>
            <w:vAlign w:val="bottom"/>
          </w:tcPr>
          <w:p>
            <w:pPr>
              <w:spacing w:after="0"/>
              <w:rPr>
                <w:sz w:val="14"/>
                <w:szCs w:val="14"/>
                <w:color w:val="auto"/>
              </w:rPr>
            </w:pPr>
          </w:p>
        </w:tc>
        <w:tc>
          <w:tcPr>
            <w:tcW w:w="84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8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40" w:type="dxa"/>
            <w:vAlign w:val="bottom"/>
            <w:gridSpan w:val="2"/>
          </w:tcPr>
          <w:p>
            <w:pPr>
              <w:ind w:left="14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5,377</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Stock</w:t>
            </w:r>
          </w:p>
        </w:tc>
        <w:tc>
          <w:tcPr>
            <w:tcW w:w="8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(2)</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9,440</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(3)</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Stock</w:t>
            </w:r>
          </w:p>
        </w:tc>
        <w:tc>
          <w:tcPr>
            <w:tcW w:w="8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 buy)</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03/09/2028</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03/09/2033</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32,000</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9.93</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Stock</w:t>
            </w:r>
          </w:p>
        </w:tc>
        <w:tc>
          <w:tcPr>
            <w:tcW w:w="8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 buy)</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03/02/2027</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03/02/2032</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9,928</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12.3</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Stock</w:t>
            </w:r>
          </w:p>
        </w:tc>
        <w:tc>
          <w:tcPr>
            <w:tcW w:w="8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08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Employee stock option (right to buy)</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10/07/2026</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10/07/2031</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6"/>
              </w:rPr>
              <w:t>Class A Common</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17,500</w:t>
            </w:r>
          </w:p>
        </w:tc>
        <w:tc>
          <w:tcPr>
            <w:tcW w:w="40" w:type="dxa"/>
            <w:vAlign w:val="bottom"/>
          </w:tcPr>
          <w:p>
            <w:pPr>
              <w:spacing w:after="0"/>
              <w:rPr>
                <w:sz w:val="24"/>
                <w:szCs w:val="24"/>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3"/>
              </w:rPr>
              <w:t>11.11</w:t>
            </w: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Stock</w:t>
            </w:r>
          </w:p>
        </w:tc>
        <w:tc>
          <w:tcPr>
            <w:tcW w:w="8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October 23, 2023, the reporting person was granted 5,377 Restricted Stock Units ("RSUs"), all of which will vest on the first anniversary of the grant date, provided that the reporting person remains in continuous service with the Issuer through such vesting date.</w:t>
      </w:r>
    </w:p>
    <w:p>
      <w:pPr>
        <w:spacing w:after="0" w:line="17" w:lineRule="exact"/>
        <w:rPr>
          <w:rFonts w:ascii="Times New Roman" w:cs="Times New Roman" w:eastAsia="Times New Roman" w:hAnsi="Times New Roman"/>
          <w:sz w:val="15"/>
          <w:szCs w:val="15"/>
          <w:color w:val="008000"/>
        </w:rPr>
      </w:pPr>
    </w:p>
    <w:p>
      <w:pPr>
        <w:ind w:left="40" w:right="2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 March 9, 2023, the reporting person was granted 9,440 RSUs, all of which will vest on the first anniversary of the grant date, provided that the reporting person remains in continuous service with the Issuer through such vesting date.</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RSU represents a contingent right to receive one share of the Issuer's Class A Common Stock upon vesting.</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Chief Administrative Officer and EVP of Operations; Exhibit List: 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/s/ Amanda Coussens,</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8"/>
              </w:rPr>
              <w:t>Attorney-in-Fact for Mark  03/04/2024</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66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4"/>
              </w:rPr>
              <w:t>C. Hood</w:t>
            </w:r>
          </w:p>
        </w:tc>
        <w:tc>
          <w:tcPr>
            <w:tcW w:w="1400" w:type="dxa"/>
            <w:vAlign w:val="bottom"/>
            <w:tcBorders>
              <w:top w:val="single" w:sz="8" w:color="auto"/>
            </w:tcBorders>
            <w:gridSpan w:val="2"/>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Intentional misstatements or omissions of facts constitute Federal Criminal Violations </w:t>
            </w:r>
            <w:r>
              <w:rPr>
                <w:rFonts w:ascii="Arial" w:cs="Arial" w:eastAsia="Arial" w:hAnsi="Arial"/>
                <w:sz w:val="15"/>
                <w:szCs w:val="15"/>
                <w:i w:val="1"/>
                <w:iCs w:val="1"/>
                <w:color w:val="auto"/>
              </w:rPr>
              <w:t>See</w:t>
            </w:r>
            <w:r>
              <w:rPr>
                <w:rFonts w:ascii="Arial" w:cs="Arial" w:eastAsia="Arial" w:hAnsi="Arial"/>
                <w:sz w:val="15"/>
                <w:szCs w:val="15"/>
                <w:color w:val="auto"/>
              </w:rPr>
              <w:t xml:space="preserve"> 18 U.S.C. 1001 and 15 U.S.C. 78ff(a).</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230"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color w:val="auto"/>
        </w:rPr>
        <w:t xml:space="preserve">Note: File three copies of this Form, one of which must be manually signed. If space is insufficient,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6 for procedure.</w:t>
      </w:r>
    </w:p>
    <w:p>
      <w:pPr>
        <w:spacing w:after="0" w:line="52"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5" w:right="55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POWER OF ATTORNEY</w:t>
      </w:r>
    </w:p>
    <w:p>
      <w:pPr>
        <w:spacing w:after="0" w:line="200" w:lineRule="exact"/>
        <w:rPr>
          <w:sz w:val="20"/>
          <w:szCs w:val="20"/>
          <w:color w:val="auto"/>
        </w:rPr>
      </w:pPr>
    </w:p>
    <w:p>
      <w:pPr>
        <w:spacing w:after="0" w:line="268" w:lineRule="exact"/>
        <w:rPr>
          <w:sz w:val="20"/>
          <w:szCs w:val="20"/>
          <w:color w:val="auto"/>
        </w:rPr>
      </w:pPr>
    </w:p>
    <w:p>
      <w:pPr>
        <w:ind w:right="20" w:firstLine="729"/>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Amanda Coussens, with full power of substitution, the undersigned’s true and lawful attorneys-in-fact to:</w:t>
      </w:r>
    </w:p>
    <w:p>
      <w:pPr>
        <w:spacing w:after="0" w:line="135" w:lineRule="exact"/>
        <w:rPr>
          <w:sz w:val="20"/>
          <w:szCs w:val="20"/>
          <w:color w:val="auto"/>
        </w:rPr>
      </w:pPr>
    </w:p>
    <w:p>
      <w:pPr>
        <w:jc w:val="both"/>
        <w:ind w:left="1460" w:hanging="731"/>
        <w:spacing w:after="0" w:line="261" w:lineRule="auto"/>
        <w:tabs>
          <w:tab w:leader="none" w:pos="14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accordance with Section 16(a) of the Securities Exchange Act of 1934, as amended, and the rules thereunder (the “Exchange Act”)), in the undersigned’s capacity as an officer and/or director of P10, Inc., a Delaware corporation (the “Company”), any and all Forms 3, 4 and/or 5, and any amendments thereto, that are necessary or advisable for the undersigned to file under Section 16(a) (collectively, “Documents”);</w:t>
      </w:r>
    </w:p>
    <w:p>
      <w:pPr>
        <w:spacing w:after="0" w:line="200" w:lineRule="exact"/>
        <w:rPr>
          <w:rFonts w:ascii="Times New Roman" w:cs="Times New Roman" w:eastAsia="Times New Roman" w:hAnsi="Times New Roman"/>
          <w:sz w:val="20"/>
          <w:szCs w:val="20"/>
          <w:color w:val="auto"/>
        </w:rPr>
      </w:pPr>
    </w:p>
    <w:p>
      <w:pPr>
        <w:jc w:val="both"/>
        <w:ind w:left="1460" w:hanging="731"/>
        <w:spacing w:after="0" w:line="266" w:lineRule="auto"/>
        <w:tabs>
          <w:tab w:leader="none" w:pos="14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complete and execute any such Documents and timely file such Documents with the United States Securities and Exchange Commission and any stock exchange or similar authority; and</w:t>
      </w:r>
    </w:p>
    <w:p>
      <w:pPr>
        <w:spacing w:after="0" w:line="195" w:lineRule="exact"/>
        <w:rPr>
          <w:rFonts w:ascii="Times New Roman" w:cs="Times New Roman" w:eastAsia="Times New Roman" w:hAnsi="Times New Roman"/>
          <w:sz w:val="20"/>
          <w:szCs w:val="20"/>
          <w:color w:val="auto"/>
        </w:rPr>
      </w:pPr>
    </w:p>
    <w:p>
      <w:pPr>
        <w:jc w:val="both"/>
        <w:ind w:left="1460" w:hanging="731"/>
        <w:spacing w:after="0" w:line="258" w:lineRule="auto"/>
        <w:tabs>
          <w:tab w:leader="none" w:pos="14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5" w:lineRule="exact"/>
        <w:rPr>
          <w:sz w:val="20"/>
          <w:szCs w:val="20"/>
          <w:color w:val="auto"/>
        </w:rPr>
      </w:pPr>
    </w:p>
    <w:p>
      <w:pPr>
        <w:jc w:val="both"/>
        <w:ind w:firstLine="729"/>
        <w:spacing w:after="0" w:line="253"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 The undersigned agrees that each such attorney-in-fact may rely entirely on information furnished orally or in writing by the undersigned to each such attorney-in-fact. The undersigned acknowledges that each attorney-in-fact, in serving in such capacity at the request of the undersigned, is not assuming, nor is such attorney-in-fact’s substitute or substitutes or the Company assuming, any of the undersigned’s responsibilities to comply with the Exchange Act. The undersigned agrees to defend and hold harmless each attorney-in-fact (and such attorney-in-fact’s substitute or substitutes) from and against any and all loss, damage or liability that such attorney-in-fact may sustain as a result of any action taken in good faith hereunder.</w:t>
      </w:r>
    </w:p>
    <w:p>
      <w:pPr>
        <w:spacing w:after="0" w:line="184" w:lineRule="exact"/>
        <w:rPr>
          <w:sz w:val="20"/>
          <w:szCs w:val="20"/>
          <w:color w:val="auto"/>
        </w:rPr>
      </w:pPr>
    </w:p>
    <w:p>
      <w:pPr>
        <w:jc w:val="both"/>
        <w:ind w:firstLine="729"/>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Documents with respect to the undersigned’s holdings of and transactions in securities issued by the Company, unless earlier revoked by the undersigned in a signed writing delivered to each of the foregoing attorneys-in-fact.</w:t>
      </w:r>
    </w:p>
    <w:p>
      <w:pPr>
        <w:spacing w:after="0" w:line="15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March 4, 2024.</w:t>
      </w:r>
    </w:p>
    <w:p>
      <w:pPr>
        <w:spacing w:after="0" w:line="200" w:lineRule="exact"/>
        <w:rPr>
          <w:sz w:val="20"/>
          <w:szCs w:val="20"/>
          <w:color w:val="auto"/>
        </w:rPr>
      </w:pPr>
    </w:p>
    <w:p>
      <w:pPr>
        <w:spacing w:after="0" w:line="260"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0"/>
          <w:szCs w:val="20"/>
          <w:color w:val="auto"/>
        </w:rPr>
        <w:t>/s/ Mark C. Hood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3964305</wp:posOffset>
            </wp:positionH>
            <wp:positionV relativeFrom="paragraph">
              <wp:posOffset>28575</wp:posOffset>
            </wp:positionV>
            <wp:extent cx="298259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982595" cy="9525"/>
                    </a:xfrm>
                    <a:prstGeom prst="rect">
                      <a:avLst/>
                    </a:prstGeom>
                    <a:noFill/>
                  </pic:spPr>
                </pic:pic>
              </a:graphicData>
            </a:graphic>
          </wp:anchor>
        </w:drawing>
      </w:r>
    </w:p>
    <w:p>
      <w:pPr>
        <w:spacing w:after="0" w:line="35"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20"/>
          <w:szCs w:val="20"/>
          <w:color w:val="auto"/>
        </w:rPr>
        <w:t>Mark C. Hood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788035</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11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636999" TargetMode="External"/><Relationship Id="rId11"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2024-03-04T20:21:28Z</dcterms:created>
  <dcterms:modified xsi:type="dcterms:W3CDTF">2024-03-04T20:21:28Z</dcterms:modified>
</cp:coreProperties>
</file>