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SCHEDULE 14A</w:t>
      </w:r>
    </w:p>
    <w:p>
      <w:pPr>
        <w:spacing w:after="0" w:line="10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right="5080" w:firstLine="8"/>
        <w:spacing w:after="0" w:line="216" w:lineRule="exact"/>
        <w:tabs>
          <w:tab w:leader="none" w:pos="2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22"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line="268" w:lineRule="auto"/>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is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proxy materials.</w:t>
      </w:r>
    </w:p>
    <w:p>
      <w:pPr>
        <w:spacing w:after="0" w:line="117" w:lineRule="exact"/>
        <w:rPr>
          <w:rFonts w:ascii="MS PGothic" w:cs="MS PGothic" w:eastAsia="MS PGothic" w:hAnsi="MS PGothic"/>
          <w:sz w:val="18"/>
          <w:szCs w:val="18"/>
          <w:color w:val="auto"/>
        </w:rPr>
      </w:pPr>
    </w:p>
    <w:p>
      <w:pPr>
        <w:ind w:left="360" w:right="480" w:hanging="352"/>
        <w:spacing w:after="0" w:line="332" w:lineRule="auto"/>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-3898900</wp:posOffset>
            </wp:positionV>
            <wp:extent cx="7023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-3470275</wp:posOffset>
            </wp:positionV>
            <wp:extent cx="702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-2903855</wp:posOffset>
            </wp:positionV>
            <wp:extent cx="7023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-2475230</wp:posOffset>
            </wp:positionV>
            <wp:extent cx="7023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-2046605</wp:posOffset>
            </wp:positionV>
            <wp:extent cx="702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-1068705</wp:posOffset>
            </wp:positionV>
            <wp:extent cx="7023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-640080</wp:posOffset>
            </wp:positionV>
            <wp:extent cx="702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-211455</wp:posOffset>
            </wp:positionV>
            <wp:extent cx="702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217170</wp:posOffset>
            </wp:positionV>
            <wp:extent cx="702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ectPr>
          <w:pgSz w:w="11900" w:h="16838" w:orient="portrait"/>
          <w:cols w:equalWidth="0" w:num="1">
            <w:col w:w="11100"/>
          </w:cols>
          <w:pgMar w:left="240" w:top="219"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183515</wp:posOffset>
            </wp:positionV>
            <wp:extent cx="167259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72590" cy="317500"/>
                    </a:xfrm>
                    <a:prstGeom prst="rect">
                      <a:avLst/>
                    </a:prstGeom>
                    <a:noFill/>
                  </pic:spPr>
                </pic:pic>
              </a:graphicData>
            </a:graphic>
          </wp:anchor>
        </w:drawing>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w:t>
      </w:r>
      <w:r>
        <w:rPr>
          <w:rFonts w:ascii="Arial" w:cs="Arial" w:eastAsia="Arial" w:hAnsi="Arial"/>
          <w:sz w:val="14"/>
          <w:szCs w:val="14"/>
          <w:color w:val="auto"/>
        </w:rPr>
        <w:t>RAKER</w:t>
      </w:r>
      <w:r>
        <w:rPr>
          <w:rFonts w:ascii="Arial" w:cs="Arial" w:eastAsia="Arial" w:hAnsi="Arial"/>
          <w:sz w:val="18"/>
          <w:szCs w:val="18"/>
          <w:color w:val="auto"/>
        </w:rPr>
        <w:t xml:space="preserve">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14,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You are cordially invited to attend the 2008 Annual Meeting of Stockholders of Active Power, Inc., which will be held at the company’s principal executive offices, located at 2128 W. Braker Lane, Austin, TX 78758, Braker 12, on Thursday, May 15, 2008, at 1:00 p.m. Central Time.</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After careful consideration, our Board of Directors has unanimously approved the proposals set forth in the proxy statement and recommends that you vote in favor of such proposals, including the proposal for the election of the directors nominated to the Active Power, Inc. Board of Directors.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54368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68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&amp; Director</w:t>
      </w:r>
    </w:p>
    <w:p>
      <w:pPr>
        <w:sectPr>
          <w:pgSz w:w="11900" w:h="16838" w:orient="portrait"/>
          <w:cols w:equalWidth="0" w:num="1">
            <w:col w:w="11420"/>
          </w:cols>
          <w:pgMar w:left="240" w:top="779" w:right="23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9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MAY 15,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May 15, 2008, at 1:00 p.m. Central Time, at our principal executive offices, located at 2128 W. Braker Lane, Austin, Texas 78758, Braker 12, for the following purposes, as more fully described in the proxy statement accompanying this notice:</w:t>
      </w:r>
    </w:p>
    <w:p>
      <w:pPr>
        <w:spacing w:after="0" w:line="5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two Class II Directors to serve until our 2011 Annual Meeting of Stockholders, or until their successors are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Class III Director to serve until our 2009 Annual Meeting of Stockholders, or until his successor is duly elected and qualified;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our Company for the fiscal year ending December 31, 2008;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Only stockholders of record at the close of business on March 28, 2008 are entitled to notice of and to vote at the Annual Meeting. A list of stockholders entitled to vote at the Annual Meeting will be available for inspection at our principal executive offices.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02933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 Company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14, 2008</w:t>
      </w:r>
    </w:p>
    <w:p>
      <w:pPr>
        <w:spacing w:after="0" w:line="159"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ectPr>
          <w:pgSz w:w="11900" w:h="16838" w:orient="portrait"/>
          <w:cols w:equalWidth="0" w:num="1">
            <w:col w:w="11340"/>
          </w:cols>
          <w:pgMar w:left="240" w:top="274"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2128 W. Braker Lane, Braker 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78758</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15,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May 15, 2008. The Annual Meeting will be held at 1:00 p.m. Central Time at our principal executive offices, located at 2128 W. Braker Lane, Austin, Texas 78758, Braker 12. These proxy solicitation materials were mailed on or about April 14, 2008, to all stockholders entitled to vote at our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March 28, 2008, the record date for determination of stockholders entitled to notice of and to vote at the Annual Meeting, there were 60,458,311 shares of our common stock outstanding and no shares of our preferred stock were outstanding. Each stockholder is entitled to one vote for each share of common stock held by such stockholder on March 28, 2008.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w:t>
      </w:r>
    </w:p>
    <w:p>
      <w:pPr>
        <w:spacing w:after="0" w:line="118"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are withheld and, if no contrary instructions are given, the proxy will also be voted FOR the approval of Proposal Two as described in this Notice of Annual Meeting and proxy statement. You may revoke or change your proxy at any time before the Annual Meeting by filing with our Corporate Secretary at our principal executive offices at 2128 W. Braker Lane, Austin, Texas 78758, Braker 12, a notice of revocation or another signed proxy with a later date. You may also revoke your proxy by attending the Annual Meeting and voting in person.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w:t>
      </w:r>
    </w:p>
    <w:p>
      <w:pPr>
        <w:sectPr>
          <w:pgSz w:w="11900" w:h="16838" w:orient="portrait"/>
          <w:cols w:equalWidth="0" w:num="1">
            <w:col w:w="11420"/>
          </w:cols>
          <w:pgMar w:left="240" w:top="274" w:right="239" w:bottom="1440" w:gutter="0" w:footer="0" w:header="0"/>
        </w:sectPr>
      </w:pPr>
    </w:p>
    <w:bookmarkStart w:id="4" w:name="page5"/>
    <w:bookmarkEnd w:id="4"/>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brokers and other nominee record holders may be participating in the practice of “householding” proxy statements and annual reports. This means that only one (1) copy of the proxy statement and annual report may have been sent to multiple stockholders in a stockholder’s household. The Company will promptly deliver a separate copy of either document to any stockholder who contacts the Company’s investor relations department at (512) 836-6464 or by mail addressed to Investor Relations, c/o Active Power, Inc., 2128 W. Braker Lane, Austin TX 78758, requesting such copies. If a stockholder is receiving multiple copies of the proxy statement and annual report at the stockholder’s household and would like to receive a single copy of the proxy statement and annual report for a stockholder’s household in the future, stockholders should contact their broker, other nominee record holder, or the Company’s investor relations department to request mailing of a single copy of the proxy statement and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2009 Annual Meeting of Stockholders and in our proxy statement and form of proxy relating to that meeting, must be received by us at our principal executive offices in Austin, Texas, addressed to our Corporate Secretary, not later than December 15, 2008, the date which is 120 days prior to April 14, 2009. With respect to any stockholder proposal not submitted pursuant to Rule 14a-8 and unless notice is received by us in the manner specified in the previous sentence, the proxy holders shall have discretionary authority to vote against any proposal presented at our 2009 Annual Meeting of Stockholders. These proposals must comply with applicable Delaware law, the rules and regulations promulgated by the Securities and Exchange Commission and the procedures set forth in our Bylaws.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ind w:right="1080" w:firstLine="1110"/>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TO BE CONSIDERED AT ANNUAL MEETING PROPOSALS ONE &amp; TWO: ELECTION OF DIRECTORS Composition of the Board</w:t>
      </w:r>
    </w:p>
    <w:p>
      <w:pPr>
        <w:spacing w:after="0" w:line="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full Board of Directors currently consists of seven directors. The Board, in accordance with our certificate of incorporation, is divided into three classes, with Class I having three directors, Class II currently having two directors and Class III currently having two directors. The terms of each class expire at successive annual meetings so that shareholders elect one class of directors at each annual meeting.</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One of our directors, Brad Boston, resigned in January 2008. Effective March 24, 2008, the Board of Directors elected James E. DeVenny III to fill the vacancy left by Mr. Boston’s resignation. Because Mr. DeVenny was appointed by the Board to fill an existing vacancy, under our Company bylaws his term will expire at this Annual Meeting. If re-elected at this meeting, he will continue to serve as a Class III Director until the 2009 Annual Meeting, at which point his term will expire.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gridSpan w:val="2"/>
          </w:tcPr>
          <w:p>
            <w:pPr>
              <w:ind w:left="460"/>
              <w:spacing w:after="0"/>
              <w:rPr>
                <w:sz w:val="20"/>
                <w:szCs w:val="20"/>
                <w:color w:val="auto"/>
              </w:rPr>
            </w:pPr>
            <w:r>
              <w:rPr>
                <w:rFonts w:ascii="Arial" w:cs="Arial" w:eastAsia="Arial" w:hAnsi="Arial"/>
                <w:sz w:val="18"/>
                <w:szCs w:val="18"/>
                <w:color w:val="auto"/>
              </w:rPr>
              <w:t>The current composition of the Board is:</w:t>
            </w:r>
          </w:p>
        </w:tc>
        <w:tc>
          <w:tcPr>
            <w:tcW w:w="2840" w:type="dxa"/>
            <w:vAlign w:val="bottom"/>
          </w:tcPr>
          <w:p>
            <w:pPr>
              <w:spacing w:after="0"/>
              <w:rPr>
                <w:sz w:val="19"/>
                <w:szCs w:val="19"/>
                <w:color w:val="auto"/>
              </w:rPr>
            </w:pPr>
          </w:p>
        </w:tc>
      </w:tr>
      <w:tr>
        <w:trPr>
          <w:trHeight w:val="412"/>
        </w:trPr>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Class I Directors </w:t>
            </w:r>
            <w:r>
              <w:rPr>
                <w:rFonts w:ascii="Arial" w:cs="Arial" w:eastAsia="Arial" w:hAnsi="Arial"/>
                <w:sz w:val="18"/>
                <w:szCs w:val="18"/>
                <w:i w:val="1"/>
                <w:iCs w:val="1"/>
                <w:color w:val="auto"/>
              </w:rPr>
              <w:t>(serving until the 2010 Meeting)</w:t>
            </w:r>
          </w:p>
        </w:tc>
        <w:tc>
          <w:tcPr>
            <w:tcW w:w="2840" w:type="dxa"/>
            <w:vAlign w:val="bottom"/>
          </w:tcPr>
          <w:p>
            <w:pPr>
              <w:ind w:left="1220"/>
              <w:spacing w:after="0"/>
              <w:rPr>
                <w:sz w:val="20"/>
                <w:szCs w:val="20"/>
                <w:color w:val="auto"/>
              </w:rPr>
            </w:pPr>
            <w:r>
              <w:rPr>
                <w:rFonts w:ascii="Arial" w:cs="Arial" w:eastAsia="Arial" w:hAnsi="Arial"/>
                <w:sz w:val="18"/>
                <w:szCs w:val="18"/>
                <w:color w:val="auto"/>
                <w:w w:val="96"/>
              </w:rPr>
              <w:t>Richard E. Anderson</w:t>
            </w:r>
          </w:p>
        </w:tc>
      </w:tr>
      <w:tr>
        <w:trPr>
          <w:trHeight w:val="216"/>
        </w:trPr>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40" w:type="dxa"/>
            <w:vAlign w:val="bottom"/>
          </w:tcPr>
          <w:p>
            <w:pPr>
              <w:ind w:left="1220"/>
              <w:spacing w:after="0"/>
              <w:rPr>
                <w:sz w:val="20"/>
                <w:szCs w:val="20"/>
                <w:color w:val="auto"/>
              </w:rPr>
            </w:pPr>
            <w:r>
              <w:rPr>
                <w:rFonts w:ascii="Arial" w:cs="Arial" w:eastAsia="Arial" w:hAnsi="Arial"/>
                <w:sz w:val="18"/>
                <w:szCs w:val="18"/>
                <w:color w:val="auto"/>
              </w:rPr>
              <w:t>Rodney S. Bond</w:t>
            </w:r>
          </w:p>
        </w:tc>
      </w:tr>
      <w:tr>
        <w:trPr>
          <w:trHeight w:val="222"/>
        </w:trPr>
        <w:tc>
          <w:tcPr>
            <w:tcW w:w="1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ind w:left="1220"/>
              <w:spacing w:after="0"/>
              <w:rPr>
                <w:sz w:val="20"/>
                <w:szCs w:val="20"/>
                <w:color w:val="auto"/>
              </w:rPr>
            </w:pPr>
            <w:r>
              <w:rPr>
                <w:rFonts w:ascii="Arial" w:cs="Arial" w:eastAsia="Arial" w:hAnsi="Arial"/>
                <w:sz w:val="18"/>
                <w:szCs w:val="18"/>
                <w:color w:val="auto"/>
              </w:rPr>
              <w:t>Benjamin L. Scott</w:t>
            </w:r>
          </w:p>
        </w:tc>
      </w:tr>
      <w:tr>
        <w:trPr>
          <w:trHeight w:val="331"/>
        </w:trPr>
        <w:tc>
          <w:tcPr>
            <w:tcW w:w="4840" w:type="dxa"/>
            <w:vAlign w:val="bottom"/>
            <w:gridSpan w:val="2"/>
          </w:tcPr>
          <w:p>
            <w:pPr>
              <w:spacing w:after="0"/>
              <w:rPr>
                <w:sz w:val="20"/>
                <w:szCs w:val="20"/>
                <w:color w:val="auto"/>
              </w:rPr>
            </w:pPr>
            <w:r>
              <w:rPr>
                <w:rFonts w:ascii="Arial" w:cs="Arial" w:eastAsia="Arial" w:hAnsi="Arial"/>
                <w:sz w:val="18"/>
                <w:szCs w:val="18"/>
                <w:color w:val="auto"/>
              </w:rPr>
              <w:t>Class II Directors (</w:t>
            </w:r>
            <w:r>
              <w:rPr>
                <w:rFonts w:ascii="Arial" w:cs="Arial" w:eastAsia="Arial" w:hAnsi="Arial"/>
                <w:sz w:val="18"/>
                <w:szCs w:val="18"/>
                <w:i w:val="1"/>
                <w:iCs w:val="1"/>
                <w:color w:val="auto"/>
              </w:rPr>
              <w:t>term expiring at this meeting)</w:t>
            </w:r>
          </w:p>
        </w:tc>
        <w:tc>
          <w:tcPr>
            <w:tcW w:w="2840" w:type="dxa"/>
            <w:vAlign w:val="bottom"/>
          </w:tcPr>
          <w:p>
            <w:pPr>
              <w:ind w:left="1220"/>
              <w:spacing w:after="0"/>
              <w:rPr>
                <w:sz w:val="20"/>
                <w:szCs w:val="20"/>
                <w:color w:val="auto"/>
              </w:rPr>
            </w:pPr>
            <w:r>
              <w:rPr>
                <w:rFonts w:ascii="Arial" w:cs="Arial" w:eastAsia="Arial" w:hAnsi="Arial"/>
                <w:sz w:val="18"/>
                <w:szCs w:val="18"/>
                <w:color w:val="auto"/>
              </w:rPr>
              <w:t>Jan H. Lindelow</w:t>
            </w:r>
          </w:p>
        </w:tc>
      </w:tr>
      <w:tr>
        <w:trPr>
          <w:trHeight w:val="222"/>
        </w:trPr>
        <w:tc>
          <w:tcPr>
            <w:tcW w:w="1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ind w:left="1220"/>
              <w:spacing w:after="0"/>
              <w:rPr>
                <w:sz w:val="20"/>
                <w:szCs w:val="20"/>
                <w:color w:val="auto"/>
              </w:rPr>
            </w:pPr>
            <w:r>
              <w:rPr>
                <w:rFonts w:ascii="Arial" w:cs="Arial" w:eastAsia="Arial" w:hAnsi="Arial"/>
                <w:sz w:val="18"/>
                <w:szCs w:val="18"/>
                <w:color w:val="auto"/>
              </w:rPr>
              <w:t>James A. Clishem</w:t>
            </w:r>
          </w:p>
        </w:tc>
      </w:tr>
      <w:tr>
        <w:trPr>
          <w:trHeight w:val="331"/>
        </w:trPr>
        <w:tc>
          <w:tcPr>
            <w:tcW w:w="4840" w:type="dxa"/>
            <w:vAlign w:val="bottom"/>
            <w:gridSpan w:val="2"/>
          </w:tcPr>
          <w:p>
            <w:pPr>
              <w:spacing w:after="0"/>
              <w:rPr>
                <w:sz w:val="20"/>
                <w:szCs w:val="20"/>
                <w:color w:val="auto"/>
              </w:rPr>
            </w:pPr>
            <w:r>
              <w:rPr>
                <w:rFonts w:ascii="Arial" w:cs="Arial" w:eastAsia="Arial" w:hAnsi="Arial"/>
                <w:sz w:val="18"/>
                <w:szCs w:val="18"/>
                <w:color w:val="auto"/>
              </w:rPr>
              <w:t xml:space="preserve">Class III Directors </w:t>
            </w:r>
            <w:r>
              <w:rPr>
                <w:rFonts w:ascii="Arial" w:cs="Arial" w:eastAsia="Arial" w:hAnsi="Arial"/>
                <w:sz w:val="18"/>
                <w:szCs w:val="18"/>
                <w:i w:val="1"/>
                <w:iCs w:val="1"/>
                <w:color w:val="auto"/>
              </w:rPr>
              <w:t>(serving until the 2009 Meeting)</w:t>
            </w:r>
          </w:p>
        </w:tc>
        <w:tc>
          <w:tcPr>
            <w:tcW w:w="2840" w:type="dxa"/>
            <w:vAlign w:val="bottom"/>
          </w:tcPr>
          <w:p>
            <w:pPr>
              <w:ind w:left="1220"/>
              <w:spacing w:after="0"/>
              <w:rPr>
                <w:sz w:val="20"/>
                <w:szCs w:val="20"/>
                <w:color w:val="auto"/>
              </w:rPr>
            </w:pPr>
            <w:r>
              <w:rPr>
                <w:rFonts w:ascii="Arial" w:cs="Arial" w:eastAsia="Arial" w:hAnsi="Arial"/>
                <w:sz w:val="18"/>
                <w:szCs w:val="18"/>
                <w:color w:val="auto"/>
              </w:rPr>
              <w:t>Ake Almgren</w:t>
            </w:r>
          </w:p>
        </w:tc>
      </w:tr>
      <w:tr>
        <w:trPr>
          <w:trHeight w:val="222"/>
        </w:trPr>
        <w:tc>
          <w:tcPr>
            <w:tcW w:w="11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840" w:type="dxa"/>
            <w:vAlign w:val="bottom"/>
          </w:tcPr>
          <w:p>
            <w:pPr>
              <w:ind w:left="1220"/>
              <w:spacing w:after="0"/>
              <w:rPr>
                <w:sz w:val="20"/>
                <w:szCs w:val="20"/>
                <w:color w:val="auto"/>
              </w:rPr>
            </w:pPr>
            <w:r>
              <w:rPr>
                <w:rFonts w:ascii="Arial" w:cs="Arial" w:eastAsia="Arial" w:hAnsi="Arial"/>
                <w:sz w:val="18"/>
                <w:szCs w:val="18"/>
                <w:color w:val="auto"/>
                <w:w w:val="88"/>
              </w:rPr>
              <w:t>James E. DeVenny III*</w:t>
            </w:r>
          </w:p>
        </w:tc>
      </w:tr>
      <w:tr>
        <w:trPr>
          <w:trHeight w:val="124"/>
        </w:trPr>
        <w:tc>
          <w:tcPr>
            <w:tcW w:w="1160" w:type="dxa"/>
            <w:vAlign w:val="bottom"/>
            <w:tcBorders>
              <w:bottom w:val="single" w:sz="8" w:color="auto"/>
            </w:tcBorders>
          </w:tcPr>
          <w:p>
            <w:pPr>
              <w:spacing w:after="0"/>
              <w:rPr>
                <w:sz w:val="10"/>
                <w:szCs w:val="10"/>
                <w:color w:val="auto"/>
              </w:rPr>
            </w:pPr>
          </w:p>
        </w:tc>
        <w:tc>
          <w:tcPr>
            <w:tcW w:w="3680" w:type="dxa"/>
            <w:vAlign w:val="bottom"/>
          </w:tcPr>
          <w:p>
            <w:pPr>
              <w:spacing w:after="0"/>
              <w:rPr>
                <w:sz w:val="10"/>
                <w:szCs w:val="10"/>
                <w:color w:val="auto"/>
              </w:rPr>
            </w:pPr>
          </w:p>
        </w:tc>
        <w:tc>
          <w:tcPr>
            <w:tcW w:w="2840" w:type="dxa"/>
            <w:vAlign w:val="bottom"/>
          </w:tcPr>
          <w:p>
            <w:pPr>
              <w:spacing w:after="0"/>
              <w:rPr>
                <w:sz w:val="10"/>
                <w:szCs w:val="10"/>
                <w:color w:val="auto"/>
              </w:rPr>
            </w:pPr>
          </w:p>
        </w:tc>
      </w:tr>
      <w:tr>
        <w:trPr>
          <w:trHeight w:val="235"/>
        </w:trPr>
        <w:tc>
          <w:tcPr>
            <w:tcW w:w="4840" w:type="dxa"/>
            <w:vAlign w:val="bottom"/>
            <w:gridSpan w:val="2"/>
          </w:tcPr>
          <w:p>
            <w:pPr>
              <w:spacing w:after="0"/>
              <w:rPr>
                <w:sz w:val="20"/>
                <w:szCs w:val="20"/>
                <w:color w:val="auto"/>
              </w:rPr>
            </w:pPr>
            <w:r>
              <w:rPr>
                <w:rFonts w:ascii="Arial" w:cs="Arial" w:eastAsia="Arial" w:hAnsi="Arial"/>
                <w:sz w:val="18"/>
                <w:szCs w:val="18"/>
                <w:color w:val="auto"/>
              </w:rPr>
              <w:t>*  term expiring at this meeting</w:t>
            </w:r>
          </w:p>
        </w:tc>
        <w:tc>
          <w:tcPr>
            <w:tcW w:w="2840" w:type="dxa"/>
            <w:vAlign w:val="bottom"/>
          </w:tcPr>
          <w:p>
            <w:pPr>
              <w:spacing w:after="0"/>
              <w:rPr>
                <w:sz w:val="20"/>
                <w:szCs w:val="20"/>
                <w:color w:val="auto"/>
              </w:rPr>
            </w:pP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election of two Class II Directors and one Class III Director will take place at the meeting. At its meeting on January 31, 2008, the Board approved the recommendation of the Nominating and Corporate Governance Committee that the full Board remains comprised of seven directors and that the two Class II Directors be elected for a three-year term. At its meeting on March 13, 2008, the Board approved the recommendation of the Nominating and Corporate Governance Committee that Mr. DeVenny be elected for an interim one-year term.</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elected at the annual meeting, each of the two Class II Director nominees will serve on the Board until the Annual Meeting in 2011 and the Class III Director nominee will serve on the Board until the Annual Meeting in 2009, or, in each case, until their successors are duly elected and qualified in accordance with the Company’s Bylaws. If any of the three nominees should become unable to accept election, the persons named on the proxy card as proxies may vote for other person(s) selected by the Board or the named proxies. Management has no reason to believe that any of the nominees for election named below will be unable to serve. Unless otherwise instructed, the proxy holders will vote the proxies received by them FOR the nominees named below.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 Board Recommends Stockholders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each of the three Nominees Listed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 Directors with Terms Expiring at the 2011 Annual Meeting</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 Class</w:t>
            </w:r>
          </w:p>
        </w:tc>
      </w:tr>
      <w:tr>
        <w:trPr>
          <w:trHeight w:val="17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300" w:type="dxa"/>
            <w:vAlign w:val="bottom"/>
          </w:tcPr>
          <w:p>
            <w:pPr>
              <w:spacing w:after="0"/>
              <w:rPr>
                <w:sz w:val="15"/>
                <w:szCs w:val="15"/>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5"/>
              </w:rPr>
              <w:t>Age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7"/>
              </w:rPr>
              <w:t>Current Position</w:t>
            </w:r>
          </w:p>
        </w:tc>
        <w:tc>
          <w:tcPr>
            <w:tcW w:w="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 Director</w:t>
            </w:r>
          </w:p>
        </w:tc>
      </w:tr>
      <w:tr>
        <w:trPr>
          <w:trHeight w:val="20"/>
        </w:trPr>
        <w:tc>
          <w:tcPr>
            <w:tcW w:w="3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H. Lindelow</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62</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Class II</w:t>
            </w:r>
          </w:p>
        </w:tc>
      </w:tr>
      <w:tr>
        <w:trPr>
          <w:trHeight w:val="208"/>
        </w:trPr>
        <w:tc>
          <w:tcPr>
            <w:tcW w:w="4680" w:type="dxa"/>
            <w:vAlign w:val="bottom"/>
            <w:gridSpan w:val="2"/>
          </w:tcPr>
          <w:p>
            <w:pPr>
              <w:spacing w:after="0"/>
              <w:rPr>
                <w:sz w:val="20"/>
                <w:szCs w:val="20"/>
                <w:color w:val="auto"/>
              </w:rPr>
            </w:pPr>
            <w:r>
              <w:rPr>
                <w:rFonts w:ascii="Arial" w:cs="Arial" w:eastAsia="Arial" w:hAnsi="Arial"/>
                <w:sz w:val="18"/>
                <w:szCs w:val="18"/>
                <w:color w:val="auto"/>
              </w:rPr>
              <w:t>James A. Clishem</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51</w:t>
            </w: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President, Chief Executive Officer</w:t>
            </w:r>
          </w:p>
        </w:tc>
        <w:tc>
          <w:tcPr>
            <w:tcW w:w="3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Class II</w:t>
            </w:r>
          </w:p>
        </w:tc>
      </w:tr>
      <w:tr>
        <w:trPr>
          <w:trHeight w:val="222"/>
        </w:trPr>
        <w:tc>
          <w:tcPr>
            <w:tcW w:w="3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and Director</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5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62, has served as a member of our Board of Directors since February 1998. Mr. Lindelow joined Tivoli, a unit of IBM Software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June 1997 and served as Chairman and Chief Executive of Tivoli until the spring of 2001. He then became Vice President, Emerging Business Development for IBM until his retirement in 2002. From 1994 to 1995 Mr. Lindelow was President and Chief Operating Officer of Symbol Technologies, a leader in handheld computing and scanning technologies. He also served in several senior executive positions with Asea Brown Boveri (ABB), a global company delivering power, energy and automation technologies from 1988 to 1994. Prior to ABB, Mr. Lindelow was President of Worldwide Sales and Service at Unisys/Sperry Computer Systems, a worldwide information technology services and solutions company. Mr. Lindelow serves as an active board member of several enterprises, primarily in the high technology industry. During 2007, Mr. Lindelow served as Chairman of the board of directors of Vignette Corporation and as a director of the following private companies: Credant Technologies, HyPerformix, Inc (as Chairman) and Troux Technologies. Mr. Lindelow holds an M.S. in Electrical Engineering from the Royal Institute of Technology in Stockholm, Sweden.</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James A. Clishem</w:t>
      </w:r>
      <w:r>
        <w:rPr>
          <w:rFonts w:ascii="Arial" w:cs="Arial" w:eastAsia="Arial" w:hAnsi="Arial"/>
          <w:sz w:val="16"/>
          <w:szCs w:val="16"/>
          <w:color w:val="auto"/>
        </w:rPr>
        <w:t>, 51, serves as the Chief Executive Officer and President of Active Power and has served as a member of the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assuming these responsibilities in May 2006. From November 2005 until May 2006 Mr. Clishem was President and Chief Operating Officer of the Company, and from May 2005 until November 2005 he served as Vice President of Business Development for the Company. Prior to joining Active Power, from 2004</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Clishem was most recently Vice President of Business Development at Peregrine Systems, Inc, a publicly traded enterprise software company. Between 1999 and 2004 Mr. Clishem was founder and Chief Executive Officer of Xodiax, Inc., a managed IT services business. He has also held executive management positions with Broadwing Communications, MCI, Ericson, and Tandem Computers. Mr. Clishem holds a B.S. and an M.S. in Electrical Engineering from the University of Louisville and an M.B.A. from Southern Methodist University.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Election as Class III Directors with Term Expiring at the 2009 Annual Meeting</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 Class</w:t>
            </w:r>
          </w:p>
        </w:tc>
      </w:tr>
      <w:tr>
        <w:trPr>
          <w:trHeight w:val="17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4300" w:type="dxa"/>
            <w:vAlign w:val="bottom"/>
          </w:tcPr>
          <w:p>
            <w:pPr>
              <w:spacing w:after="0"/>
              <w:rPr>
                <w:sz w:val="15"/>
                <w:szCs w:val="15"/>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5"/>
              </w:rPr>
              <w:t>Age</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87"/>
              </w:rPr>
              <w:t>Current Position</w:t>
            </w:r>
          </w:p>
        </w:tc>
        <w:tc>
          <w:tcPr>
            <w:tcW w:w="3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of Director</w:t>
            </w:r>
          </w:p>
        </w:tc>
      </w:tr>
      <w:tr>
        <w:trPr>
          <w:trHeight w:val="20"/>
        </w:trPr>
        <w:tc>
          <w:tcPr>
            <w:tcW w:w="3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deVenny III</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60</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Class III</w:t>
            </w:r>
          </w:p>
        </w:tc>
      </w:tr>
    </w:tbl>
    <w:p>
      <w:pPr>
        <w:spacing w:after="0" w:line="148"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b w:val="1"/>
          <w:bCs w:val="1"/>
          <w:color w:val="auto"/>
        </w:rPr>
        <w:t xml:space="preserve">James E. deVenny III, </w:t>
      </w:r>
      <w:r>
        <w:rPr>
          <w:rFonts w:ascii="Arial" w:cs="Arial" w:eastAsia="Arial" w:hAnsi="Arial"/>
          <w:sz w:val="15"/>
          <w:szCs w:val="15"/>
          <w:color w:val="auto"/>
        </w:rPr>
        <w:t>60, has served as a member of our Board of Directors since March 2008. From 1999 until March 2008 Mr. deVenny served as the</w:t>
      </w:r>
      <w:r>
        <w:rPr>
          <w:rFonts w:ascii="Arial" w:cs="Arial" w:eastAsia="Arial" w:hAnsi="Arial"/>
          <w:sz w:val="15"/>
          <w:szCs w:val="15"/>
          <w:b w:val="1"/>
          <w:bCs w:val="1"/>
          <w:color w:val="auto"/>
        </w:rPr>
        <w:t xml:space="preserve"> </w:t>
      </w:r>
      <w:r>
        <w:rPr>
          <w:rFonts w:ascii="Arial" w:cs="Arial" w:eastAsia="Arial" w:hAnsi="Arial"/>
          <w:sz w:val="15"/>
          <w:szCs w:val="15"/>
          <w:color w:val="auto"/>
        </w:rPr>
        <w:t>co-founder, President and Chief Executive Officer of Dataside LLC, a Texas-based provider of enterprise data center space and managed network services.</w:t>
      </w:r>
    </w:p>
    <w:p>
      <w:pPr>
        <w:spacing w:after="0" w:line="253" w:lineRule="auto"/>
        <w:rPr>
          <w:sz w:val="20"/>
          <w:szCs w:val="20"/>
          <w:color w:val="auto"/>
        </w:rPr>
      </w:pPr>
      <w:r>
        <w:rPr>
          <w:rFonts w:ascii="Arial" w:cs="Arial" w:eastAsia="Arial" w:hAnsi="Arial"/>
          <w:sz w:val="18"/>
          <w:szCs w:val="18"/>
          <w:color w:val="auto"/>
        </w:rPr>
        <w:t>Mr. deVenny is now an independent consultant though his business JD Investments. Prior to founding Dataside Mr. deVenny co-founded Computex Support Systems for 15 years where he was involved in the design and development of mission critical data centers and telecommunications sites. Prior to this he spent five years as Vice President of Sales and Marketing for International Power Machines, a manufacturer of uninterruptible power supply systems. Mr. deVenny also serves on the boards of Lumenate, a private technology consulting services company. He holds a Bachelor of Science degree in Journalism and Communications from the University of Florida.</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Class I Directors With Terms Expiring at the 2010 Annual Meeting of Stockholders</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Richard E. Anderson</w:t>
      </w:r>
      <w:r>
        <w:rPr>
          <w:rFonts w:ascii="Arial" w:cs="Arial" w:eastAsia="Arial" w:hAnsi="Arial"/>
          <w:sz w:val="18"/>
          <w:szCs w:val="18"/>
          <w:color w:val="auto"/>
        </w:rPr>
        <w:t>, 43, has served as a member of our Board of Directors since July 1997. In 1992, Mr. Anderson co-founded Hill Partners, Inc., a real</w:t>
      </w:r>
      <w:r>
        <w:rPr>
          <w:rFonts w:ascii="Arial" w:cs="Arial" w:eastAsia="Arial" w:hAnsi="Arial"/>
          <w:sz w:val="18"/>
          <w:szCs w:val="18"/>
          <w:b w:val="1"/>
          <w:bCs w:val="1"/>
          <w:color w:val="auto"/>
        </w:rPr>
        <w:t xml:space="preserve"> </w:t>
      </w:r>
      <w:r>
        <w:rPr>
          <w:rFonts w:ascii="Arial" w:cs="Arial" w:eastAsia="Arial" w:hAnsi="Arial"/>
          <w:sz w:val="18"/>
          <w:szCs w:val="18"/>
          <w:color w:val="auto"/>
        </w:rPr>
        <w:t>estate development and investment company now known as HPI Real Estate &amp; Investment Services, Inc., where he currently serves as partner. Mr. Anderson holds a B.A. in Economics from Southern Methodist University.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Rodney S. Bond</w:t>
      </w:r>
      <w:r>
        <w:rPr>
          <w:rFonts w:ascii="Arial" w:cs="Arial" w:eastAsia="Arial" w:hAnsi="Arial"/>
          <w:sz w:val="18"/>
          <w:szCs w:val="18"/>
          <w:color w:val="auto"/>
        </w:rPr>
        <w:t>, 63, has served as a member of our Board of Directors since September 1994. From October 2000 to the present, Mr. Bond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a principal engaged in financial and strategic planning consulting at Sherman Partners, and until the sale of the company in January 2008, was also the Executive Vice President of UpLink Corporation, a privately held supplier of GPS business solutions for the golf industry From May 1990 to October 2000, Mr. Bond served primarily as Chief Financial Officer, with VTEL Corporation, a publicly traded digital video communications company. Mr. Bond also serves on the board of directors of several private and non-profit enterprises, and holds a B.S. in Metallurgical Engineering from the University of Illinois and an M.B.A. from Northwestern University.</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Benjamin L. Scott</w:t>
      </w:r>
      <w:r>
        <w:rPr>
          <w:rFonts w:ascii="Arial" w:cs="Arial" w:eastAsia="Arial" w:hAnsi="Arial"/>
          <w:sz w:val="16"/>
          <w:szCs w:val="16"/>
          <w:color w:val="auto"/>
        </w:rPr>
        <w:t>, 58, has served as a member of our Board of Directors since March 2002 and as Chairman of the Board of Directors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2007. Since May 2002, Mr. Scott has served as a Venture Partner with Austin Ventures, a venture capital firm. From January 2000 to May 2002, Mr. Scott served as a Partner with Quadrant Management, a venture capital firm. From October 1997 to November 1999, Mr. Scott served as the Chairman and Chief Executive Officer of IXC Communications, a public provider of data and voice communications services that is now known as Broadwing Communications. Mr. Scott has served as a senior executive with AT&amp;T, PrimeCo and Bell Atlantic. Mr. Scott also serves on the boards of directors of several private companies and holds a B.S. in Psychology from Virginia Polytechnic Institute and State University.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III Director With Term Expiring at the 2009 Annual Meeting of Stockholders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Ake Almgren</w:t>
      </w:r>
      <w:r>
        <w:rPr>
          <w:rFonts w:ascii="Arial" w:cs="Arial" w:eastAsia="Arial" w:hAnsi="Arial"/>
          <w:sz w:val="16"/>
          <w:szCs w:val="16"/>
          <w:color w:val="auto"/>
        </w:rPr>
        <w:t>, 61, has served as a member of our Board of Directors since March 2004. Since May 2003, Dr. Almgren has served as President of his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company, ORKAS Corp. From July 1998 to May 2003, Dr. Almgren served as Chairman and Chief Executive Officer of Capstone Turbine Corp. Prior to his employment at Capstone, Dr. Almgren had a 26-year career at ASEA Brown Boveri Limited (ABB), a worldwide power solutions company, where he held the position of worldwide Business Area Manager for Distribution Transformers and managed the operation of 36 plants in 28 countries. He also was President of ABB Power T&amp;D Company, President of ABB Power Distribution, and President of ABB Power Systems during his tenure at ABB. Dr. Almgren also serves on the board of managers of PJM Interconnect LLC. Dr. Almgren holds a Ph.D. in Engineering from Linkopings Tekniska Hogskola in Sweden and a Masters of Mechanical Engineering from the Royal Institute of Technology in Stockholm, Sweden.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has adopted corporate governance guidelines under its “Code of Business Conduct and Ethics” which are available on the Company’s website at www.activepower.com under the “About Us” tab under the heading of “Investor Relations” and sub-heading of “Corporate Governance”. It is also available in print for any stockholder who requests it. These guidelines were adopted by the Board to ensure that the Board is independent of management, that the Board adequately performs its function as the overseer of management and to help ensure that the interests of the Board and management align with the interest of the stockholders.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an annual basis, each director and executive officer is obligated to complete a Directors and Officers Questionnaire which requires disclosure of any transactions with the Company in which the director or executive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or any member of his or her immediate family, have a direct or indirect material interest. Pursuant to the Code of Business Conduct and Ethics, the Board is charged with resolving any conflicts of interest involving the Chief Executive Officer, the Chief Financial Officer or any executive officer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In accordance with the Nasdaq listing requirements, the Board of Directors has determined the independence of each Director and nominee for election as Director in accordance with the guidelines it has adopted. Based on those standards, at its meetings held in January 2008 and March 2008, the Board determined that each of Messrs. Almgren, Anderson, Bond, Lindelow, Scott and DeVenny, our non-employee directors are “independent directors” as defined in Rule 4200(a)</w:t>
      </w:r>
    </w:p>
    <w:p>
      <w:pPr>
        <w:spacing w:after="0" w:line="1" w:lineRule="exact"/>
        <w:rPr>
          <w:sz w:val="20"/>
          <w:szCs w:val="20"/>
          <w:color w:val="auto"/>
        </w:rPr>
      </w:pPr>
    </w:p>
    <w:p>
      <w:pPr>
        <w:ind w:right="200" w:firstLine="8"/>
        <w:spacing w:after="0" w:line="261" w:lineRule="auto"/>
        <w:tabs>
          <w:tab w:leader="none" w:pos="336"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Nasdaq Marketplace Rules, and has no relationship with the Company except as a Director and stockholder of the Company, unless otherwise stated under “Certain Transactions” in the Compensation Discussion and Analysis section of this proxy.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Candidates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screening potential director candidates and recommending qualified candidates to the Board for nomination. The Nominating and Corporate Governance Committee believes that candidates for director should have certain attributes, including leadership, independence, interpersonal skills, financial acumen, business experience, industry knowledge, integrity, competence, diversity of viewpoints and dedication. The Committee considers recommendations of potential candidates from current directors, management and stockholders. Stockholders’ nominations for directors must be made in writing and be addressed to the Chairman of the Nominating and Corporate Governance Committee in care of the Secretary of the Company at the Company’s headquarters address listed below, and must be received no later than December 15, 2008 in order to be included in the proxy statement for the next annual election of directors.</w:t>
      </w:r>
    </w:p>
    <w:p>
      <w:pPr>
        <w:spacing w:after="0" w:line="1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Chairman of the Nominating and Corporate Governance Committee</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such stockholder nomination notice should clearly indicate that it is a recommendation of a director candidate by a stockholder and must set forth</w:t>
      </w:r>
    </w:p>
    <w:p>
      <w:pPr>
        <w:spacing w:after="0" w:line="38" w:lineRule="exact"/>
        <w:rPr>
          <w:sz w:val="20"/>
          <w:szCs w:val="20"/>
          <w:color w:val="auto"/>
        </w:rPr>
      </w:pPr>
    </w:p>
    <w:p>
      <w:pPr>
        <w:ind w:right="20" w:firstLine="8"/>
        <w:spacing w:after="0" w:line="286"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name, age, business address and residential address of the recommended candidate; (ii) the principal occupation or employment of such recommended candidate; (iii) the class and number of shares of our stock that are beneficially owned by such recommended candidate; (iv) a description of all understandings or arrangements between the stockholder and the recommended candidate and any other person or persons pursuant to which the recommendations are to be made by the stockholder; and (v) any other information relating to such recommended candidate that is required to be disclosed in solicitations of proxies for the election of directors. In addition, such notice must contain (i) a representation that the stockholder is a holder of record of our common stock entitled to vote at such meeting; (ii) the name and address, as they appear on our books, of the stockholder proposing such nomination; (iii) the class and number of shares of our common stock that are beneficially owned by such stockholder; (iv) any material interest of the stockholder in such recommendation; and (v) any other information that is required to be provided by the stockholder pursuant to Regulation 14A under the Securities Exchange Act of 1934, as amended, in such stockholder’s capacity as proponent of a stockholder proposal. Assuming that a stockholder recommendation contains the information required above, the Nominating and Corporate Governance Committee will evaluate a candidate recommended by a stockholder by following substantially the same process, and applying substantially the same criteria, as for candidates identified through other sources.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Communications with the Board</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Stockholders and other interested parties may communicate with one or more members of the Board or the non-management directors as a group in writing by regular mail or via email. The following address may be used by those who wish to send such communications by regular mail:</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 or [Name of Individual Director(s)]</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Active Power,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Secretary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2128 West Braker Lane, BK12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Austin, Texas 78758</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Stockholders who wish to send such communications electronically may do so via the “Contact Us” tab on the Company’s internet site at www.activepower.com. You may leave a message to any one or a combination of directors.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w:t>
      </w:r>
    </w:p>
    <w:p>
      <w:pPr>
        <w:spacing w:after="0" w:line="11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The Board has instructed the Secretary to review all communications so received (via regular or electronic mail), and to exercise his discretion not to forward to the Board correspondence that is inappropriate such as business solicitations, frivolous communications, advertising and personal grievances. However, any Director may at any time request the Secretary to forward any and all communications received by the Secretary and not forwarded to the Board.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Code of Business Conduct and Ethics, which is the Company’s code of ethics applicable to all Directors, officer, employees and consultants worldwide, embodies the Company’s global principles and practices relating to the ethical conduct of the Company’s business and its long-standing commitment to honesty, fair dealing and full compliance with all laws affecting the Company’s business. The Code of Business Conduct and Ethics is intended to comply with Item 406 of Regulation S-K of the Securities Exchange Act of 1934 and with Nasdaq listing requirements. Our Code of Business Conduct and Ethics is posted on our Internet website under the “Corporate Governance” tab of our “Investor Relations” page, which can be found by clicking on “About Us” from our Internet website located at www.activepower.com.</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Board has established a means for employees, customers, suppliers, stockholders and other interested parties to submit confidential and anonymous reports of suspected or actual violations of the Company’s Code of Business Conduct and Ethics relating, among other things, to:</w:t>
      </w:r>
    </w:p>
    <w:p>
      <w:pPr>
        <w:spacing w:after="0" w:line="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practices, internal accounting controls or auditing matters and procedures;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Theft or fraud of any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and execution of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Violations of securities and antitrust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Violations of the Foreign Corrupt Practices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stockholder, employee or interested party can call the following toll-free number to submit a report.</w:t>
      </w:r>
    </w:p>
    <w:p>
      <w:pPr>
        <w:spacing w:after="0" w:line="16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1-800-625-1731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is operational 24 hours a day, seven days a week.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AND COMMITTEES OF THE BOARD</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director is expected to devote sufficient time, energy and attention to ensure diligent performance of his or her duties and to attend all Board, committee and stockholders’ meetings. In 2007 the Board of Directors met 15 times and did not act by written consent. Other than Mr. Richard Anderson and Mr. Brad Boston, all directors attended or participated in at least 75% of the meetings of the Board or committees on which they served during the year ended December 31, 2007. In 2007, Mr. Anderson attended 67% of the meetings of the Board and Mr. Boston attended 27% of the meetings of the Board and 30% of the meetings of the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Board has three standing committees to facilitate and assist the Board in the execution of its responsibilities. The committees are currently the Audit Committee, the Compensation Committee and the Nominating and Corporate Governance Committee. In accordance with best practice and the Nasdaq listing requirements, all the committees are comprised solely of non-employee, independent directors. Charters for each of the Committees are available on the Company’s website at www.activepower.com under the “About Us” tab and heading of Investor Relations and subheading of “Corporate Governance”. The charter of each committee is also available in print to any stockholder who requests it. The table below shows current membership of each of the standing Board Committees: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7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Audit Committee</w:t>
            </w:r>
          </w:p>
        </w:tc>
        <w:tc>
          <w:tcPr>
            <w:tcW w:w="3160" w:type="dxa"/>
            <w:vAlign w:val="bottom"/>
            <w:gridSpan w:val="2"/>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 Committee</w:t>
            </w:r>
          </w:p>
        </w:tc>
        <w:tc>
          <w:tcPr>
            <w:tcW w:w="2160" w:type="dxa"/>
            <w:vAlign w:val="bottom"/>
          </w:tcPr>
          <w:p>
            <w:pPr>
              <w:spacing w:after="0"/>
              <w:rPr>
                <w:sz w:val="15"/>
                <w:szCs w:val="15"/>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4240" w:type="dxa"/>
            <w:vAlign w:val="bottom"/>
            <w:gridSpan w:val="3"/>
          </w:tcPr>
          <w:p>
            <w:pPr>
              <w:spacing w:after="0" w:line="201" w:lineRule="exact"/>
              <w:rPr>
                <w:sz w:val="20"/>
                <w:szCs w:val="20"/>
                <w:color w:val="auto"/>
              </w:rPr>
            </w:pPr>
            <w:r>
              <w:rPr>
                <w:rFonts w:ascii="Arial" w:cs="Arial" w:eastAsia="Arial" w:hAnsi="Arial"/>
                <w:sz w:val="18"/>
                <w:szCs w:val="18"/>
                <w:color w:val="auto"/>
              </w:rPr>
              <w:t>Rodney S. Bond*</w:t>
            </w: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Benjamin L. Scott*</w:t>
            </w:r>
          </w:p>
        </w:tc>
        <w:tc>
          <w:tcPr>
            <w:tcW w:w="216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Richard E. Anderson*</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Ake Almgren</w:t>
            </w:r>
          </w:p>
        </w:tc>
        <w:tc>
          <w:tcPr>
            <w:tcW w:w="1600" w:type="dxa"/>
            <w:vAlign w:val="bottom"/>
          </w:tcPr>
          <w:p>
            <w:pPr>
              <w:spacing w:after="0"/>
              <w:rPr>
                <w:sz w:val="20"/>
                <w:szCs w:val="20"/>
                <w:color w:val="auto"/>
              </w:rPr>
            </w:pPr>
            <w:r>
              <w:rPr>
                <w:rFonts w:ascii="Arial" w:cs="Arial" w:eastAsia="Arial" w:hAnsi="Arial"/>
                <w:sz w:val="18"/>
                <w:szCs w:val="18"/>
                <w:color w:val="auto"/>
                <w:w w:val="95"/>
              </w:rPr>
              <w:t>Richard E. Anderson</w:t>
            </w:r>
          </w:p>
        </w:tc>
        <w:tc>
          <w:tcPr>
            <w:tcW w:w="2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Rodney S. Bond</w:t>
            </w:r>
          </w:p>
        </w:tc>
      </w:tr>
      <w:tr>
        <w:trPr>
          <w:trHeight w:val="222"/>
        </w:trPr>
        <w:tc>
          <w:tcPr>
            <w:tcW w:w="4240" w:type="dxa"/>
            <w:vAlign w:val="bottom"/>
            <w:gridSpan w:val="3"/>
          </w:tcPr>
          <w:p>
            <w:pPr>
              <w:spacing w:after="0"/>
              <w:rPr>
                <w:sz w:val="20"/>
                <w:szCs w:val="20"/>
                <w:color w:val="auto"/>
              </w:rPr>
            </w:pPr>
            <w:r>
              <w:rPr>
                <w:rFonts w:ascii="Arial" w:cs="Arial" w:eastAsia="Arial" w:hAnsi="Arial"/>
                <w:sz w:val="18"/>
                <w:szCs w:val="18"/>
                <w:color w:val="auto"/>
              </w:rPr>
              <w:t>Jan H. Lindelow</w:t>
            </w:r>
          </w:p>
        </w:tc>
        <w:tc>
          <w:tcPr>
            <w:tcW w:w="1600" w:type="dxa"/>
            <w:vAlign w:val="bottom"/>
          </w:tcPr>
          <w:p>
            <w:pPr>
              <w:spacing w:after="0"/>
              <w:rPr>
                <w:sz w:val="20"/>
                <w:szCs w:val="20"/>
                <w:color w:val="auto"/>
              </w:rPr>
            </w:pPr>
            <w:r>
              <w:rPr>
                <w:rFonts w:ascii="Arial" w:cs="Arial" w:eastAsia="Arial" w:hAnsi="Arial"/>
                <w:sz w:val="18"/>
                <w:szCs w:val="18"/>
                <w:color w:val="auto"/>
              </w:rPr>
              <w:t>Ake Almgren</w:t>
            </w:r>
          </w:p>
        </w:tc>
        <w:tc>
          <w:tcPr>
            <w:tcW w:w="2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Benjamin L. Scott</w:t>
            </w:r>
          </w:p>
        </w:tc>
      </w:tr>
      <w:tr>
        <w:trPr>
          <w:trHeight w:val="110"/>
        </w:trPr>
        <w:tc>
          <w:tcPr>
            <w:tcW w:w="1160" w:type="dxa"/>
            <w:vAlign w:val="bottom"/>
            <w:tcBorders>
              <w:bottom w:val="single" w:sz="8" w:color="auto"/>
            </w:tcBorders>
            <w:gridSpan w:val="2"/>
          </w:tcPr>
          <w:p>
            <w:pPr>
              <w:spacing w:after="0"/>
              <w:rPr>
                <w:sz w:val="9"/>
                <w:szCs w:val="9"/>
                <w:color w:val="auto"/>
              </w:rPr>
            </w:pPr>
          </w:p>
        </w:tc>
        <w:tc>
          <w:tcPr>
            <w:tcW w:w="3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20" w:type="dxa"/>
            <w:vAlign w:val="bottom"/>
          </w:tcPr>
          <w:p>
            <w:pPr>
              <w:spacing w:after="0"/>
              <w:rPr>
                <w:sz w:val="9"/>
                <w:szCs w:val="9"/>
                <w:color w:val="auto"/>
              </w:rPr>
            </w:pPr>
          </w:p>
        </w:tc>
      </w:tr>
      <w:tr>
        <w:trPr>
          <w:trHeight w:val="235"/>
        </w:trPr>
        <w:tc>
          <w:tcPr>
            <w:tcW w:w="4240" w:type="dxa"/>
            <w:vAlign w:val="bottom"/>
            <w:gridSpan w:val="3"/>
          </w:tcPr>
          <w:p>
            <w:pPr>
              <w:spacing w:after="0"/>
              <w:rPr>
                <w:sz w:val="20"/>
                <w:szCs w:val="20"/>
                <w:color w:val="auto"/>
              </w:rPr>
            </w:pPr>
            <w:r>
              <w:rPr>
                <w:rFonts w:ascii="Arial" w:cs="Arial" w:eastAsia="Arial" w:hAnsi="Arial"/>
                <w:sz w:val="18"/>
                <w:szCs w:val="18"/>
                <w:color w:val="auto"/>
              </w:rPr>
              <w:t>*  - Committee Chairman</w:t>
            </w:r>
          </w:p>
        </w:tc>
        <w:tc>
          <w:tcPr>
            <w:tcW w:w="1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5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the standing committees mentioned above, the Board convenes special committees to consider various other matters as they arise. In December 2006 the Board formed a Special Committee to review the Company’s historical stock option granting procedures. This committee was comprised of Messrs. Boston (until his resignation as a director) and Bond.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responsible for the selection, retention and oversight of our independent auditors. In addition, the Audit Committee reports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with regard to:</w:t>
      </w:r>
    </w:p>
    <w:p>
      <w:pPr>
        <w:spacing w:after="0" w:line="8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of our annual audits and fees to be paid to auditors;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integrity of our financial statements and the compliance with our accounting and financial policies;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Audit Committee is further responsible to pre-approve all audit and non-audit services performed by our independent auditors. The members of the Audit Committee throughout 2007 and as of December 31, 2007 were Messrs. Bond, Lindelow, and Almgren. Mr. Bond serves as the Chairman of the Audit Committee. The Audit Committee held six meetings during 2007. The Board has determined that all members of the Audit Committee are “independent” as that term is defined in Rule 4200(a)(15) of the Nasdaq Marketplace Rules. The Board of Directors has determined that Mr. Bond is qualified as an “audit committee financial expert” under Item 401(h) of Regulation S-K.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Committee reviews and makes recommendations to the Board of Directors regarding our compensation policies and all forms of compensation to be provided to our directors, executive officers and certain other key employees. The Compensation Committee also manages the granting of stock options to new and existing employees. The Compensation Committee reviews bonus arrangements for all of our executive officers and stock compensation for our new and existing employees. The Compensation Committee also administers our stock option plan. The members of the Compensation Committee during 2007 were Messrs. Almgren, Boston (through July 2007), Scott and Anderson (since July 2007). Mr. Scott serves as Chairman of the Compensation Committee. The Compensation Committee held 10 meetings during 2007. The Board of Directors has determined that all members of the Compensation Committee are “independent” as that term is defined in Rule 4200(a)(15) of the Nasdaq Marketplace Rules.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was established in March 2005 to assist our Board of Directors in fulfilling its responsibilities for identifying qualified individuals to become members of the Board of Directors; determining the composition of the Board of Directors and its committees; monitoring the effectiveness of the Board of Directors and facilitating the measurement of the effectiveness of its committees; and developing, monitoring and evaluating sound corporate governance policies and procedures promoting honest and ethical conduct, including policies pertaining to the identification and treatment of conflicts of interest. The members of the Nominating and Corporate Governance Committee during 2007 were Messrs. Anderson, Bond and Scott, with Mr. Scott serving as its Chairman until July 2007 at which point Mr. Anderson became Chairman. The Nominating and Corporate Governance Committee held two meetings during fiscal 2007. The Board of Directors has determined that each member is an “independent director” as defined in Rule 4200(a)(15) of the Nasdaq Marketplace Rules.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Option Committee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Special Option Committee is a committee of our Board of Directors composed of Messrs. Boston (until his resignation as a director) and Bond that was tasked with the responsibility for over seeing a review of the Company’s historical stock option granting and related procedures. This Committee was formed in December 2006 and completed its principal task by delivering its final report and recommendations to the full Board in May 2007. This Committee has continued to oversee the Company’s resolution of matters and other regulatory investigations relating to their investigation and report on an ad hoc basis to the Board as required. During 2007 this Committee held three formal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Meetings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January 2003, the independent members of our Board of Directors resolved to meet separately from the full Board of Directors and outside the presence of our management. At the time of this resolution, the Company’s founder served as Chairman of the Board and also as the Company’s Chief Executive Officer. With a change in our Chief Executive Officer in May 2006, the Board of Directors elected to continue this practice to allow independent directors to meet without the presence of management. The independent directors of the Board met 15 times during 2007. Benjamin Scott, our Chairman, leads these meetings. These meetings are held in conjunction with each regularly scheduled meeting of our Board of Directors. Any of our directors may request a session comprising of only independent directors at any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Four of our seven directors attended our Annual Meeting of Stockholders held on June 28,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members of the compensation committee are independent directors, and none of them are past or present employees or officers of the Company or any of our subsidiaries. No member of our compensation committee has any relationship with us requiring disclosure under Item 404 of Regulation S-K under the Exchange Act. None of our executive officers has served on a board or compensation committee (or other committee serving an equivalent function) of any other entity, one of whose executive officers serve on our Board or our Compensation Committee.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3" w:name="page14"/>
    <w:bookmarkEnd w:id="13"/>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reports as follows with respect to the audit of our fiscal 2007 audited financial statements: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Management is responsible for Active Power’s internal controls and the financial reporting process. The independent auditors are responsible for performing an independent audit of Active Power’s financial statements and internal controls in accordance with U.S. generally accepted auditing standards and to issue a report thereon. The Audit Committee’s responsibility is to monitor and oversee these processes.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U.S. generally accepted accounting principles, and the Audit Committee has reviewed and discussed the financial statements with management and the independent auditors. The Audit Committee has also met and held discussions with management and the independent auditors regarding Active Power’s internal controls. Management provided the Audit Committee management’s assessment of the Company’s internal controls, and the Audit Committee has reviewed and discussed the internal controls with management and the independent auditors. The Audit Committee discussed with the independent auditors matters required to be discussed by Statement on Auditing Standards No. 61 (Communication with Audit Committees).</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Active Power’s independent auditors also provided to the Audit Committee the written disclosures required by Independence Standards Board Standard No. 1 (Independence Discussions with Audit Committees), and the Audit Committee discussed with the independent auditors that firm’s independence and considered the compatibility of non-audit services with the independent auditors’ independence.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reports of the independent auditors to the Audit Committee, the Audit Committee recommended that the Board of Directors include the audited financial statements and assessment of internal controls in Active Power’s Annual Report on Form 10-K for the year ended December 31, 2007 filed with the Securities and Exchange Commission.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Rodney S. Bond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Ake Almgren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Jan H. Lindelow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Compensation Committee is responsible for discharging the responsibilities of the board with respect to compensation of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may retain the services of an outside compensation consultant and consider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recommended to the full Board of Directors for ratification.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is also responsible for administering our equity-based plans. The Committee established a formal stock approval policy in February 2007 to govern the administration of granting equity-based awards to directors, officers and employees. The Compensation Committee also periodically reviews our equity-based plans and makes its recommendations to the Board with respect to these areas.</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(the “CD&amp;A”) for the year ended December 31, 2007 with management. In reliance on the reviews and discussions referred to above, the Compensation Committee recommended to the Board, and the Board has approved, that the CD&amp;A be included in the proxy statement for the year ended December 31, 2007 for filing with the SEC.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Benjamin L. Scott (Chair)</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Ake Almgren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E. Anderson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biographical information concerning our current executive officers and a key employee: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322"/>
        </w:trPr>
        <w:tc>
          <w:tcPr>
            <w:tcW w:w="342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Vice President of Finance, Chief Financial Officer and Secretary</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Sales—EMEA</w:t>
            </w:r>
          </w:p>
        </w:tc>
        <w:tc>
          <w:tcPr>
            <w:tcW w:w="0" w:type="dxa"/>
            <w:vAlign w:val="bottom"/>
          </w:tcPr>
          <w:p>
            <w:pPr>
              <w:spacing w:after="0"/>
              <w:rPr>
                <w:sz w:val="1"/>
                <w:szCs w:val="1"/>
                <w:color w:val="auto"/>
              </w:rPr>
            </w:pPr>
          </w:p>
        </w:tc>
      </w:tr>
      <w:tr>
        <w:trPr>
          <w:trHeight w:val="322"/>
        </w:trPr>
        <w:tc>
          <w:tcPr>
            <w:tcW w:w="3420" w:type="dxa"/>
            <w:vAlign w:val="bottom"/>
            <w:gridSpan w:val="3"/>
          </w:tcPr>
          <w:p>
            <w:pPr>
              <w:spacing w:after="0"/>
              <w:rPr>
                <w:sz w:val="20"/>
                <w:szCs w:val="20"/>
                <w:color w:val="auto"/>
              </w:rPr>
            </w:pPr>
            <w:r>
              <w:rPr>
                <w:rFonts w:ascii="Arial" w:cs="Arial" w:eastAsia="Arial" w:hAnsi="Arial"/>
                <w:sz w:val="18"/>
                <w:szCs w:val="18"/>
                <w:color w:val="auto"/>
              </w:rPr>
              <w:t>Gary P. Rackow</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Vice President Sales—Americas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Lisa M. Brown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President—Marketing &amp; Sales Operations</w:t>
            </w:r>
          </w:p>
        </w:tc>
        <w:tc>
          <w:tcPr>
            <w:tcW w:w="0" w:type="dxa"/>
            <w:vAlign w:val="bottom"/>
          </w:tcPr>
          <w:p>
            <w:pPr>
              <w:spacing w:after="0"/>
              <w:rPr>
                <w:sz w:val="1"/>
                <w:szCs w:val="1"/>
                <w:color w:val="auto"/>
              </w:rPr>
            </w:pPr>
          </w:p>
        </w:tc>
      </w:tr>
      <w:tr>
        <w:trPr>
          <w:trHeight w:val="322"/>
        </w:trPr>
        <w:tc>
          <w:tcPr>
            <w:tcW w:w="3420" w:type="dxa"/>
            <w:vAlign w:val="bottom"/>
            <w:gridSpan w:val="3"/>
          </w:tcPr>
          <w:p>
            <w:pPr>
              <w:spacing w:after="0"/>
              <w:rPr>
                <w:sz w:val="20"/>
                <w:szCs w:val="20"/>
                <w:color w:val="auto"/>
              </w:rPr>
            </w:pPr>
            <w:r>
              <w:rPr>
                <w:rFonts w:ascii="Arial" w:cs="Arial" w:eastAsia="Arial" w:hAnsi="Arial"/>
                <w:sz w:val="18"/>
                <w:szCs w:val="18"/>
                <w:color w:val="auto"/>
              </w:rPr>
              <w:t>Karl T. Schuetze</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P. Rubin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President—Manufacturing</w:t>
            </w:r>
          </w:p>
        </w:tc>
        <w:tc>
          <w:tcPr>
            <w:tcW w:w="0" w:type="dxa"/>
            <w:vAlign w:val="bottom"/>
          </w:tcPr>
          <w:p>
            <w:pPr>
              <w:spacing w:after="0"/>
              <w:rPr>
                <w:sz w:val="1"/>
                <w:szCs w:val="1"/>
                <w:color w:val="auto"/>
              </w:rPr>
            </w:pPr>
          </w:p>
        </w:tc>
      </w:tr>
      <w:tr>
        <w:trPr>
          <w:trHeight w:val="322"/>
        </w:trPr>
        <w:tc>
          <w:tcPr>
            <w:tcW w:w="3420" w:type="dxa"/>
            <w:vAlign w:val="bottom"/>
            <w:gridSpan w:val="3"/>
          </w:tcPr>
          <w:p>
            <w:pPr>
              <w:spacing w:after="0"/>
              <w:rPr>
                <w:sz w:val="20"/>
                <w:szCs w:val="20"/>
                <w:color w:val="auto"/>
              </w:rPr>
            </w:pPr>
            <w:r>
              <w:rPr>
                <w:rFonts w:ascii="Arial" w:cs="Arial" w:eastAsia="Arial" w:hAnsi="Arial"/>
                <w:sz w:val="18"/>
                <w:szCs w:val="18"/>
                <w:color w:val="auto"/>
              </w:rPr>
              <w:t>Uwe Schrader-Hausmann</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Vice President—Technical Services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Perkins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8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James A. Clishem </w:t>
      </w:r>
      <w:r>
        <w:rPr>
          <w:rFonts w:ascii="Arial" w:cs="Arial" w:eastAsia="Arial" w:hAnsi="Arial"/>
          <w:sz w:val="16"/>
          <w:szCs w:val="16"/>
          <w:color w:val="auto"/>
        </w:rPr>
        <w:t>was hired as our Vice President of Business Development in June 2005. He was promoted to be our President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November 2005 and promoted to Chief Executive Officer in May 2006. He became one of our directors in June 2006. Mr. Clishem came to Active Power from Peregrine Systems, Inc., a publicly traded enterprise software company, where he served as Vice President of Business Development focusing on global alliances since 2004. From 1999 until it was sold in 2004, he was founder, President &amp; CEO of Xodiax, a profitable managed IT services business, which was recognized by Inc Magazine as one of the fastest growing privately held companies in the country. Mr. Clishem also served as Vice President of Data Services for Broadwing Communications, where he had responsibility for a $150 million business unit. He has also held various senior roles at MCI, Ericsson, and Tandem Computers. Mr. Clishem holds a B.S. and M.S. in Electrical Engineering from the University of Louisville and an M.B.A from Southern Methodist University in Dallas, Texas.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John K. Penver </w:t>
      </w:r>
      <w:r>
        <w:rPr>
          <w:rFonts w:ascii="Arial" w:cs="Arial" w:eastAsia="Arial" w:hAnsi="Arial"/>
          <w:sz w:val="16"/>
          <w:szCs w:val="16"/>
          <w:color w:val="auto"/>
        </w:rPr>
        <w:t>was hired in February 2005 to become our Chief Financial Officer and Vice President of Finance. From May 2004 to February 2005,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Mr. Penver served as Chief Financial Officer of PerformanceRetail, Inc., a privately held retail management software company. Prior to that, Mr. Penver served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of Factory Logic, Inc., a privately held enterprise-application software company, from September 2002 to April 2004. From October 2001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 August 2002, Mr. Penver served as an independent business consultant to several privately held companies. From March 2000 to September 2001, Mr. Penver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served as Chief Financial Officer and Vice President of Finance and Human Resources for Yclip Corporation, a privately held internet-marketing software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From February 1997 through March 2000, Mr. Penver was Vice President of Finance for Silicon Gaming, Inc., a publicly traded manufacturer of high-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slot machines for the gaming industry. Mr. Penver is a Certified Public Accountant and a Chartered Accountant, and holds a Bachelor of Business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Accounting from Monash University in Australia and an M.B.A. from Santa Clara University in California.</w:t>
      </w:r>
    </w:p>
    <w:p>
      <w:pPr>
        <w:spacing w:after="0" w:line="15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James M. Murphy </w:t>
      </w:r>
      <w:r>
        <w:rPr>
          <w:rFonts w:ascii="Arial" w:cs="Arial" w:eastAsia="Arial" w:hAnsi="Arial"/>
          <w:sz w:val="18"/>
          <w:szCs w:val="18"/>
          <w:color w:val="auto"/>
        </w:rPr>
        <w:t>joined Active Power in November 2005 as Director of Sales for Northern Europe and was promoted to Vice President of Sales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EMEA and Asia Pacific regions in March 2007. He is responsible for managing Active Power’s customer relationships and sales growth in Europe, the Middle East,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Africa, Japan, Korea and Southeast Asia. Prior to joining Active Power, Mr. Murphy most recently spent 11 years between 1994 and 2005 as a sales director for Piller UK, Ltd., a European manufacturer of rotary UPS products. He also has prior power industry sales experience with Leroy Somer Ltd. and BICC Ltd. in the United Kingdom. Mr. Murphy holds a degree in Electrical and Electronic Engineering from Liverpool University and is a member of the Institute of Electrical Incorporated Engineers.</w:t>
      </w:r>
    </w:p>
    <w:p>
      <w:pPr>
        <w:spacing w:after="0" w:line="13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 xml:space="preserve">Gary P. Rackow </w:t>
      </w:r>
      <w:r>
        <w:rPr>
          <w:rFonts w:ascii="Arial" w:cs="Arial" w:eastAsia="Arial" w:hAnsi="Arial"/>
          <w:sz w:val="18"/>
          <w:szCs w:val="18"/>
          <w:color w:val="auto"/>
        </w:rPr>
        <w:t>was hired in October 2006 as Vice President of Sales for the Americas. He is responsible for managing Active Power’s multi-channel</w:t>
      </w:r>
      <w:r>
        <w:rPr>
          <w:rFonts w:ascii="Arial" w:cs="Arial" w:eastAsia="Arial" w:hAnsi="Arial"/>
          <w:sz w:val="18"/>
          <w:szCs w:val="18"/>
          <w:b w:val="1"/>
          <w:bCs w:val="1"/>
          <w:color w:val="auto"/>
        </w:rPr>
        <w:t xml:space="preserve"> </w:t>
      </w:r>
      <w:r>
        <w:rPr>
          <w:rFonts w:ascii="Arial" w:cs="Arial" w:eastAsia="Arial" w:hAnsi="Arial"/>
          <w:sz w:val="18"/>
          <w:szCs w:val="18"/>
          <w:color w:val="auto"/>
        </w:rPr>
        <w:t>sales strategy to drive sales growth and market penetration in North America and Latin America. Prior to joining Active Power, Mr. Rackow most recently worked for Piller, Inc., the US subsidiary of RWE Piller GmbH, a European manufacturer of rotary UPS products, for 14 years where he most recently was Vice President of Sales &amp; Marketing. He also has 10 years executive experience with General Electric as a product and application engineer for power distribution equipment, motor drives, Uninterruptible Power Systems and process controls. Mr. Rackow holds a Bachelor of Science degree in electrical engineering from the Polytechnic Institute of Brooklyn. He has been a registered Professional Engineer for more than 20 years and is a member of IEEE Industry Application Society (IAS).</w:t>
      </w:r>
    </w:p>
    <w:p>
      <w:pPr>
        <w:spacing w:after="0" w:line="14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Lisa M. Brown </w:t>
      </w:r>
      <w:r>
        <w:rPr>
          <w:rFonts w:ascii="Arial" w:cs="Arial" w:eastAsia="Arial" w:hAnsi="Arial"/>
          <w:sz w:val="18"/>
          <w:szCs w:val="18"/>
          <w:color w:val="auto"/>
        </w:rPr>
        <w:t>was hired in December 2005 as our Vice President of Marketing and Sales Operations. In this role she is responsible for all of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and corporate marketing, product development, public relations and sales operations functions. Prior to joining Active Power Ms. Brown spent 14 years with Broadwing Communications, a telecommunications infrastructure provider where she held executive positions including Vice President of Marketing, Sales Operations and Customer Operations. Ms. Brown holds a Bachelor of Science degree in Business Administration, Finance, from Bloomsburg University in Pennsylvania.</w:t>
      </w:r>
    </w:p>
    <w:p>
      <w:pPr>
        <w:spacing w:after="0" w:line="13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Karl T. Schuetze </w:t>
      </w:r>
      <w:r>
        <w:rPr>
          <w:rFonts w:ascii="Arial" w:cs="Arial" w:eastAsia="Arial" w:hAnsi="Arial"/>
          <w:sz w:val="16"/>
          <w:szCs w:val="16"/>
          <w:color w:val="auto"/>
        </w:rPr>
        <w:t>joined Active Power in April 2000 as a development engineer and held several positions, including Manager of Mechanical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being promoted to Vice President of Engineering in July 2007. In this role Dr. Schuetze is responsible for the design and development of all of the Company’s products. Prior to joining Active Power Dr. Schuetze had prior engineering and management experience with organizations including Advanced Systems Integration, the University of Texas at Austin,’s Center for Electromechanics, McDonald Douglas, General Dynamics. He was also an officer in the U.S. Army Reserves. Dr. Schuetze holds a Ph.D. in Mechanical Engineering from the University of Texas at Austin, a Masters of Science degree in Mechanical Engineering from the University of Texas at Arlington and a Bachelor of Science degree in Mechanical Engineering from Virginia Tech University. He also holds several patents relating to fluid pressure technologies.</w:t>
      </w:r>
    </w:p>
    <w:p>
      <w:pPr>
        <w:spacing w:after="0" w:line="11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Jason P. Rubin </w:t>
      </w:r>
      <w:r>
        <w:rPr>
          <w:rFonts w:ascii="Arial" w:cs="Arial" w:eastAsia="Arial" w:hAnsi="Arial"/>
          <w:sz w:val="16"/>
          <w:szCs w:val="16"/>
          <w:color w:val="auto"/>
        </w:rPr>
        <w:t>joined Active Power in March 2000 as a production planner and held various positions in our manufacturing group before being promoted</w:t>
      </w:r>
      <w:r>
        <w:rPr>
          <w:rFonts w:ascii="Arial" w:cs="Arial" w:eastAsia="Arial" w:hAnsi="Arial"/>
          <w:sz w:val="16"/>
          <w:szCs w:val="16"/>
          <w:b w:val="1"/>
          <w:bCs w:val="1"/>
          <w:color w:val="auto"/>
        </w:rPr>
        <w:t xml:space="preserve"> </w:t>
      </w:r>
      <w:r>
        <w:rPr>
          <w:rFonts w:ascii="Arial" w:cs="Arial" w:eastAsia="Arial" w:hAnsi="Arial"/>
          <w:sz w:val="16"/>
          <w:szCs w:val="16"/>
          <w:color w:val="auto"/>
        </w:rPr>
        <w:t>to Vice President of Manufacturing in October 2005. In this role Mr. Rubin is responsible for the manufacture and testing of all Active Power products as well as managing all material and logistic requirements to support production. Mr. Rubin has over 15 years of manufacturing experience in multiple industries and immediately prior to joining Active Power was involved in managing operations and manufacturing systems for Windsport, Inc., a fabricated textile manufacturer. Mr. Rubin holds a Bachelor of Science degree in Industrial Engineering from the University of Oklahoma at Norman.</w:t>
      </w:r>
    </w:p>
    <w:p>
      <w:pPr>
        <w:spacing w:after="0" w:line="10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Uwe Schrader-Hausmann </w:t>
      </w:r>
      <w:r>
        <w:rPr>
          <w:rFonts w:ascii="Arial" w:cs="Arial" w:eastAsia="Arial" w:hAnsi="Arial"/>
          <w:sz w:val="18"/>
          <w:szCs w:val="18"/>
          <w:color w:val="auto"/>
        </w:rPr>
        <w:t>joined Active Power in August 2005 and held various positions in our EMEA sales engineering group and as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Active Power (Germany) GmbH before being promoted to Vice President – Technical Services in October 2007. In this role he is responsible for all customer-facing technical service functions including applications engineering, project management, project implementation and customer service activities on a global basis. Mr. Schrader-Hausmann has over 28 years experience in the UPS industry. Prior to joining Active Power, he spent 26 years with Piller Power Systems GmbH, a German-based rotary UPS manufacturer, most recently as Chief Technical Officer. He also has UPS experience with Max Mueller Gildemeister GmbH in Germany. Mr. Schrader-Hausmann holds a Diplom-Ingeneur (German equivalent of a master of science degree) from The University of Applied Science in Hanover, Germany.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Key Employee</w:t>
      </w:r>
    </w:p>
    <w:p>
      <w:pPr>
        <w:spacing w:after="0" w:line="8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David Perkins </w:t>
      </w:r>
      <w:r>
        <w:rPr>
          <w:rFonts w:ascii="Arial" w:cs="Arial" w:eastAsia="Arial" w:hAnsi="Arial"/>
          <w:sz w:val="16"/>
          <w:szCs w:val="16"/>
          <w:color w:val="auto"/>
        </w:rPr>
        <w:t>joined Active Power in July 1996 and held various positions in our engineering group before being promoted to Chief Technology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April 2005. In this role he is responsible for technical innovation and development of all company products. Prior to joining Active Power, Mr. Perkins was a research engineer for 11 years with The University of Texas at Austin Center for Electro Mechanics, and was involved with numerous electric machine development projects for military and commercial research contracts. Mr. Perkins currently holds five patents with several patents pending. He is a member of the American Society of Mechanical Engineers and ASTM International and is a member of ASTM Committee A01 on Steels and Subcommittee A01.06 on Steel Forgings. Mr. Perkins holds Bachelor of Science and Masters of Science degrees in Mechanical Engineering from the University of Texas at Austin. While Mr. Perkins is not one of our Section 16 executive officers, we consider him to be a key member of our management team.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All of our compensation programs are designed to attract and retain key employees, motivating them to achieve and rewarding them for superior performance. Different programs are geared to short- and longer-term performance with a goal of increasing shareholder value over a longer term. Executive compensation programs impact all of our employees by setting general levels of compensation and helping to create an environment of goals, rewards and expectations.</w:t>
      </w:r>
    </w:p>
    <w:p>
      <w:pPr>
        <w:spacing w:after="0" w:line="14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We believe that the compensation of our executives should reflect their success as a management team, rather than as individuals, in attaining key operating objectives such as revenue growth, reductions in operating losses, achievement of operating profitability and positive cash flow, growth or maintenance of market share and long-term competitive advantage, and ultimately, in attaining an increased market price for our stock. We believe that the performance of our executives in managing the company considered in light of general economic conditions and specific company, country, industry and competitive conditions, should be the basis for determining their overall compensation. We also believe that their compensation should not be based on the short-term performance of our stock, whether favorable or otherwise, but rather that in the long-term the price of our stock will reflect our operating performance and ultimately, the management of the company by our executives. We will also evaluate both performance and compensation to ensure that the company maintains its ability to attract and retain superior executives in key positions and that compensation provided to key employees remains competitive relative to the compensation paid to similarly situated executives of similar or peer companies. To that end, we believe that executive compensation packages provided by the Company to its executives, including its Named Executive Officers, as defined below, should include both cash and stock-based compensation that reward performance against measured goals.</w:t>
      </w:r>
    </w:p>
    <w:p>
      <w:pPr>
        <w:spacing w:after="0" w:line="10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Throughout this proxy statement, the individuals who served as the Company’s Chief Executive Officer and Chief Financial Officer during 2007, as well as the other individuals included in the Summary Compensation Table on page 17, are referred to as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Compensation Committee of the Board of Directors (the “Committee”) makes all compensation decisions for the Named Executive Officers and for all of the executive officers of the Company.</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Chief Executive Officer annually reviews the performance of all of the Company’s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The Committee can exercise its discretion in modifying any recommended adjustments or awards to executives. The Committee may also independently seek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 w:name="page19"/>
    <w:bookmarkEnd w:id="18"/>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relating to salary, equity and market data to validate the information presented by the Chief Executive Officer or to come to its own conclusions and recommendation.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above objectives, the Committee has structured the Company’s annual and long-term incentive-based cash and non-cash executive compensation to motivate executives to achieve the business goals set by the Company, and to reward the executives for achieving such goals. In furtherance of this, the Committee has retained the services of Radford Surveys &amp; Consulting, an outside human resources consulting firm, to conduct an annual survey of its total compensation program for all of its executive officers. Radford provides the Committee with relevant market data and alternatives to consider when making compensation decisions for the Named Executive Officers and for all executive officers of the Company.</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Elements of compensation for our executive officers include: base salary, bonus, stock incentive awards, and health and disability insurance. Base salaries for our executives are set at the regularly scheduled meeting of the Committee in the first quarter of each year (usually in January). At this meeting, the Committee also approves and adopts the management incentive plan for the new financial year, determines the awards from the previous year’s management incentive program objectives, and typically also grants stock-based awards to all of our executive officers and other eligible employees.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the beginning of each year, it has been the practice of the Committee to review the history of all of the elements of each executive officer’s total compensation over each of the past 3-4 years, and compare the compensation of the executive officers with that of other executive officers in an appropriate market comparison group, using comparative data supplied by Radford. The comparative data is typically from other high-technology public companies in North America with similar revenue or expense levels to the Company, but excluding life-science and biotechnology companies. We also include in our comparative peer group other clean-technology or alternative energy companies with whom we are often compared by the financial community. Typically, the Chief Executive Officer makes compensation recommendations to the Committee with respect to the executive officers that report to him. Such executive officers are not present at the time of these discussions. The Committee then makes its compensation recommendations with respect to the Chief Executive Officer, who is absent from such discussions. The Committee may accept or adjust any of the recommendations of the Chief Executive Officer and also makes the sole determination of the Chief Executive Officer’s compensation.</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choose to pay each element of compensation in order to retain and to attract the necessary executive talent, reward annual performance and provide incentive for their balanced focus on long-term strategic goals as well as short-term performance. The amount of each element of compensation is determined by or under the direction of the Committee, which uses the following factors to determine the amount of salary and other benefits to pay each executive: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against corporate and individual objectives for the previous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difficulty of achieving desired results in the coming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value of their unique skills and capabilities to support the long-term growth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performance of their general management capabilities;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contribution as a member of the executive management team.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9" w:name="page20"/>
    <w:bookmarkEnd w:id="1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elements fit into our overall compensation objectives by helping to secure the future potential of our operations, facilitate our entry into new markets, providing proper compliance and regulatory guidance, and helping to create a cohesive team.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use the base salary element of executive compensation to provide the foundation of a fair and competitive compensation opportunity for each Named Executive Officer. We review base salaries annually and target salary compensation at or near the median base salary practices of the market, as reflected in our peer group analysis conducted by Radford, but maintain flexibility to deviate from market-median practices for individual circumstances, including qualifications, experience and responsibilities. The Committee also considers an internal review of the executive’s compensation relative to other executive officers and the individual performance of the executive in establishing the base salary.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management incentive program is an annual cash incentive program that is designed to motivate and reward our executives for their contributions toward the achievement of shorter-term financial and operating goals that we believe drive our operating results and/or create shareholder value.</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this plan, the Committee, with recommendations provided by the Chief Executive Officer, establishes an annual target award for each executive officer, which is typically expressed as a percentage of the executive’s base salary. For 2007 this target award level ranged between 30% and 100% of base salary for our executive officers, depending upon position. Although each executive officer is eligible to receive an award under the plan, the granting of the awards to any individual is entirely at the discretion of the Committee. The Committee may choose to award the bonus or not, and decide on the actual level of the award in light of all relevant factors after completion of the fiscal year.</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2007, 80% of an executive officer’s target award was based upon achievement of corporate financial and operating objectives. The remaining 20% of the executive’s target award was based upon achievement of individual objectives unique to each executive and their areas of responsibility. Both the corporate and individual goals were established by the Committee at the beginning of 2007. These included specific goals for revenue growth, gross profit margins, reduction in cash burn, maintaining product quality levels, and sales levels for our CoolAir product. At year end, the Chief Executive Officer prepared an analysis of accomplishments relative to the established corporate and individual goals for presentation to the Committee. The Committee made their own evaluation of the performance of the Chief Executive Officer’s accomplishments. The weighting of each of these individual goals to the total target award was established by the Committee and the same weighting was used for all of our executives.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Equity Incentive Programs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Committee believes that the interests of our shareholders are best served when a significant proportion of an executive’s compensation is comprised of equity-based or other long-term incentives that appreciate in value contingent upon increases in the share price of our common stock. Therefore it has been our practice to make annual grants of equity-based awards to our executive officers and to all of our employees. However there is no set formula for the granting of awards to individual executives or employees and these decisions are made annually by the Committee.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Committee may decide to grant equity in the form of stock options or as restricted stock. The Committee may establish any conditions or restrictions it deems appropriate on any grant. Awards of restricted stock typically vest between one and three years after the date of the grant. Stock option award levels are determined based on market data, vary among participants based on their positions within the company, and a recipient may receive multiple grants in any period due to performance, promotion or other factors.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hire employee grants typically vest quarterly over four years from the date of grant. Existing employee grants typically vest at a rate of 25% after one year, and then quarterly over the remaining three years. Grants to new directors typically vest in annual installments over three years. Further annual grants to directors typically vest after one year. All options have a 10-year term. Vesting rights cease upon termination of employment, except in the case of death (subject to a one-year limitation), disability or retirement. Exercise rights typically cease ninety days after termination. Prior to exercise of an option, the holder has no rights as a stockholder with respect to the shares subject to such options, including voting rights and the rights to received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Grants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 awards to our executive officers and other key employees are typically granted annually in conjunction with the review of the individual performance of the executive officer. This review takes place at a regularly scheduled meeting of the Committee, which is typically held in conjunction with the meeting of our Board in January of each year. Equity awards are automatically granted to our non-executive directors on the date of our Annual Meeting of Stockholders, in accordance with the terms of our 2000 Stock Plan. Grants to newly hired employees historically were effective on the employee’s first day of employment with the Company. To facilitate this practice, the Board had delegated authority to the Chief Executive Officer to grant individual stock awards of less than 20,000 options to non-executive employees. This practice was changed in January 2006, and now all grants are made in meetings of the Committee or Board, with effect from the date of the meeting. Grants to newly hired executive officers are made at the next regularly scheduled Committee meeting or at a special meeting on or following their hire date. The exercise price of all stock options is set at the closing price of our common stock on the Nasdaq Global Market on the date of grant of the award.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Company had no established stock ownership guidelines prior to 2007. In February 2007 the Board adopted guidelines for non-executive Board members that require these directors to obtain a minimum level of stock ownership in the Company within three years of their appointment to the Board. This policy provided a transition period to enable current directors to comply with this new policy. The stock ownership policy requires the following for our non-executive directors:</w:t>
      </w:r>
    </w:p>
    <w:p>
      <w:pPr>
        <w:spacing w:after="0" w:line="62" w:lineRule="exact"/>
        <w:rPr>
          <w:sz w:val="20"/>
          <w:szCs w:val="20"/>
          <w:color w:val="auto"/>
        </w:rPr>
      </w:pPr>
    </w:p>
    <w:p>
      <w:pPr>
        <w:ind w:left="900" w:right="160" w:hanging="446"/>
        <w:spacing w:after="0" w:line="268" w:lineRule="auto"/>
        <w:rPr>
          <w:sz w:val="20"/>
          <w:szCs w:val="20"/>
          <w:color w:val="auto"/>
        </w:rPr>
      </w:pPr>
      <w:r>
        <w:rPr>
          <w:rFonts w:ascii="Arial" w:cs="Arial" w:eastAsia="Arial" w:hAnsi="Arial"/>
          <w:sz w:val="18"/>
          <w:szCs w:val="18"/>
          <w:color w:val="auto"/>
        </w:rPr>
        <w:t>–Within three years from the date of adoption of this policy (February 2007), or from joining the Board in the case of new directors, directors should own stock with a value equal to three times the annual board retainer;</w:t>
      </w:r>
    </w:p>
    <w:p>
      <w:pPr>
        <w:spacing w:after="0" w:line="50" w:lineRule="exact"/>
        <w:rPr>
          <w:sz w:val="20"/>
          <w:szCs w:val="20"/>
          <w:color w:val="auto"/>
        </w:rPr>
      </w:pPr>
    </w:p>
    <w:p>
      <w:pPr>
        <w:ind w:left="900" w:right="580" w:hanging="446"/>
        <w:spacing w:after="0" w:line="268" w:lineRule="auto"/>
        <w:rPr>
          <w:sz w:val="20"/>
          <w:szCs w:val="20"/>
          <w:color w:val="auto"/>
        </w:rPr>
      </w:pPr>
      <w:r>
        <w:rPr>
          <w:rFonts w:ascii="Arial" w:cs="Arial" w:eastAsia="Arial" w:hAnsi="Arial"/>
          <w:sz w:val="18"/>
          <w:szCs w:val="18"/>
          <w:color w:val="auto"/>
        </w:rPr>
        <w:t>–A transition period is provided where directors should own stock with a value of $30,000 by the end of 2007, $60,000 by the end of 2008 and $90,000 by the end of 2009, assuming the current annual Board retainer remains at $30,000; and</w:t>
      </w:r>
    </w:p>
    <w:p>
      <w:pPr>
        <w:spacing w:after="0" w:line="50" w:lineRule="exact"/>
        <w:rPr>
          <w:sz w:val="20"/>
          <w:szCs w:val="20"/>
          <w:color w:val="auto"/>
        </w:rPr>
      </w:pPr>
    </w:p>
    <w:p>
      <w:pPr>
        <w:ind w:left="900" w:right="140" w:hanging="446"/>
        <w:spacing w:after="0" w:line="268" w:lineRule="auto"/>
        <w:rPr>
          <w:sz w:val="20"/>
          <w:szCs w:val="20"/>
          <w:color w:val="auto"/>
        </w:rPr>
      </w:pPr>
      <w:r>
        <w:rPr>
          <w:rFonts w:ascii="Arial" w:cs="Arial" w:eastAsia="Arial" w:hAnsi="Arial"/>
          <w:sz w:val="18"/>
          <w:szCs w:val="18"/>
          <w:color w:val="auto"/>
        </w:rPr>
        <w:t>–Directors will have a minimum three-year holding period on the stock underlying director stock option grants (i.e. one year from vest and two years from vesting).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our current directors were in compliance with this policy at December 31,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prefers to compensate its executive officers using a mix of short- and longer-term compensation, with an emphasis on performance, and does not believe that providing an executive perquisite program is consistent with our overall compensation philosophy. We have not provided any benefits to our executives that are not provided or otherwise available to all of our employees. In this regard it should be noted that we do not provide pension arrangements, post-retirement health coverage, or similar benefits for our executives or employees.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perquisites that we provide are as follows: We provide a 401(k) Plan for all employees; however, at this stage we do not provide any matching funds to this plan for anyone. Our health and insurance plans are the same for all employees. In general our employees pay approximately 30% of the health premiums due. In 2006 we announced a sales incentive trip to reward the top achievers in our sales and service organizations. For the people selected to go, if they so choose, participants may be accompanied by their spouse or a guest. This trip is hosted by and attended by certain members of our executive team, including some of our Named Executive Officers. The first recipients of this benefit occurred in 2007. We also provide an automobile allowance to a European-based executive officer and to European-based sales employees that is part of the normal competitive compensation package in those markets. We do not provide such allowances to our US-based executives or sales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Executive Officers in Compensation Decisions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makes all compensation decisions for the Named Executive Officers and for all of our executive officers.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Chief Executive Officer annually reviews the performance of all of our executive officers (other than the Chief Executive Officer, whose performance is reviewed by the Committee). The conclusions reached and recommendations based on those reviews, including with respect to salary adjustments and annual bonus and award amounts, are presented to the Committee by the Chief Executive Officer. The Committee can exercise its discretion in modifying any recommended adjustments or awards to executives and has used this discretion in making decisions. Neither our Chief Executive Officer nor any other member of executive management votes on items before the Committee; however, the Committee and Board of Directors solicit the views of the Chief Executive Officer and work with other members of management to determine the agenda for each of their meetings, as well as with our human resources department and outside advisors to prepare meeting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with Officers</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connection with the promotion of James A. Clishem to be our President and Chief Executive Officer on May 10, 2006, we entered into an oral agreement with Mr. Clishem relating to the terms of his employment, which set forth the following terms: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Annualized salary of $300,000;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bonus target that represents up to 100% of the annualized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200,000 option shares to vest over four years of continued employment with Active Power;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Participation in all Active Power benefit programs;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 for a severance equivalent to six months of Mr. Clishem’s then-current salary plus medical benefits in the event that his employment is terminated for reasons other than cause or by Mr. Clishem for good reason.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Mr. Clishem’s agreement was amended in February 2008 to increase his severance payment to an amount equal to twelve months of his salary plus medical benefits in the event his employment is terminated by us for reasons other than cause or by Mr. Clishem for good reason.</w:t>
      </w:r>
    </w:p>
    <w:p>
      <w:pPr>
        <w:spacing w:after="0" w:line="13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entered into an agreement with John Penver, our Chief Financial Officer, in February 2008, which provided that he would be entitled to a severance payment equivalent to nine months of his salary plus medical benefits in the event his employment is terminated by us for reasons other than cause or by Mr. Penver for good reason.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Non-equity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incentive plan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All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3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15,362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(Principal</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41,912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10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185,730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29,772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w w:val="98"/>
              </w:rPr>
              <w:t>Chief Financial Officer, VP Finance and Company</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178,180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111,303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340,483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rPr>
              <w:t>Secretary (Principal Financial Officer)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18,016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EMEA [6]</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16,587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100" w:type="dxa"/>
            <w:vAlign w:val="bottom"/>
            <w:gridSpan w:val="4"/>
          </w:tcPr>
          <w:p>
            <w:pPr>
              <w:spacing w:after="0"/>
              <w:rPr>
                <w:sz w:val="20"/>
                <w:szCs w:val="20"/>
                <w:color w:val="auto"/>
              </w:rPr>
            </w:pPr>
            <w:r>
              <w:rPr>
                <w:rFonts w:ascii="Arial" w:cs="Arial" w:eastAsia="Arial" w:hAnsi="Arial"/>
                <w:sz w:val="18"/>
                <w:szCs w:val="18"/>
                <w:color w:val="auto"/>
              </w:rPr>
              <w:t>Gary P. Rackow,</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254,310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ind w:left="160"/>
              <w:spacing w:after="0"/>
              <w:rPr>
                <w:sz w:val="20"/>
                <w:szCs w:val="20"/>
                <w:color w:val="auto"/>
              </w:rPr>
            </w:pPr>
            <w:r>
              <w:rPr>
                <w:rFonts w:ascii="Arial" w:cs="Arial" w:eastAsia="Arial" w:hAnsi="Arial"/>
                <w:sz w:val="18"/>
                <w:szCs w:val="18"/>
                <w:color w:val="auto"/>
              </w:rPr>
              <w:t>Vice President—Sales Americas [7]</w:t>
            </w:r>
          </w:p>
        </w:tc>
        <w:tc>
          <w:tcPr>
            <w:tcW w:w="440" w:type="dxa"/>
            <w:vAlign w:val="bottom"/>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36,621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M. Brown,</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Vice President—Marketing and Sales Operations</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total salary paid during the calendar year 2007 and 2006 less amounts earned under the annual Management Incentive Program that were paid in the subsequent fiscal year.</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amount of fair value that was expensed by the Company during 2007 and 2006, as applicable, for restricted shares granted to our Named Executive Officers in accordance with the requirements of Statement of Financial Accounting Standards (SFAS) No. 123 (R), Share based payments (SFAS 123(R)).</w:t>
      </w:r>
    </w:p>
    <w:p>
      <w:pPr>
        <w:spacing w:after="0" w:line="59"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dollar amounts of compensation expense recognized by the Company in its financial statements for the years ended December 31, 2007 and 2006, as applicable, in accordance with the requirement of SFAS 123(R) from stock option grants vesting during 2007 and 2006, as applicable.</w:t>
      </w:r>
    </w:p>
    <w:p>
      <w:pPr>
        <w:spacing w:after="0" w:line="4"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cash bonuses earned under the Company’s 2007 Management Incentive Plan that were paid out in February 2008 and amounts earned under the Company’s 2006 Management Incentive Plan that were paid out in February 2007. Also includes amounts earned under the Company’s Sales Incentive Plan for Mr. Murphy prior to his appointment as Vice President.</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moving, temporary living and storage expenses paid to Mr. Clishem during 2007 and 2006 and auto allowance payments made to Mr. Murphy during 2007 and 2006.</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paid to Mr. Murphy during 2007 and 2006 were paid to him in British pounds since he is resident in the United Kingdom. The amounts included in this Summary Compensation Table have been converted into United States dollars using an average exchange rate of 2.00181 for 2007 and an average exchange rate of 1.84295 for 2006.</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Rackow joined Active Power on October 1, 2006 as our Vice President of Sales—Americas.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EQUITY AWARDS GRANTED DURING 2007</w:t>
            </w: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All other option</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0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87"/>
              </w:rPr>
              <w:t>Estimated future payouts under</w:t>
            </w: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awards.</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00" w:type="dxa"/>
            <w:vAlign w:val="bottom"/>
            <w:gridSpan w:val="6"/>
            <w:vMerge w:val="continue"/>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3"/>
              </w:rPr>
              <w:t>base price</w:t>
            </w:r>
          </w:p>
        </w:tc>
        <w:tc>
          <w:tcPr>
            <w:tcW w:w="84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6"/>
              </w:rPr>
              <w:t>non-equity incentive plan awards</w:t>
            </w: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securities</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of option</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 or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2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Grant</w:t>
            </w:r>
          </w:p>
        </w:tc>
        <w:tc>
          <w:tcPr>
            <w:tcW w:w="7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underlying</w:t>
            </w: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1"/>
                <w:szCs w:val="11"/>
                <w:color w:val="auto"/>
              </w:rPr>
            </w:pPr>
          </w:p>
        </w:tc>
        <w:tc>
          <w:tcPr>
            <w:tcW w:w="7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w w:val="91"/>
              </w:rPr>
              <w:t>Threshhold</w:t>
            </w:r>
          </w:p>
        </w:tc>
        <w:tc>
          <w:tcPr>
            <w:tcW w:w="3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Target</w:t>
            </w:r>
          </w:p>
        </w:tc>
        <w:tc>
          <w:tcPr>
            <w:tcW w:w="3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Maximum</w:t>
            </w: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options.</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[1]</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8"/>
              <w:spacing w:after="0" w:line="142" w:lineRule="exact"/>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9"/>
              </w:rPr>
              <w:t>President and Chief Executive Officer since May 10,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2006 (Principal Executive Officer)</w:t>
            </w: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20" w:type="dxa"/>
            <w:vAlign w:val="bottom"/>
            <w:gridSpan w:val="4"/>
          </w:tcPr>
          <w:p>
            <w:pPr>
              <w:spacing w:after="0"/>
              <w:rPr>
                <w:sz w:val="20"/>
                <w:szCs w:val="20"/>
                <w:color w:val="auto"/>
              </w:rPr>
            </w:pPr>
            <w:r>
              <w:rPr>
                <w:rFonts w:ascii="Arial" w:cs="Arial" w:eastAsia="Arial" w:hAnsi="Arial"/>
                <w:sz w:val="18"/>
                <w:szCs w:val="18"/>
                <w:color w:val="auto"/>
              </w:rPr>
              <w:t>John K. Penver,</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92,500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VP Finance and Company</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200"/>
              <w:spacing w:after="0"/>
              <w:rPr>
                <w:sz w:val="20"/>
                <w:szCs w:val="20"/>
                <w:color w:val="auto"/>
              </w:rPr>
            </w:pPr>
            <w:r>
              <w:rPr>
                <w:rFonts w:ascii="Arial" w:cs="Arial" w:eastAsia="Arial" w:hAnsi="Arial"/>
                <w:sz w:val="18"/>
                <w:szCs w:val="18"/>
                <w:color w:val="auto"/>
              </w:rPr>
              <w:t>Secretary (Principal Financial Officer)</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3/1/2007</w:t>
            </w: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20" w:type="dxa"/>
            <w:vAlign w:val="bottom"/>
            <w:gridSpan w:val="4"/>
          </w:tcPr>
          <w:p>
            <w:pPr>
              <w:spacing w:after="0"/>
              <w:rPr>
                <w:sz w:val="20"/>
                <w:szCs w:val="20"/>
                <w:color w:val="auto"/>
              </w:rPr>
            </w:pPr>
            <w:r>
              <w:rPr>
                <w:rFonts w:ascii="Arial" w:cs="Arial" w:eastAsia="Arial" w:hAnsi="Arial"/>
                <w:sz w:val="18"/>
                <w:szCs w:val="18"/>
                <w:color w:val="auto"/>
              </w:rPr>
              <w:t>Gary P. Rackow,</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75,000</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Vice President—Sales Americas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Lisa M. Brown,</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85,000</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President—Marketing and Business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2/7/2007</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4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price of the stock option awards is equal to the closing price of the common stock as reported by the Nasdaq Global Market on the date of grant of the award.</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Note 1 Stock-Based Compensation Expense, in the Notes to Consolidated Financial Statements included in the Annual Report on Form 10-K filed on February 29, 2008 for the relevant assumptions used to determine the valuation of our option awards.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 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OUTSTANDING EQUITY AWARDS AT FISCAL YEAR END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Borders>
              <w:bottom w:val="single" w:sz="8" w:color="auto"/>
            </w:tcBorders>
            <w:gridSpan w:val="4"/>
          </w:tcPr>
          <w:p>
            <w:pPr>
              <w:jc w:val="right"/>
              <w:ind w:right="485"/>
              <w:spacing w:after="0" w:line="142" w:lineRule="exact"/>
              <w:rPr>
                <w:sz w:val="20"/>
                <w:szCs w:val="20"/>
                <w:color w:val="auto"/>
              </w:rPr>
            </w:pPr>
            <w:r>
              <w:rPr>
                <w:rFonts w:ascii="Arial" w:cs="Arial" w:eastAsia="Arial" w:hAnsi="Arial"/>
                <w:sz w:val="14"/>
                <w:szCs w:val="14"/>
                <w:b w:val="1"/>
                <w:bCs w:val="1"/>
                <w:color w:val="auto"/>
              </w:rPr>
              <w:t>Stock 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 that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 (#)</w:t>
            </w: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 (#)</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exercise</w:t>
            </w:r>
          </w:p>
        </w:tc>
        <w:tc>
          <w:tcPr>
            <w:tcW w:w="2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expiration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have not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have not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price ($)</w:t>
            </w: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vested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vested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45"/>
              <w:spacing w:after="0" w:line="142" w:lineRule="exact"/>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 since May 10,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11/10/2015</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Executive Officer)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5/16/2016</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12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880" w:type="dxa"/>
            <w:vAlign w:val="bottom"/>
          </w:tcPr>
          <w:p>
            <w:pPr>
              <w:jc w:val="right"/>
              <w:spacing w:after="0"/>
              <w:rPr>
                <w:sz w:val="20"/>
                <w:szCs w:val="20"/>
                <w:color w:val="auto"/>
              </w:rPr>
            </w:pPr>
            <w:r>
              <w:rPr>
                <w:rFonts w:ascii="Arial" w:cs="Arial" w:eastAsia="Arial" w:hAnsi="Arial"/>
                <w:sz w:val="18"/>
                <w:szCs w:val="18"/>
                <w:color w:val="auto"/>
              </w:rPr>
              <w:t>110,000</w:t>
            </w:r>
          </w:p>
        </w:tc>
        <w:tc>
          <w:tcPr>
            <w:tcW w:w="200" w:type="dxa"/>
            <w:vAlign w:val="bottom"/>
          </w:tcPr>
          <w:p>
            <w:pPr>
              <w:spacing w:after="0"/>
              <w:rPr>
                <w:sz w:val="24"/>
                <w:szCs w:val="24"/>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2/28/2015</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Chief Financial Officer, VP Finance and Company Secretary</w:t>
            </w:r>
          </w:p>
        </w:tc>
        <w:tc>
          <w:tcPr>
            <w:tcW w:w="88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2/3/2016</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(Principal Financial Officer)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2/7/2017</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James M. Murphy,</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President—Sales EMEA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4/17/2016</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3/1/2017</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5120" w:type="dxa"/>
            <w:vAlign w:val="bottom"/>
            <w:gridSpan w:val="2"/>
          </w:tcPr>
          <w:p>
            <w:pPr>
              <w:spacing w:after="0"/>
              <w:rPr>
                <w:sz w:val="20"/>
                <w:szCs w:val="20"/>
                <w:color w:val="auto"/>
              </w:rPr>
            </w:pPr>
            <w:r>
              <w:rPr>
                <w:rFonts w:ascii="Arial" w:cs="Arial" w:eastAsia="Arial" w:hAnsi="Arial"/>
                <w:sz w:val="18"/>
                <w:szCs w:val="18"/>
                <w:color w:val="auto"/>
              </w:rPr>
              <w:t>Gary P. Rackow,</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4"/>
                <w:szCs w:val="24"/>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10/5/2016</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Vice President—Sales Americas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Lisa M. Brown,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12/1/2015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Vice President—Marketing and Business Development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2/7/2017</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3240" w:hanging="5612"/>
        <w:spacing w:after="0" w:line="440" w:lineRule="auto"/>
        <w:tabs>
          <w:tab w:leader="none" w:pos="4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the closing market value of the Company’s common stock of $2.20 per share at December 31, 2007. 22</w:t>
      </w:r>
    </w:p>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were no options exercised by any of our Named Executive Officers during 2007. No restricted stock vested for any of our Named Executive Officers during 2007.</w:t>
      </w:r>
    </w:p>
    <w:p>
      <w:pPr>
        <w:spacing w:after="0" w:line="207" w:lineRule="exact"/>
        <w:rPr>
          <w:sz w:val="20"/>
          <w:szCs w:val="20"/>
          <w:color w:val="auto"/>
        </w:rPr>
      </w:pPr>
    </w:p>
    <w:p>
      <w:pPr>
        <w:ind w:right="5160"/>
        <w:spacing w:after="0" w:line="347" w:lineRule="auto"/>
        <w:rPr>
          <w:sz w:val="20"/>
          <w:szCs w:val="20"/>
          <w:color w:val="auto"/>
        </w:rPr>
      </w:pPr>
      <w:r>
        <w:rPr>
          <w:rFonts w:ascii="Arial" w:cs="Arial" w:eastAsia="Arial" w:hAnsi="Arial"/>
          <w:sz w:val="18"/>
          <w:szCs w:val="18"/>
          <w:b w:val="1"/>
          <w:bCs w:val="1"/>
          <w:color w:val="auto"/>
        </w:rPr>
        <w:t xml:space="preserve">POTENTIAL PAYMENTS UPON TERMINATION OR CHANGE OF CONTROL </w:t>
      </w:r>
      <w:r>
        <w:rPr>
          <w:rFonts w:ascii="Arial" w:cs="Arial" w:eastAsia="Arial" w:hAnsi="Arial"/>
          <w:sz w:val="18"/>
          <w:szCs w:val="18"/>
          <w:i w:val="1"/>
          <w:iCs w:val="1"/>
          <w:color w:val="auto"/>
        </w:rPr>
        <w:t>Termination Agreements</w:t>
      </w:r>
    </w:p>
    <w:p>
      <w:pPr>
        <w:spacing w:after="0" w:line="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entered into oral agreements with our Chief Executive Officer and our Chief Financial Officer relating to severance payments upon termination of employment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agreement with Mr. Clishem provides that, in the event that Mr. Clishem’s employment is terminated by us for reasons other than cause or by</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Clishem for good reason, Mr. Clishem will be entitled to receive severance in the amount of twelve months of his then-current salary, plus twelve months of medical benefits, payable over the twelve months immediately following his termination.</w:t>
      </w:r>
    </w:p>
    <w:p>
      <w:pPr>
        <w:spacing w:after="0" w:line="13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agreement with Mr. Penver provides that, in the event that Mr. Penver’s employment is terminated by us for reasons other than cause or by Mr. Penver for good reason, Mr. Penver will be entitled to receive severance in the amount of nine months of his then-current salary, plus nine months of medical benefits, payable over the nine months immediately following his termination.</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Had their employment been terminated on December 31, 2007 by is for reasons other than cause or by the executive for good reason, these Named Executive Officers would have been eligible to receive the payments set forth in the table below. This includes amounts earned through such time and are only estimates of the amounts that would be paid to these executives upon their termination. The actual amounts to be paid out can only be determined at the time of such executive’s separation from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UNDER TERMINATION ARRANGEMENTS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Accrued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Vacation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Salary</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Benefits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8"/>
              </w:rPr>
              <w:t>Pay</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Clishem</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center"/>
              <w:ind w:left="132"/>
              <w:spacing w:after="0"/>
              <w:rPr>
                <w:sz w:val="20"/>
                <w:szCs w:val="20"/>
                <w:color w:val="auto"/>
              </w:rPr>
            </w:pPr>
            <w:r>
              <w:rPr>
                <w:rFonts w:ascii="Arial" w:cs="Arial" w:eastAsia="Arial" w:hAnsi="Arial"/>
                <w:sz w:val="18"/>
                <w:szCs w:val="18"/>
                <w:color w:val="auto"/>
                <w:w w:val="89"/>
              </w:rPr>
              <w:t>$ 300,000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0"/>
              </w:rPr>
              <w:t>13,020</w:t>
            </w:r>
          </w:p>
        </w:tc>
        <w:tc>
          <w:tcPr>
            <w:tcW w:w="6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98"/>
              </w:rPr>
              <w:t>$  5,838</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318,858</w:t>
            </w:r>
          </w:p>
        </w:tc>
        <w:tc>
          <w:tcPr>
            <w:tcW w:w="20" w:type="dxa"/>
            <w:vAlign w:val="bottom"/>
          </w:tcPr>
          <w:p>
            <w:pPr>
              <w:spacing w:after="0"/>
              <w:rPr>
                <w:sz w:val="18"/>
                <w:szCs w:val="18"/>
                <w:color w:val="auto"/>
              </w:rPr>
            </w:pPr>
          </w:p>
        </w:tc>
      </w:tr>
      <w:tr>
        <w:trPr>
          <w:trHeight w:val="222"/>
        </w:trPr>
        <w:tc>
          <w:tcPr>
            <w:tcW w:w="4440" w:type="dxa"/>
            <w:vAlign w:val="bottom"/>
            <w:gridSpan w:val="3"/>
          </w:tcPr>
          <w:p>
            <w:pPr>
              <w:spacing w:after="0"/>
              <w:rPr>
                <w:sz w:val="20"/>
                <w:szCs w:val="20"/>
                <w:color w:val="auto"/>
              </w:rPr>
            </w:pPr>
            <w:r>
              <w:rPr>
                <w:rFonts w:ascii="Arial" w:cs="Arial" w:eastAsia="Arial" w:hAnsi="Arial"/>
                <w:sz w:val="18"/>
                <w:szCs w:val="18"/>
                <w:color w:val="auto"/>
              </w:rPr>
              <w:t>John K. Penver</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4"/>
          </w:tcPr>
          <w:p>
            <w:pPr>
              <w:jc w:val="center"/>
              <w:ind w:left="132"/>
              <w:spacing w:after="0"/>
              <w:rPr>
                <w:sz w:val="20"/>
                <w:szCs w:val="20"/>
                <w:color w:val="auto"/>
              </w:rPr>
            </w:pPr>
            <w:r>
              <w:rPr>
                <w:rFonts w:ascii="Arial" w:cs="Arial" w:eastAsia="Arial" w:hAnsi="Arial"/>
                <w:sz w:val="18"/>
                <w:szCs w:val="18"/>
                <w:color w:val="auto"/>
                <w:w w:val="89"/>
              </w:rPr>
              <w:t>$ 138,750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9,765</w:t>
            </w:r>
          </w:p>
        </w:tc>
        <w:tc>
          <w:tcPr>
            <w:tcW w:w="68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$ 20,076</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168,591</w:t>
            </w:r>
          </w:p>
        </w:tc>
        <w:tc>
          <w:tcPr>
            <w:tcW w:w="20" w:type="dxa"/>
            <w:vAlign w:val="bottom"/>
          </w:tcPr>
          <w:p>
            <w:pPr>
              <w:spacing w:after="0"/>
              <w:rPr>
                <w:sz w:val="19"/>
                <w:szCs w:val="19"/>
                <w:color w:val="auto"/>
              </w:rPr>
            </w:pPr>
          </w:p>
        </w:tc>
      </w:tr>
      <w:tr>
        <w:trPr>
          <w:trHeight w:val="451"/>
        </w:trPr>
        <w:tc>
          <w:tcPr>
            <w:tcW w:w="4440" w:type="dxa"/>
            <w:vAlign w:val="bottom"/>
            <w:gridSpan w:val="3"/>
          </w:tcPr>
          <w:p>
            <w:pPr>
              <w:spacing w:after="0"/>
              <w:rPr>
                <w:sz w:val="20"/>
                <w:szCs w:val="20"/>
                <w:color w:val="auto"/>
              </w:rPr>
            </w:pPr>
            <w:r>
              <w:rPr>
                <w:rFonts w:ascii="Arial" w:cs="Arial" w:eastAsia="Arial" w:hAnsi="Arial"/>
                <w:sz w:val="18"/>
                <w:szCs w:val="18"/>
                <w:b w:val="1"/>
                <w:bCs w:val="1"/>
                <w:color w:val="auto"/>
              </w:rPr>
              <w:t>DIRECTORS’ COMPENSATION</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4440" w:type="dxa"/>
            <w:vAlign w:val="bottom"/>
            <w:gridSpan w:val="3"/>
          </w:tcPr>
          <w:p>
            <w:pPr>
              <w:ind w:left="46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paid in cash</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7"/>
          </w:tcPr>
          <w:p>
            <w:pPr>
              <w:spacing w:after="0"/>
              <w:rPr>
                <w:sz w:val="20"/>
                <w:szCs w:val="20"/>
                <w:color w:val="auto"/>
              </w:rPr>
            </w:pPr>
            <w:r>
              <w:rPr>
                <w:rFonts w:ascii="Arial" w:cs="Arial" w:eastAsia="Arial" w:hAnsi="Arial"/>
                <w:sz w:val="14"/>
                <w:szCs w:val="14"/>
                <w:b w:val="1"/>
                <w:bCs w:val="1"/>
                <w:color w:val="auto"/>
              </w:rPr>
              <w:t>Option awards $</w:t>
            </w:r>
          </w:p>
        </w:tc>
        <w:tc>
          <w:tcPr>
            <w:tcW w:w="140" w:type="dxa"/>
            <w:vAlign w:val="bottom"/>
          </w:tcPr>
          <w:p>
            <w:pPr>
              <w:spacing w:after="0"/>
              <w:rPr>
                <w:sz w:val="14"/>
                <w:szCs w:val="14"/>
                <w:color w:val="auto"/>
              </w:rPr>
            </w:pPr>
          </w:p>
        </w:tc>
        <w:tc>
          <w:tcPr>
            <w:tcW w:w="1620" w:type="dxa"/>
            <w:vAlign w:val="bottom"/>
            <w:gridSpan w:val="7"/>
          </w:tcPr>
          <w:p>
            <w:pPr>
              <w:ind w:left="20"/>
              <w:spacing w:after="0"/>
              <w:rPr>
                <w:sz w:val="20"/>
                <w:szCs w:val="20"/>
                <w:color w:val="auto"/>
              </w:rPr>
            </w:pPr>
            <w:r>
              <w:rPr>
                <w:rFonts w:ascii="Arial" w:cs="Arial" w:eastAsia="Arial" w:hAnsi="Arial"/>
                <w:sz w:val="14"/>
                <w:szCs w:val="14"/>
                <w:b w:val="1"/>
                <w:bCs w:val="1"/>
                <w:color w:val="auto"/>
              </w:rPr>
              <w:t>Total compensation</w:t>
            </w:r>
          </w:p>
        </w:tc>
      </w:tr>
      <w:tr>
        <w:trPr>
          <w:trHeight w:val="142"/>
        </w:trPr>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3"/>
              </w:rPr>
              <w:t>[2]</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80" w:type="dxa"/>
            <w:vAlign w:val="bottom"/>
            <w:gridSpan w:val="11"/>
            <w:shd w:val="clear" w:color="auto" w:fill="CCEEFF"/>
          </w:tcPr>
          <w:p>
            <w:pPr>
              <w:jc w:val="right"/>
              <w:ind w:right="360"/>
              <w:spacing w:after="0"/>
              <w:rPr>
                <w:sz w:val="20"/>
                <w:szCs w:val="20"/>
                <w:color w:val="auto"/>
              </w:rPr>
            </w:pPr>
            <w:r>
              <w:rPr>
                <w:rFonts w:ascii="Arial" w:cs="Arial" w:eastAsia="Arial" w:hAnsi="Arial"/>
                <w:sz w:val="18"/>
                <w:szCs w:val="18"/>
                <w:color w:val="auto"/>
                <w:w w:val="88"/>
              </w:rPr>
              <w:t>Included in executive compensation table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45,000</w:t>
            </w: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rPr>
              <w:t>26,481</w:t>
            </w:r>
          </w:p>
        </w:tc>
        <w:tc>
          <w:tcPr>
            <w:tcW w:w="3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70,857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Anderson</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36,250</w:t>
            </w: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22,427</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58,677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Rodney Bond</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87,500</w:t>
            </w: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rPr>
              <w:t>22,427</w:t>
            </w:r>
          </w:p>
        </w:tc>
        <w:tc>
          <w:tcPr>
            <w:tcW w:w="3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109,927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Boston [1]</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65,000</w:t>
            </w:r>
          </w:p>
        </w:tc>
        <w:tc>
          <w:tcPr>
            <w:tcW w:w="9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39,644</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104,644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Jan Lindelow</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rPr>
              <w:t>22,427</w:t>
            </w:r>
          </w:p>
        </w:tc>
        <w:tc>
          <w:tcPr>
            <w:tcW w:w="3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62,427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Scott</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56,875</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22,427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79,302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4440" w:type="dxa"/>
            <w:vAlign w:val="bottom"/>
            <w:gridSpan w:val="3"/>
          </w:tcPr>
          <w:p>
            <w:pPr>
              <w:ind w:left="460"/>
              <w:spacing w:after="0"/>
              <w:rPr>
                <w:sz w:val="20"/>
                <w:szCs w:val="20"/>
                <w:color w:val="auto"/>
              </w:rPr>
            </w:pPr>
            <w:r>
              <w:rPr>
                <w:rFonts w:ascii="Arial" w:cs="Arial" w:eastAsia="Arial" w:hAnsi="Arial"/>
                <w:sz w:val="18"/>
                <w:szCs w:val="18"/>
                <w:color w:val="auto"/>
              </w:rPr>
              <w:t>Total—all directors</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330,625</w:t>
            </w:r>
          </w:p>
        </w:tc>
        <w:tc>
          <w:tcPr>
            <w:tcW w:w="9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w w:val="89"/>
              </w:rPr>
              <w:t>155,835</w:t>
            </w:r>
          </w:p>
        </w:tc>
        <w:tc>
          <w:tcPr>
            <w:tcW w:w="34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60" w:type="dxa"/>
            <w:vAlign w:val="bottom"/>
            <w:gridSpan w:val="4"/>
          </w:tcPr>
          <w:p>
            <w:pPr>
              <w:jc w:val="right"/>
              <w:ind w:right="460"/>
              <w:spacing w:after="0"/>
              <w:rPr>
                <w:sz w:val="20"/>
                <w:szCs w:val="20"/>
                <w:color w:val="auto"/>
              </w:rPr>
            </w:pPr>
            <w:r>
              <w:rPr>
                <w:rFonts w:ascii="Arial" w:cs="Arial" w:eastAsia="Arial" w:hAnsi="Arial"/>
                <w:sz w:val="18"/>
                <w:szCs w:val="18"/>
                <w:color w:val="auto"/>
                <w:w w:val="89"/>
              </w:rPr>
              <w:t>485,836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Boston resigned from the board effective January 27, 2007.</w:t>
      </w:r>
    </w:p>
    <w:p>
      <w:pPr>
        <w:spacing w:after="0" w:line="15"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the dollar amount recognized for financial statement reporting purposes for the fiscal year ended December 31, 2007 in accordance with FAS 123(R), and thus includes amounts from awards granted in and prior to 2007.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shows the aggregate number of option awards outstanding for each of our directors as at December 31, 2007 as well as the number of shares underlying option awards during 2007 and the grant date fair value of option grants made to directors during 2007:</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 number</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of options</w:t>
            </w:r>
          </w:p>
        </w:tc>
        <w:tc>
          <w:tcPr>
            <w:tcW w:w="10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00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Grant date fair value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 at</w:t>
            </w:r>
          </w:p>
        </w:tc>
        <w:tc>
          <w:tcPr>
            <w:tcW w:w="1000" w:type="dxa"/>
            <w:vAlign w:val="bottom"/>
          </w:tcPr>
          <w:p>
            <w:pPr>
              <w:spacing w:after="0"/>
              <w:rPr>
                <w:sz w:val="12"/>
                <w:szCs w:val="12"/>
                <w:color w:val="auto"/>
              </w:rPr>
            </w:pPr>
          </w:p>
        </w:tc>
        <w:tc>
          <w:tcPr>
            <w:tcW w:w="88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w w:val="92"/>
              </w:rPr>
              <w:t>made during</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9"/>
              </w:rPr>
              <w:t>of option awards</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2007</w:t>
            </w:r>
          </w:p>
        </w:tc>
        <w:tc>
          <w:tcPr>
            <w:tcW w:w="1000" w:type="dxa"/>
            <w:vAlign w:val="bottom"/>
          </w:tcPr>
          <w:p>
            <w:pPr>
              <w:spacing w:after="0"/>
              <w:rPr>
                <w:sz w:val="14"/>
                <w:szCs w:val="14"/>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2007</w:t>
            </w:r>
          </w:p>
        </w:tc>
        <w:tc>
          <w:tcPr>
            <w:tcW w:w="1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5"/>
              </w:rPr>
              <w:t>made during 2007</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James A. Clishem</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Included in executive compensation table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Ake Almgren</w:t>
            </w:r>
          </w:p>
        </w:tc>
        <w:tc>
          <w:tcPr>
            <w:tcW w:w="1080" w:type="dxa"/>
            <w:vAlign w:val="bottom"/>
          </w:tcPr>
          <w:p>
            <w:pPr>
              <w:jc w:val="right"/>
              <w:spacing w:after="0"/>
              <w:rPr>
                <w:sz w:val="20"/>
                <w:szCs w:val="20"/>
                <w:color w:val="auto"/>
              </w:rPr>
            </w:pPr>
            <w:r>
              <w:rPr>
                <w:rFonts w:ascii="Arial" w:cs="Arial" w:eastAsia="Arial" w:hAnsi="Arial"/>
                <w:sz w:val="18"/>
                <w:szCs w:val="18"/>
                <w:color w:val="auto"/>
              </w:rPr>
              <w:t>75,000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Richard E. Anderson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Rodney S. Bond</w:t>
            </w:r>
          </w:p>
        </w:tc>
        <w:tc>
          <w:tcPr>
            <w:tcW w:w="1080" w:type="dxa"/>
            <w:vAlign w:val="bottom"/>
          </w:tcPr>
          <w:p>
            <w:pPr>
              <w:jc w:val="right"/>
              <w:spacing w:after="0"/>
              <w:rPr>
                <w:sz w:val="20"/>
                <w:szCs w:val="20"/>
                <w:color w:val="auto"/>
              </w:rPr>
            </w:pPr>
            <w:r>
              <w:rPr>
                <w:rFonts w:ascii="Arial" w:cs="Arial" w:eastAsia="Arial" w:hAnsi="Arial"/>
                <w:sz w:val="18"/>
                <w:szCs w:val="18"/>
                <w:color w:val="auto"/>
              </w:rPr>
              <w:t>95,400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Bradley Boston [1]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Jan H. Lindelow</w:t>
            </w:r>
          </w:p>
        </w:tc>
        <w:tc>
          <w:tcPr>
            <w:tcW w:w="1080" w:type="dxa"/>
            <w:vAlign w:val="bottom"/>
          </w:tcPr>
          <w:p>
            <w:pPr>
              <w:jc w:val="right"/>
              <w:spacing w:after="0"/>
              <w:rPr>
                <w:sz w:val="20"/>
                <w:szCs w:val="20"/>
                <w:color w:val="auto"/>
              </w:rPr>
            </w:pPr>
            <w:r>
              <w:rPr>
                <w:rFonts w:ascii="Arial" w:cs="Arial" w:eastAsia="Arial" w:hAnsi="Arial"/>
                <w:sz w:val="18"/>
                <w:szCs w:val="18"/>
                <w:color w:val="auto"/>
              </w:rPr>
              <w:t>90,000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Benjamin L. Scott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Total—all directors</w:t>
            </w:r>
          </w:p>
        </w:tc>
        <w:tc>
          <w:tcPr>
            <w:tcW w:w="10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480,400</w:t>
            </w:r>
          </w:p>
        </w:tc>
        <w:tc>
          <w:tcPr>
            <w:tcW w:w="10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90,000</w:t>
            </w:r>
          </w:p>
        </w:tc>
        <w:tc>
          <w:tcPr>
            <w:tcW w:w="1080" w:type="dxa"/>
            <w:vAlign w:val="bottom"/>
            <w:gridSpan w:val="2"/>
          </w:tcPr>
          <w:p>
            <w:pPr>
              <w:ind w:left="10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Boston resigned from the Board effective January 27,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Director Compensation and Procedures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uses a combination of cash and stock-based incentive compensation to attract and retain qualified candidates to serve on the Board. In setting director compensation, the Company considers the amount of time that Directors expend in fulfilling their duties to the Company as well as the skill-level required by the Company of members of the Board.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non-employee directors receive the following annual fees for their service as a director: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Service</w:t>
            </w:r>
          </w:p>
        </w:tc>
        <w:tc>
          <w:tcPr>
            <w:tcW w:w="846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Annual Fee</w:t>
            </w:r>
          </w:p>
        </w:tc>
      </w:tr>
      <w:tr>
        <w:trPr>
          <w:trHeight w:val="210"/>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Chairman of the Board fee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Audit committee chairperson (in addition to fee for serving on the audit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Compensation committee chairperson (in addition to fee for serving on the compensation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&amp; Corporate Governance committee participation fee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08"/>
        </w:trPr>
        <w:tc>
          <w:tcPr>
            <w:tcW w:w="8900" w:type="dxa"/>
            <w:vAlign w:val="bottom"/>
            <w:gridSpan w:val="2"/>
          </w:tcPr>
          <w:p>
            <w:pPr>
              <w:spacing w:after="0"/>
              <w:rPr>
                <w:sz w:val="20"/>
                <w:szCs w:val="20"/>
                <w:color w:val="auto"/>
              </w:rPr>
            </w:pPr>
            <w:r>
              <w:rPr>
                <w:rFonts w:ascii="Arial" w:cs="Arial" w:eastAsia="Arial" w:hAnsi="Arial"/>
                <w:sz w:val="18"/>
                <w:szCs w:val="18"/>
                <w:color w:val="auto"/>
              </w:rPr>
              <w:t>Nominating &amp; Corporate Governance committee chairperson (in addition to fee for serving on the nominating &amp;</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2"/>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corporate governance committee)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5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All of the above fees are paid to directors on a quarterly basis in arrears. When the Board appoints a special committee, additional compensation may be paid to those directors who serve on the special committees. In 2007, the Board had a Special Option Committee, and the participants thereof were paid a fee of $30,000 for serving on this committee after substantial completion of the committee’s work in July 2007.</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the date of each Annual Meeting of Stockholders, each non-employee director who continues to serve as a non-employee director is automatically granted an option to purchase 15,000 shares of common stock provided such individual has served on the Board of Directors for at least six months. Under this program, on the date of our 2007 Annual Meeting, Messrs. Almgren, Anderson, Bond, Boston, Lindelow, Rock and Scott received option grants to purchase 15,000 shares of common stock with an exercise price of $1.85 per share, the closing sale price of our common stock on the Nasdaq Global Market on the date of our 2007 Annual Meeting.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27" w:name="page28"/>
    <w:bookmarkEnd w:id="27"/>
    <w:p>
      <w:pPr>
        <w:jc w:val="both"/>
        <w:ind w:right="30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2008 Annual Meeting, Messrs. Almgren, Anderson, Bond, and Scott and, assuming his re-election, Mr. Lindelow, will receive an option grant to purchase 15,000 shares of common stock at an exercise price equal to the closing sale price of our common stock on the Nasdaq Global Market on such date. These options will vest in full on the one-year anniversary of the grant date, based upon the optionee’s continued service on our Board of Directors. If</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Mr. deVenny, is re-elected, he will not receive an annual option grant in 2008 because he will not have served on our board for at least six months at the time of the 2008 Annual Meeting.</w:t>
      </w:r>
    </w:p>
    <w:p>
      <w:pPr>
        <w:spacing w:after="0" w:line="13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New directors are awarded an option grant to purchase 30,000 shares of common stock under our 2000 Stock Plan at the next meeting of the Board or Compensation Committee after the date such non-employee joins the Board of Directors. Options granted to new directors will have an exercise price per share equal to the fair market value per share of the underlying shares of common stock at the date of grant and will vest in equal annual installments over three years.</w:t>
      </w:r>
    </w:p>
    <w:p>
      <w:pPr>
        <w:spacing w:after="0" w:line="8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Directors who are also our employees do not receive cash or equity compensation for service on the board in addition to their compensation payable for their service as employees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the Company and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The Company has entered into indemnification agreements with all of our directors and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Relationships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accordance with our audit committee charter, our audit committee is responsible for reviewing and approving the terms and conditions of all related party transactions. This would encompass all transactions with directors, immediate family members of our directors and executive officers, or any entities that such folks may have ownership or employment relationships with. A report is made annually to our audit committee disclosing all related parties that are employed by us or any related party transactions or relationships that occurred during the year, if any. There were no reportable transactions during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TWO: RATIFICATION OF INDEPENDENT AUDITORS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as our independent auditors for the fiscal year ended December 31, 2008. The Audit Committee is asking the stockholders to ratify this appointment. The affirmative vote of a majority of the shares represented and voting at the Annual Meeting is required to ratify the selection of Ernst &amp; Young LLP. Ernst &amp; Young LLP has served in this capacity for each of our audits since becoming a publicly traded company in 2000.</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and will have the opportunity to make a statement if he or she desires to do so, and will be available to respond to appropriate questions.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2007 and 2006</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2007 and 2006, and fees for other services billed by Ernst &amp; Young LLP during those periods: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Fees</w:t>
            </w:r>
          </w:p>
        </w:tc>
        <w:tc>
          <w:tcPr>
            <w:tcW w:w="4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r>
      <w:tr>
        <w:trPr>
          <w:trHeight w:val="210"/>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425,000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478,015</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12,500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54,500</w:t>
            </w: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222,091</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150,000</w:t>
            </w:r>
          </w:p>
        </w:tc>
      </w:tr>
      <w:tr>
        <w:trPr>
          <w:trHeight w:val="216"/>
        </w:trPr>
        <w:tc>
          <w:tcPr>
            <w:tcW w:w="280" w:type="dxa"/>
            <w:vAlign w:val="bottom"/>
            <w:shd w:val="clear" w:color="auto" w:fill="CCEEFF"/>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693,591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710,015</w:t>
            </w:r>
          </w:p>
        </w:tc>
      </w:tr>
      <w:tr>
        <w:trPr>
          <w:trHeight w:val="20"/>
        </w:trPr>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Form S-8 consent procedures and audit and testing of the company’s internal controls in accordance with Section 404 of the Sarbanes-Oxley Act of 2002.</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Audit-related services include fees for consultations concerning financial accounting and reporting matters and Form S-3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in 2006 and 2007. Audit-related fees are disclosed as those audit-related fees paid during the specified fiscal year.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Tax Fees</w:t>
      </w:r>
      <w:r>
        <w:rPr>
          <w:rFonts w:ascii="Arial" w:cs="Arial" w:eastAsia="Arial" w:hAnsi="Arial"/>
          <w:sz w:val="15"/>
          <w:szCs w:val="15"/>
          <w:color w:val="auto"/>
        </w:rPr>
        <w:t>. Tax services include fees for tax compliance, tax advice and tax planning. Tax fees are disclosed as those tax fees paid during the specified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include amounts billed by Ernst &amp; Young in connection with Ernst &amp; Young’s review of the Special Committee’s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historical stock option granting processes.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Pre-Approval Policies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pre-approves all audit and non-audit services provided by our independent auditors prior to the engagement of the independent auditors with respect to such services, including those set forth in the table above. The Chairman of the Audit Committee has the authority to approve any additional audit services and permissible non-audit services, provided the Chairman informs the Audit Committee of such approval at its next regularly scheduled meeting. Our independent registered public accounting firm and management are required to report to the Audit Committee periodically regarding the extent of services provided by the independent registered public accounting firm in accordance with this pre-approval, and the fees for the services performed to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 xml:space="preserve">Our Board of Directors recommends that the stockholders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the selection of Ernst &amp; Young LLP to serve as our independent auditors for the fiscal year ending December 31, 2008.</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0" w:name="page31"/>
    <w:bookmarkEnd w:id="30"/>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9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240" w:top="274" w:right="7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OF SECURITIES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certain information known to us with respect to the beneficial ownership of our common stock as of March 28, 2008 (unless otherwise indicated), by:</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current director, including each director who is a nominee for election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60,458,311 shares of common stock outstanding as of March 28, 2008. In computing the number of shares beneficially owned by a person and the percentage ownership of that person, shares of our common stock subject to options held by that person that are currently exercisable or will become exercisable within 60 days following March 28, 2008 are deemed outstanding. However, these shares are not deemed outstanding for the purpose of computing the percentage ownership of any other person or entity.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4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9440" w:type="dxa"/>
            <w:vAlign w:val="bottom"/>
            <w:gridSpan w:val="5"/>
          </w:tcPr>
          <w:p>
            <w:pPr>
              <w:spacing w:after="0"/>
              <w:rPr>
                <w:sz w:val="20"/>
                <w:szCs w:val="20"/>
                <w:color w:val="auto"/>
              </w:rPr>
            </w:pPr>
            <w:r>
              <w:rPr>
                <w:rFonts w:ascii="Arial" w:cs="Arial" w:eastAsia="Arial" w:hAnsi="Arial"/>
                <w:sz w:val="14"/>
                <w:szCs w:val="14"/>
                <w:b w:val="1"/>
                <w:bCs w:val="1"/>
                <w:color w:val="auto"/>
              </w:rPr>
              <w:t>Beneficial Owner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4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James A. Clishem</w:t>
            </w:r>
          </w:p>
        </w:tc>
        <w:tc>
          <w:tcPr>
            <w:tcW w:w="720" w:type="dxa"/>
            <w:vAlign w:val="bottom"/>
          </w:tcPr>
          <w:p>
            <w:pPr>
              <w:jc w:val="right"/>
              <w:spacing w:after="0"/>
              <w:rPr>
                <w:sz w:val="20"/>
                <w:szCs w:val="20"/>
                <w:color w:val="auto"/>
              </w:rPr>
            </w:pPr>
            <w:r>
              <w:rPr>
                <w:rFonts w:ascii="Arial" w:cs="Arial" w:eastAsia="Arial" w:hAnsi="Arial"/>
                <w:sz w:val="18"/>
                <w:szCs w:val="18"/>
                <w:color w:val="auto"/>
              </w:rPr>
              <w:t>842,660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John K. Penver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James M. Murphy</w:t>
            </w:r>
          </w:p>
        </w:tc>
        <w:tc>
          <w:tcPr>
            <w:tcW w:w="720" w:type="dxa"/>
            <w:vAlign w:val="bottom"/>
          </w:tcPr>
          <w:p>
            <w:pPr>
              <w:jc w:val="right"/>
              <w:spacing w:after="0"/>
              <w:rPr>
                <w:sz w:val="20"/>
                <w:szCs w:val="20"/>
                <w:color w:val="auto"/>
              </w:rPr>
            </w:pPr>
            <w:r>
              <w:rPr>
                <w:rFonts w:ascii="Arial" w:cs="Arial" w:eastAsia="Arial" w:hAnsi="Arial"/>
                <w:sz w:val="18"/>
                <w:szCs w:val="18"/>
                <w:color w:val="auto"/>
              </w:rPr>
              <w:t>46,897</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Gary P. Rackow</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63,663</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Lisa M. Brown</w:t>
            </w:r>
          </w:p>
        </w:tc>
        <w:tc>
          <w:tcPr>
            <w:tcW w:w="720" w:type="dxa"/>
            <w:vAlign w:val="bottom"/>
          </w:tcPr>
          <w:p>
            <w:pPr>
              <w:jc w:val="right"/>
              <w:spacing w:after="0"/>
              <w:rPr>
                <w:sz w:val="20"/>
                <w:szCs w:val="20"/>
                <w:color w:val="auto"/>
              </w:rPr>
            </w:pPr>
            <w:r>
              <w:rPr>
                <w:rFonts w:ascii="Arial" w:cs="Arial" w:eastAsia="Arial" w:hAnsi="Arial"/>
                <w:sz w:val="18"/>
                <w:szCs w:val="18"/>
                <w:color w:val="auto"/>
              </w:rPr>
              <w:t>100,788</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Richard E. Anderson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Ake Almgren</w:t>
            </w:r>
          </w:p>
        </w:tc>
        <w:tc>
          <w:tcPr>
            <w:tcW w:w="720" w:type="dxa"/>
            <w:vAlign w:val="bottom"/>
          </w:tcPr>
          <w:p>
            <w:pPr>
              <w:jc w:val="right"/>
              <w:spacing w:after="0"/>
              <w:rPr>
                <w:sz w:val="20"/>
                <w:szCs w:val="20"/>
                <w:color w:val="auto"/>
              </w:rPr>
            </w:pPr>
            <w:r>
              <w:rPr>
                <w:rFonts w:ascii="Arial" w:cs="Arial" w:eastAsia="Arial" w:hAnsi="Arial"/>
                <w:sz w:val="18"/>
                <w:szCs w:val="18"/>
                <w:color w:val="auto"/>
              </w:rPr>
              <w:t>107,500</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Rodney S. Bond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Bradley Boston</w:t>
            </w:r>
          </w:p>
        </w:tc>
        <w:tc>
          <w:tcPr>
            <w:tcW w:w="720" w:type="dxa"/>
            <w:vAlign w:val="bottom"/>
          </w:tcPr>
          <w:p>
            <w:pPr>
              <w:jc w:val="right"/>
              <w:spacing w:after="0"/>
              <w:rPr>
                <w:sz w:val="20"/>
                <w:szCs w:val="20"/>
                <w:color w:val="auto"/>
              </w:rPr>
            </w:pPr>
            <w:r>
              <w:rPr>
                <w:rFonts w:ascii="Arial" w:cs="Arial" w:eastAsia="Arial" w:hAnsi="Arial"/>
                <w:sz w:val="18"/>
                <w:szCs w:val="18"/>
                <w:color w:val="auto"/>
              </w:rPr>
              <w:t>45,000</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Jan H. Lindelow</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Benjamin L. Scott</w:t>
            </w: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All current directors and executive officers as a group (14 persons)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2,688,412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323"/>
        </w:trPr>
        <w:tc>
          <w:tcPr>
            <w:tcW w:w="9440" w:type="dxa"/>
            <w:vAlign w:val="bottom"/>
            <w:gridSpan w:val="5"/>
          </w:tcPr>
          <w:p>
            <w:pPr>
              <w:spacing w:after="0"/>
              <w:rPr>
                <w:sz w:val="20"/>
                <w:szCs w:val="20"/>
                <w:color w:val="auto"/>
              </w:rPr>
            </w:pPr>
            <w:r>
              <w:rPr>
                <w:rFonts w:ascii="Arial" w:cs="Arial" w:eastAsia="Arial" w:hAnsi="Arial"/>
                <w:sz w:val="18"/>
                <w:szCs w:val="18"/>
                <w:i w:val="1"/>
                <w:iCs w:val="1"/>
                <w:color w:val="auto"/>
              </w:rPr>
              <w:t>Other 5% stockholders: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Sound Energy Partners, Inc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7,518,288</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Joseph F. Pinkerton III</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4,587,982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PowerShares Capital Management LLC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3,470,222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HBK Investments LP.</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3,283,173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rPr>
              <w:t>Less than one percent of the outstanding common stock</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Regarding Beneficial Ownership Table</w:t>
      </w:r>
      <w:r>
        <w:rPr>
          <w:rFonts w:ascii="Arial" w:cs="Arial" w:eastAsia="Arial" w:hAnsi="Arial"/>
          <w:sz w:val="18"/>
          <w:szCs w:val="18"/>
          <w:color w:val="auto"/>
        </w:rPr>
        <w:t>:</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address for all officers and directors is c/o Active Power, Inc., 2128 W. Braker Lane, Braker 12, Austin, Texas 78758.</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James A. Clishem. </w:t>
      </w:r>
      <w:r>
        <w:rPr>
          <w:rFonts w:ascii="Arial" w:cs="Arial" w:eastAsia="Arial" w:hAnsi="Arial"/>
          <w:sz w:val="18"/>
          <w:szCs w:val="18"/>
          <w:color w:val="auto"/>
        </w:rPr>
        <w:t>Includes 194,223 shares of outstanding common stock and 648,437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28,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ind w:left="325"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John K. Penver. </w:t>
      </w:r>
      <w:r>
        <w:rPr>
          <w:rFonts w:ascii="Arial" w:cs="Arial" w:eastAsia="Arial" w:hAnsi="Arial"/>
          <w:sz w:val="18"/>
          <w:szCs w:val="18"/>
          <w:color w:val="auto"/>
        </w:rPr>
        <w:t>Includes 56,594 shares of outstanding common stock and 210,625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28, 2008.</w:t>
      </w:r>
    </w:p>
    <w:p>
      <w:pPr>
        <w:spacing w:after="0" w:line="50" w:lineRule="exact"/>
        <w:rPr>
          <w:rFonts w:ascii="Arial" w:cs="Arial" w:eastAsia="Arial" w:hAnsi="Arial"/>
          <w:sz w:val="18"/>
          <w:szCs w:val="18"/>
          <w:color w:val="auto"/>
        </w:rPr>
      </w:pPr>
    </w:p>
    <w:p>
      <w:pPr>
        <w:ind w:left="325" w:right="36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James M. Murphy</w:t>
      </w:r>
      <w:r>
        <w:rPr>
          <w:rFonts w:ascii="Arial" w:cs="Arial" w:eastAsia="Arial" w:hAnsi="Arial"/>
          <w:sz w:val="18"/>
          <w:szCs w:val="18"/>
          <w:color w:val="auto"/>
        </w:rPr>
        <w:t>. Includes 13,834 shares of outstanding common stock and 33,063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28, 2008.</w:t>
      </w:r>
    </w:p>
    <w:p>
      <w:pPr>
        <w:spacing w:after="0" w:line="50" w:lineRule="exact"/>
        <w:rPr>
          <w:rFonts w:ascii="Arial" w:cs="Arial" w:eastAsia="Arial" w:hAnsi="Arial"/>
          <w:sz w:val="18"/>
          <w:szCs w:val="18"/>
          <w:color w:val="auto"/>
        </w:rPr>
      </w:pPr>
    </w:p>
    <w:p>
      <w:pPr>
        <w:ind w:left="325" w:right="6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Gary P. Rackow</w:t>
      </w:r>
      <w:r>
        <w:rPr>
          <w:rFonts w:ascii="Arial" w:cs="Arial" w:eastAsia="Arial" w:hAnsi="Arial"/>
          <w:sz w:val="18"/>
          <w:szCs w:val="18"/>
          <w:color w:val="auto"/>
        </w:rPr>
        <w:t>. Includes 13,663 shares of outstanding common stock and 50,000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28, 2008.</w:t>
      </w:r>
    </w:p>
    <w:p>
      <w:pPr>
        <w:spacing w:after="0" w:line="50" w:lineRule="exact"/>
        <w:rPr>
          <w:rFonts w:ascii="Arial" w:cs="Arial" w:eastAsia="Arial" w:hAnsi="Arial"/>
          <w:sz w:val="18"/>
          <w:szCs w:val="18"/>
          <w:color w:val="auto"/>
        </w:rPr>
      </w:pPr>
    </w:p>
    <w:p>
      <w:pPr>
        <w:ind w:left="325" w:right="12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Lisa M. Brown</w:t>
      </w:r>
      <w:r>
        <w:rPr>
          <w:rFonts w:ascii="Arial" w:cs="Arial" w:eastAsia="Arial" w:hAnsi="Arial"/>
          <w:sz w:val="18"/>
          <w:szCs w:val="18"/>
          <w:color w:val="auto"/>
        </w:rPr>
        <w:t>. Includes 16,413 shares of outstanding common stock and 84,375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25, 2008.</w:t>
      </w:r>
    </w:p>
    <w:p>
      <w:pPr>
        <w:spacing w:after="0" w:line="50" w:lineRule="exact"/>
        <w:rPr>
          <w:rFonts w:ascii="Arial" w:cs="Arial" w:eastAsia="Arial" w:hAnsi="Arial"/>
          <w:sz w:val="18"/>
          <w:szCs w:val="18"/>
          <w:color w:val="auto"/>
        </w:rPr>
      </w:pPr>
    </w:p>
    <w:p>
      <w:pPr>
        <w:ind w:left="325" w:right="2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Ake Almgren. </w:t>
      </w:r>
      <w:r>
        <w:rPr>
          <w:rFonts w:ascii="Arial" w:cs="Arial" w:eastAsia="Arial" w:hAnsi="Arial"/>
          <w:sz w:val="18"/>
          <w:szCs w:val="18"/>
          <w:color w:val="auto"/>
        </w:rPr>
        <w:t>Includes 47,500 shares of outstanding common stock and 60,000 shares of common stock issuable upon exercise of options within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of March 28, 2008.</w:t>
      </w:r>
    </w:p>
    <w:p>
      <w:pPr>
        <w:spacing w:after="0" w:line="50" w:lineRule="exact"/>
        <w:rPr>
          <w:rFonts w:ascii="Arial" w:cs="Arial" w:eastAsia="Arial" w:hAnsi="Arial"/>
          <w:sz w:val="18"/>
          <w:szCs w:val="18"/>
          <w:color w:val="auto"/>
        </w:rPr>
      </w:pPr>
    </w:p>
    <w:p>
      <w:pPr>
        <w:ind w:left="325" w:right="220" w:hanging="325"/>
        <w:spacing w:after="0" w:line="306" w:lineRule="auto"/>
        <w:tabs>
          <w:tab w:leader="none" w:pos="32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Richard E. Anderson. </w:t>
      </w:r>
      <w:r>
        <w:rPr>
          <w:rFonts w:ascii="Arial" w:cs="Arial" w:eastAsia="Arial" w:hAnsi="Arial"/>
          <w:sz w:val="16"/>
          <w:szCs w:val="16"/>
          <w:color w:val="auto"/>
        </w:rPr>
        <w:t>Includes 449,009 shares of outstanding common stock. 93,800 shares indicated as owned by Mr. Anderson are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because of his association with Rita Investments. These shares also include 46,116 shares owned by Mr. Anderson’s spouse. Also includes 60,000 shares of common stock issuable upon exercise of options within 60 days of March 28, 2008.</w:t>
      </w:r>
    </w:p>
    <w:p>
      <w:pPr>
        <w:spacing w:after="0" w:line="25" w:lineRule="exact"/>
        <w:rPr>
          <w:rFonts w:ascii="Arial" w:cs="Arial" w:eastAsia="Arial" w:hAnsi="Arial"/>
          <w:sz w:val="16"/>
          <w:szCs w:val="16"/>
          <w:color w:val="auto"/>
        </w:rPr>
      </w:pPr>
    </w:p>
    <w:p>
      <w:pPr>
        <w:ind w:left="325" w:right="4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44,820 shares of outstanding common stock and 80,400 shares of common stock issuable upon exercise of options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 days of March 28, 2008.</w:t>
      </w:r>
    </w:p>
    <w:p>
      <w:pPr>
        <w:spacing w:after="0" w:line="50" w:lineRule="exact"/>
        <w:rPr>
          <w:rFonts w:ascii="Arial" w:cs="Arial" w:eastAsia="Arial" w:hAnsi="Arial"/>
          <w:sz w:val="18"/>
          <w:szCs w:val="18"/>
          <w:color w:val="auto"/>
        </w:rPr>
      </w:pPr>
    </w:p>
    <w:p>
      <w:pPr>
        <w:ind w:left="325" w:right="14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Bradley Boston. </w:t>
      </w:r>
      <w:r>
        <w:rPr>
          <w:rFonts w:ascii="Arial" w:cs="Arial" w:eastAsia="Arial" w:hAnsi="Arial"/>
          <w:sz w:val="18"/>
          <w:szCs w:val="18"/>
          <w:color w:val="auto"/>
        </w:rPr>
        <w:t>Includes 45,000 shares of common stock issuable upon exercise of options within 60 days of March 28, 2008. All of Mr. Boston’s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will expire 90 days following his January 27, 2008 resignation from the Company’s Board of Directors.</w:t>
      </w:r>
    </w:p>
    <w:p>
      <w:pPr>
        <w:spacing w:after="0" w:line="50" w:lineRule="exact"/>
        <w:rPr>
          <w:rFonts w:ascii="Arial" w:cs="Arial" w:eastAsia="Arial" w:hAnsi="Arial"/>
          <w:sz w:val="18"/>
          <w:szCs w:val="18"/>
          <w:color w:val="auto"/>
        </w:rPr>
      </w:pPr>
    </w:p>
    <w:p>
      <w:pPr>
        <w:ind w:left="325" w:right="40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100,000 shares of outstanding common stock and 75,000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28, 2008.</w:t>
      </w:r>
    </w:p>
    <w:p>
      <w:pPr>
        <w:spacing w:after="0" w:line="50" w:lineRule="exact"/>
        <w:rPr>
          <w:rFonts w:ascii="Arial" w:cs="Arial" w:eastAsia="Arial" w:hAnsi="Arial"/>
          <w:sz w:val="18"/>
          <w:szCs w:val="18"/>
          <w:color w:val="auto"/>
        </w:rPr>
      </w:pPr>
    </w:p>
    <w:p>
      <w:pPr>
        <w:ind w:left="325" w:right="38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65,000 shares of outstanding common stock and 70,000 shares of common stock issuable upon exercise of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60 days of March 28, 2008.</w:t>
      </w:r>
    </w:p>
    <w:p>
      <w:pPr>
        <w:spacing w:after="0" w:line="50" w:lineRule="exact"/>
        <w:rPr>
          <w:rFonts w:ascii="Arial" w:cs="Arial" w:eastAsia="Arial" w:hAnsi="Arial"/>
          <w:sz w:val="18"/>
          <w:szCs w:val="18"/>
          <w:color w:val="auto"/>
        </w:rPr>
      </w:pPr>
    </w:p>
    <w:p>
      <w:pPr>
        <w:ind w:left="325" w:right="140" w:hanging="325"/>
        <w:spacing w:after="0" w:line="268"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current directors and executive officers as a group. </w:t>
      </w:r>
      <w:r>
        <w:rPr>
          <w:rFonts w:ascii="Arial" w:cs="Arial" w:eastAsia="Arial" w:hAnsi="Arial"/>
          <w:sz w:val="18"/>
          <w:szCs w:val="18"/>
          <w:color w:val="auto"/>
        </w:rPr>
        <w:t>Includes 1,038,927 shares of outstanding common stock and 1,649,485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issuable upon exercise of options that are exercisable within 60 days after March 28, 2008.</w:t>
      </w:r>
    </w:p>
    <w:p>
      <w:pPr>
        <w:spacing w:after="0" w:line="50" w:lineRule="exact"/>
        <w:rPr>
          <w:rFonts w:ascii="Arial" w:cs="Arial" w:eastAsia="Arial" w:hAnsi="Arial"/>
          <w:sz w:val="18"/>
          <w:szCs w:val="18"/>
          <w:color w:val="auto"/>
        </w:rPr>
      </w:pPr>
    </w:p>
    <w:p>
      <w:pPr>
        <w:ind w:left="325" w:hanging="325"/>
        <w:spacing w:after="0" w:line="259" w:lineRule="auto"/>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Sound Energy Partners, Inc. </w:t>
      </w:r>
      <w:r>
        <w:rPr>
          <w:rFonts w:ascii="Arial" w:cs="Arial" w:eastAsia="Arial" w:hAnsi="Arial"/>
          <w:sz w:val="18"/>
          <w:szCs w:val="18"/>
          <w:color w:val="auto"/>
        </w:rPr>
        <w:t>Pursuant to a Schedule 13G/A dated February 13, 2008, as filed with the Securities and Exchange Commission, Sound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Partners, Inc. reported that it had shared voting power and shared dispositive power over 7,518,288 shares of common stock as of December 31, 2007 and that its address is 354 Pequot Avenue, Southport, Connecticut 06890.</w:t>
      </w:r>
    </w:p>
    <w:p>
      <w:pPr>
        <w:spacing w:after="0" w:line="59" w:lineRule="exact"/>
        <w:rPr>
          <w:rFonts w:ascii="Arial" w:cs="Arial" w:eastAsia="Arial" w:hAnsi="Arial"/>
          <w:sz w:val="18"/>
          <w:szCs w:val="18"/>
          <w:color w:val="auto"/>
        </w:rPr>
      </w:pPr>
    </w:p>
    <w:p>
      <w:pPr>
        <w:ind w:left="325" w:right="200" w:hanging="325"/>
        <w:spacing w:after="0" w:line="290" w:lineRule="auto"/>
        <w:tabs>
          <w:tab w:leader="none" w:pos="32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Joseph F. Pinkerton, III. </w:t>
      </w:r>
      <w:r>
        <w:rPr>
          <w:rFonts w:ascii="Arial" w:cs="Arial" w:eastAsia="Arial" w:hAnsi="Arial"/>
          <w:sz w:val="16"/>
          <w:szCs w:val="16"/>
          <w:color w:val="auto"/>
        </w:rPr>
        <w:t>Pursuant to a Schedule 13G dated February 14, 2008, as filed with the Securities and Exchange Commission, Joseph 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Pinkerton II reported that he had beneficial ownership over 4,587,982 shares of common stock as of December 31, 2007. 3,487,385 of the shares indicated as owned by Mr. Pinkerton are held by CJP Partners, Ltd., a limited partnership in which CJP Management, L.L.C. is the sole general partner and Mr. Pinkerton and his spouse are the sole limited partners. In addition, 571,772 of the shares indicated as owned by 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571,772 shares held by the trusts.</w:t>
      </w:r>
    </w:p>
    <w:p>
      <w:pPr>
        <w:spacing w:after="0" w:line="37" w:lineRule="exact"/>
        <w:rPr>
          <w:rFonts w:ascii="Arial" w:cs="Arial" w:eastAsia="Arial" w:hAnsi="Arial"/>
          <w:sz w:val="16"/>
          <w:szCs w:val="16"/>
          <w:color w:val="auto"/>
        </w:rPr>
      </w:pPr>
    </w:p>
    <w:p>
      <w:pPr>
        <w:ind w:left="325" w:right="320" w:hanging="325"/>
        <w:spacing w:after="0" w:line="306" w:lineRule="auto"/>
        <w:tabs>
          <w:tab w:leader="none" w:pos="32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PowerShares Capital Management LLC. </w:t>
      </w:r>
      <w:r>
        <w:rPr>
          <w:rFonts w:ascii="Arial" w:cs="Arial" w:eastAsia="Arial" w:hAnsi="Arial"/>
          <w:sz w:val="16"/>
          <w:szCs w:val="16"/>
          <w:color w:val="auto"/>
        </w:rPr>
        <w:t>Pursuant to a Schedule 13G dated February 9, 2008, as filed with the Securities and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PowerShares Capital Management LLC reported that it had sole voting power and sole dispositive power over 3,470,222 shares of common stock as of December 31, 2007 and that its address is 301 West Roosevelt Road, Wheaton, Illinois, 60187.</w:t>
      </w:r>
    </w:p>
    <w:p>
      <w:pPr>
        <w:spacing w:after="0" w:line="25" w:lineRule="exact"/>
        <w:rPr>
          <w:rFonts w:ascii="Arial" w:cs="Arial" w:eastAsia="Arial" w:hAnsi="Arial"/>
          <w:sz w:val="16"/>
          <w:szCs w:val="16"/>
          <w:color w:val="auto"/>
        </w:rPr>
      </w:pPr>
    </w:p>
    <w:p>
      <w:pPr>
        <w:ind w:left="325" w:right="40" w:hanging="325"/>
        <w:spacing w:after="0" w:line="306" w:lineRule="auto"/>
        <w:tabs>
          <w:tab w:leader="none" w:pos="325"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HBK Investments LP. </w:t>
      </w:r>
      <w:r>
        <w:rPr>
          <w:rFonts w:ascii="Arial" w:cs="Arial" w:eastAsia="Arial" w:hAnsi="Arial"/>
          <w:sz w:val="16"/>
          <w:szCs w:val="16"/>
          <w:color w:val="auto"/>
        </w:rPr>
        <w:t>Pursuant to a Schedule 13G dated February 1, 2008, as filed with the Securities and Exchange Commission, Dawson Herman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Management Inc. reported that it had shared voting power and shared dispositive power over 3,283,173 shares of common stock as of December 31, 2007 and that its address is 300 Crescent Court, Suite 700, Dallas, Texas 75201.</w:t>
      </w:r>
    </w:p>
    <w:p>
      <w:pPr>
        <w:spacing w:after="0" w:line="93"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85"/>
          </w:cols>
          <w:pgMar w:left="815" w:top="280" w:right="29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information regarding the employment agreements we have with James A. Clishem and John K. Penver, please see the “Employment Agreements with Officers” section of our Compensation Discussion &amp; Analysis, above.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Agreements with directors and officers.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Registration rights</w:t>
      </w:r>
      <w:r>
        <w:rPr>
          <w:rFonts w:ascii="Arial" w:cs="Arial" w:eastAsia="Arial" w:hAnsi="Arial"/>
          <w:sz w:val="15"/>
          <w:szCs w:val="15"/>
          <w:color w:val="auto"/>
        </w:rPr>
        <w:t>. According to the terms of an investors’ rights agreement among us, investors who purchased shares of our preferred stock in financings</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our initial public offering, and Joseph F. Pinkerton, III, founder of the Company, Mr. Pinkerton may require us to file a registration statement under the Securities Act of 1933 with respect to the resale of shares of our common stock held by him. We are not required to effect more than two of these demand registrations. Mr. Pinkerton may require us to file an unlimited number of registration statements on Form S-3 with respect to his shares of common stock.</w:t>
      </w:r>
    </w:p>
    <w:p>
      <w:pPr>
        <w:spacing w:after="0" w:line="9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Additionally, Mr. Pinkerton has piggyback registration rights with respect to future registration of our shares of common stock under the Securities Act. If we propose to register any shares of common stock under the Securities Act, Mr. Pinkerton is entitled to receive notice of such registration and is entitled to include his shares in the registration.</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are eligible to file a registration statement on Form S-3 under the Securities Act, Mr. Pinkerton may also require us to file up to six registration statements on Form S-3 with respect to his shares of common stock, resulting in an aggregate offering of at least $500,000 on each registration statement on Form S-3. We are not required to file more than one registration statement on Form S-3 in any one six-month period.</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 These registration rights terminate at such time as Mr. Pinkerton (i) holds less than 3% of the fully diluted shares of our common stock and (ii) is eligible to dispose of all his shares pursuant to Rule 144.</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granted to executive officers and directors.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more information regarding the grant of stock options to executive officers and directors in 2007, please see the table “Grant of Plan-Based Awards” and the footnotes thereto included in the Executive Compensation section of our Compensation Discussion &amp; Analysis, above.</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Termination of employment and change in control arrangements. </w:t>
      </w:r>
      <w:r>
        <w:rPr>
          <w:rFonts w:ascii="Arial" w:cs="Arial" w:eastAsia="Arial" w:hAnsi="Arial"/>
          <w:sz w:val="16"/>
          <w:szCs w:val="16"/>
          <w:color w:val="auto"/>
        </w:rPr>
        <w:t>For information regarding the employment agreements we have with James A. Clishem</w:t>
      </w:r>
      <w:r>
        <w:rPr>
          <w:rFonts w:ascii="Arial" w:cs="Arial" w:eastAsia="Arial" w:hAnsi="Arial"/>
          <w:sz w:val="16"/>
          <w:szCs w:val="16"/>
          <w:i w:val="1"/>
          <w:iCs w:val="1"/>
          <w:color w:val="auto"/>
        </w:rPr>
        <w:t xml:space="preserve"> </w:t>
      </w:r>
      <w:r>
        <w:rPr>
          <w:rFonts w:ascii="Arial" w:cs="Arial" w:eastAsia="Arial" w:hAnsi="Arial"/>
          <w:sz w:val="16"/>
          <w:szCs w:val="16"/>
          <w:color w:val="auto"/>
        </w:rPr>
        <w:t>and John K. Penver, please see the “Employment Agreements with Officers” section of our Compensation Discussion &amp; Analysis, above.</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officers and have purchased directors’ and officers’ liability insurance. In addition, our certificate of incorporation limits the personal liability of our Board members for breaches of their fiduciary duties.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We currently have no outstanding loans to any officers or directors. Furthermore, our Board of Directors has resolved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shall not offer or provide any loans to any officer or director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INCORPORATION BY REFERENCE OF CERTAIN PORTIONS OF THIS PROXY STATEMENT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Audit Committee Report nor the Compensation Committee Report is to be incorporated by reference into any such prior filings, nor shall such report be incorporated by reference into any future filings made by us under those statutes.</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on that review, we have noted that, during the year ended December 31, 2007, Bradley Boston, Benjamin Scott, Rodney Bond, Richard Anderson and Jan Lindelow were each delinquent in filing one form required by Section 16(a), and that Ake Almgren was delinquent in filing two required forms.</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copy of our Annual Report to Stockholders for 2007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REPORT ON FORM 10-K</w:t>
      </w:r>
    </w:p>
    <w:p>
      <w:pPr>
        <w:spacing w:after="0" w:line="1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filed an Annual Report on Form 10-K with the Securities and Exchange Commission on February 29, 2008. Stockholders may obtain a copy of this report, without charge, by writing to the attention of Investor Relations, at our principal executive offices, located at 2128 W. Braker Lane, Braker 12, Austin, Texas 78758.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2008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274" w:right="3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26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772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20"/>
                <w:szCs w:val="20"/>
                <w:color w:val="auto"/>
              </w:rPr>
            </w:pPr>
            <w:r>
              <w:rPr>
                <w:rFonts w:ascii="Arial" w:cs="Arial" w:eastAsia="Arial" w:hAnsi="Arial"/>
                <w:sz w:val="14"/>
                <w:szCs w:val="14"/>
                <w:color w:val="FFFFFF"/>
              </w:rPr>
              <w:t>2128 W. BRAKER LANE BK12 STE 110 AUSTIN, TEXAS 78758</w:t>
            </w:r>
          </w:p>
        </w:tc>
        <w:tc>
          <w:tcPr>
            <w:tcW w:w="5080" w:type="dxa"/>
            <w:vAlign w:val="bottom"/>
          </w:tcPr>
          <w:p>
            <w:pPr>
              <w:spacing w:after="0"/>
              <w:rPr>
                <w:sz w:val="14"/>
                <w:szCs w:val="14"/>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VOTE BY INTERNET—www.proxyvote.com</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ELECTRONIC DELIVERY OF FUTURE STOCKHOLDER COMMUNICATIONS</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If you would like to reduce the costs incurred by Active Power, Inc.   mailing proxy materials, you can consent to receiving all future proxy statements, proxy cards and annual reports electronically via e-mail</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or the Internet. To sign up for electronic delivery, please follow the instructions above to vote using the Internet and, when prompted, indicate that you agree to receive or access stockholder communications</w:t>
            </w: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electronically in future years.</w:t>
            </w:r>
          </w:p>
        </w:tc>
        <w:tc>
          <w:tcPr>
            <w:tcW w:w="5080" w:type="dxa"/>
            <w:vAlign w:val="bottom"/>
          </w:tcPr>
          <w:p>
            <w:pPr>
              <w:spacing w:after="0"/>
              <w:rPr>
                <w:sz w:val="3"/>
                <w:szCs w:val="3"/>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VOTE BY PHONE—1-800-690-6903</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the instructions.</w:t>
            </w:r>
          </w:p>
        </w:tc>
        <w:tc>
          <w:tcPr>
            <w:tcW w:w="5080" w:type="dxa"/>
            <w:vAlign w:val="bottom"/>
          </w:tcPr>
          <w:p>
            <w:pPr>
              <w:spacing w:after="0"/>
              <w:rPr>
                <w:sz w:val="3"/>
                <w:szCs w:val="3"/>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VOTE BY MAIL</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Active Power, Inc., c/o Broadridge, 51 Mercedes Way, Edgewood, NY 11717.</w:t>
            </w: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TO VOTE, MARK BLOCKS BELOW IN BLUE OR BLACK INK AS FOLLOWS:</w:t>
            </w:r>
          </w:p>
        </w:tc>
        <w:tc>
          <w:tcPr>
            <w:tcW w:w="5080" w:type="dxa"/>
            <w:vAlign w:val="bottom"/>
          </w:tcPr>
          <w:p>
            <w:pPr>
              <w:spacing w:after="0"/>
              <w:rPr>
                <w:sz w:val="3"/>
                <w:szCs w:val="3"/>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ACPWR1</w:t>
            </w:r>
          </w:p>
        </w:tc>
        <w:tc>
          <w:tcPr>
            <w:tcW w:w="5080" w:type="dxa"/>
            <w:vAlign w:val="bottom"/>
          </w:tcPr>
          <w:p>
            <w:pPr>
              <w:spacing w:after="0"/>
              <w:rPr>
                <w:sz w:val="3"/>
                <w:szCs w:val="3"/>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KEEP THIS PORTION FOR YOUR RECORDS DETACH AND RETURN THIS PORTION ONLY</w:t>
            </w:r>
          </w:p>
        </w:tc>
        <w:tc>
          <w:tcPr>
            <w:tcW w:w="5080" w:type="dxa"/>
            <w:vAlign w:val="bottom"/>
          </w:tcPr>
          <w:p>
            <w:pPr>
              <w:spacing w:after="0"/>
              <w:rPr>
                <w:sz w:val="3"/>
                <w:szCs w:val="3"/>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THIS PROXY CARD IS VALID ONLY WHEN SIGNED AND DATED.</w:t>
            </w:r>
          </w:p>
        </w:tc>
        <w:tc>
          <w:tcPr>
            <w:tcW w:w="5080" w:type="dxa"/>
            <w:vAlign w:val="bottom"/>
          </w:tcPr>
          <w:p>
            <w:pPr>
              <w:spacing w:after="0"/>
              <w:rPr>
                <w:sz w:val="3"/>
                <w:szCs w:val="3"/>
                <w:color w:val="auto"/>
              </w:rPr>
            </w:pP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ACTIVE POWER, INC.</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The Board of Directors recommends a vote FOR the directors listed below and a vote FOR the listed proposal. This Proxy, when properly executed, will be voted as specified hereon.</w:t>
            </w: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1. TO ELECT THE FOLLOWING NOMINEES AS DIRECTORS:</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Class II Directors to serve for a three-year term ending at the 2011 annual meeting of stockholders or until their successors are duly elected and qualified: 01) James A. Clishem 02) Jan H. Lindelow</w:t>
            </w:r>
          </w:p>
        </w:tc>
      </w:tr>
      <w:tr>
        <w:trPr>
          <w:trHeight w:val="41"/>
        </w:trPr>
        <w:tc>
          <w:tcPr>
            <w:tcW w:w="6220" w:type="dxa"/>
            <w:vAlign w:val="bottom"/>
          </w:tcPr>
          <w:p>
            <w:pPr>
              <w:spacing w:after="0"/>
              <w:rPr>
                <w:sz w:val="20"/>
                <w:szCs w:val="20"/>
                <w:color w:val="auto"/>
              </w:rPr>
            </w:pPr>
            <w:r>
              <w:rPr>
                <w:rFonts w:ascii="Arial" w:cs="Arial" w:eastAsia="Arial" w:hAnsi="Arial"/>
                <w:sz w:val="3"/>
                <w:szCs w:val="3"/>
                <w:color w:val="FFFFFF"/>
              </w:rPr>
              <w:t>TO ELECT THE FOLLOWING NOMINEE AS DIRECTOR:</w:t>
            </w:r>
          </w:p>
        </w:tc>
        <w:tc>
          <w:tcPr>
            <w:tcW w:w="508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Class III Director to serve until the 2009 annual meeting of stockholders or until his successor is duly elected and qualified: 03) James E. deVenny III</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2. TO RATIFY THE APPOINTMENT OF ERNST &amp; YOUNG LLP AS INDEPENDENT AUDITORS FOR ACTIVE POWER, INC. FOR THE FISCAL YEAR ENDING DECEMBER 31, 2008.</w:t>
            </w:r>
          </w:p>
        </w:tc>
      </w:tr>
      <w:tr>
        <w:trPr>
          <w:trHeight w:val="41"/>
        </w:trPr>
        <w:tc>
          <w:tcPr>
            <w:tcW w:w="11300" w:type="dxa"/>
            <w:vAlign w:val="bottom"/>
            <w:gridSpan w:val="2"/>
          </w:tcPr>
          <w:p>
            <w:pPr>
              <w:ind w:left="60"/>
              <w:spacing w:after="0"/>
              <w:rPr>
                <w:sz w:val="20"/>
                <w:szCs w:val="20"/>
                <w:color w:val="auto"/>
              </w:rPr>
            </w:pPr>
            <w:r>
              <w:rPr>
                <w:rFonts w:ascii="Arial" w:cs="Arial" w:eastAsia="Arial" w:hAnsi="Arial"/>
                <w:sz w:val="3"/>
                <w:szCs w:val="3"/>
                <w:color w:val="FFFFFF"/>
              </w:rPr>
              <w:t>n accordance with the discretion of the proxy holders, to act upon all matters incident to the conduct of the meeting and upon other matters as may properly come before the Annual Meeting.</w:t>
            </w:r>
          </w:p>
        </w:tc>
      </w:tr>
      <w:tr>
        <w:trPr>
          <w:trHeight w:val="41"/>
        </w:trPr>
        <w:tc>
          <w:tcPr>
            <w:tcW w:w="11300" w:type="dxa"/>
            <w:vAlign w:val="bottom"/>
            <w:gridSpan w:val="2"/>
          </w:tcPr>
          <w:p>
            <w:pPr>
              <w:ind w:left="60"/>
              <w:spacing w:after="0"/>
              <w:rPr>
                <w:sz w:val="20"/>
                <w:szCs w:val="20"/>
                <w:color w:val="auto"/>
              </w:rPr>
            </w:pPr>
            <w:r>
              <w:rPr>
                <w:rFonts w:ascii="Arial" w:cs="Arial" w:eastAsia="Arial" w:hAnsi="Arial"/>
                <w:sz w:val="3"/>
                <w:szCs w:val="3"/>
                <w:color w:val="FFFFFF"/>
              </w:rPr>
              <w:t>f no specification is made, this Proxy will be voted “FOR” the election of the directors listed above and “FOR” the listed proposal.</w:t>
            </w:r>
          </w:p>
        </w:tc>
      </w:tr>
      <w:tr>
        <w:trPr>
          <w:trHeight w:val="0"/>
        </w:trPr>
        <w:tc>
          <w:tcPr>
            <w:tcW w:w="6220" w:type="dxa"/>
            <w:vAlign w:val="bottom"/>
          </w:tcPr>
          <w:p>
            <w:pPr>
              <w:spacing w:after="0" w:line="80" w:lineRule="exact"/>
              <w:rPr>
                <w:sz w:val="20"/>
                <w:szCs w:val="20"/>
                <w:color w:val="auto"/>
              </w:rPr>
            </w:pPr>
            <w:r>
              <w:rPr>
                <w:rFonts w:ascii="Arial" w:cs="Arial" w:eastAsia="Arial" w:hAnsi="Arial"/>
                <w:sz w:val="9"/>
                <w:szCs w:val="9"/>
                <w:color w:val="FFFFFF"/>
              </w:rPr>
              <w:t>IMPORTANT: Please sign as your name appears hereon. If shares are held jointly, all holders must sign. When</w:t>
            </w:r>
          </w:p>
        </w:tc>
        <w:tc>
          <w:tcPr>
            <w:tcW w:w="5080" w:type="dxa"/>
            <w:vAlign w:val="bottom"/>
          </w:tcPr>
          <w:p>
            <w:pPr>
              <w:ind w:left="240"/>
              <w:spacing w:after="0" w:line="80" w:lineRule="exact"/>
              <w:rPr>
                <w:sz w:val="20"/>
                <w:szCs w:val="20"/>
                <w:color w:val="auto"/>
              </w:rPr>
            </w:pPr>
            <w:r>
              <w:rPr>
                <w:rFonts w:ascii="Arial" w:cs="Arial" w:eastAsia="Arial" w:hAnsi="Arial"/>
                <w:sz w:val="9"/>
                <w:szCs w:val="9"/>
                <w:color w:val="FFFFFF"/>
              </w:rPr>
              <w:t>as attorney, executor, administrator, trustee or guardian, please give your full title. If a</w:t>
            </w:r>
          </w:p>
        </w:tc>
      </w:tr>
    </w:tbl>
    <w:p>
      <w:pPr>
        <w:ind w:left="6040"/>
        <w:spacing w:after="0" w:line="25" w:lineRule="auto"/>
        <w:rPr>
          <w:sz w:val="20"/>
          <w:szCs w:val="20"/>
          <w:color w:val="auto"/>
        </w:rPr>
      </w:pPr>
      <w:r>
        <w:rPr>
          <w:rFonts w:ascii="Arial" w:cs="Arial" w:eastAsia="Arial" w:hAnsi="Arial"/>
          <w:sz w:val="1"/>
          <w:szCs w:val="1"/>
          <w:color w:val="FFFFFF"/>
        </w:rPr>
        <w:t>signing</w:t>
      </w:r>
    </w:p>
    <w:p>
      <w:pPr>
        <w:spacing w:after="0"/>
        <w:tabs>
          <w:tab w:leader="none" w:pos="6380" w:val="left"/>
        </w:tabs>
        <w:rPr>
          <w:sz w:val="20"/>
          <w:szCs w:val="20"/>
          <w:color w:val="auto"/>
        </w:rPr>
      </w:pPr>
      <w:r>
        <w:rPr>
          <w:rFonts w:ascii="Arial" w:cs="Arial" w:eastAsia="Arial" w:hAnsi="Arial"/>
          <w:sz w:val="3"/>
          <w:szCs w:val="3"/>
          <w:color w:val="FFFFFF"/>
        </w:rPr>
        <w:t>Signaturecorporation,[PLEASEpleasesignSIGNin fullWITHINcorporateBOX]nameDateby president or other authorized officer. If a partnership, please sign</w:t>
      </w:r>
      <w:r>
        <w:rPr>
          <w:sz w:val="20"/>
          <w:szCs w:val="20"/>
          <w:color w:val="auto"/>
        </w:rPr>
        <w:tab/>
      </w:r>
      <w:r>
        <w:rPr>
          <w:rFonts w:ascii="Arial" w:cs="Arial" w:eastAsia="Arial" w:hAnsi="Arial"/>
          <w:sz w:val="3"/>
          <w:szCs w:val="3"/>
          <w:color w:val="FFFFFF"/>
        </w:rPr>
        <w:t>partnership name by authorized person.</w:t>
      </w:r>
    </w:p>
    <w:p>
      <w:pPr>
        <w:spacing w:after="0" w:line="181" w:lineRule="auto"/>
        <w:rPr>
          <w:sz w:val="20"/>
          <w:szCs w:val="20"/>
          <w:color w:val="auto"/>
        </w:rPr>
      </w:pPr>
      <w:r>
        <w:rPr>
          <w:rFonts w:ascii="Arial" w:cs="Arial" w:eastAsia="Arial" w:hAnsi="Arial"/>
          <w:sz w:val="10"/>
          <w:szCs w:val="10"/>
          <w:color w:val="FFFFFF"/>
          <w:vertAlign w:val="superscript"/>
        </w:rPr>
        <w:t>For</w:t>
      </w:r>
      <w:r>
        <w:rPr>
          <w:rFonts w:ascii="Arial" w:cs="Arial" w:eastAsia="Arial" w:hAnsi="Arial"/>
          <w:sz w:val="7"/>
          <w:szCs w:val="7"/>
          <w:color w:val="FFFFFF"/>
        </w:rPr>
        <w:t xml:space="preserve"> Withhold For All All All Except</w:t>
      </w:r>
    </w:p>
    <w:p>
      <w:pPr>
        <w:spacing w:after="0"/>
        <w:rPr>
          <w:sz w:val="20"/>
          <w:szCs w:val="20"/>
          <w:color w:val="auto"/>
        </w:rPr>
      </w:pPr>
      <w:r>
        <w:rPr>
          <w:rFonts w:ascii="Arial" w:cs="Arial" w:eastAsia="Arial" w:hAnsi="Arial"/>
          <w:sz w:val="3"/>
          <w:szCs w:val="3"/>
          <w:color w:val="FFFFFF"/>
        </w:rPr>
        <w:t>T  withholdAgainst Abstainauthority to vote for any individual nominee(s), mark “For All Except” and write the number(s) of the nominee(s) on the line below.</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Signature (Joint Owners) Date</w:t>
      </w:r>
    </w:p>
    <w:p>
      <w:pPr>
        <w:sectPr>
          <w:pgSz w:w="11900" w:h="16838" w:orient="portrait"/>
          <w:cols w:equalWidth="0" w:num="1">
            <w:col w:w="11300"/>
          </w:cols>
          <w:pgMar w:left="240" w:top="1440" w:right="3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726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772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20"/>
                <w:szCs w:val="20"/>
                <w:color w:val="auto"/>
              </w:rPr>
            </w:pPr>
            <w:r>
              <w:rPr>
                <w:rFonts w:ascii="Arial" w:cs="Arial" w:eastAsia="Arial" w:hAnsi="Arial"/>
                <w:sz w:val="14"/>
                <w:szCs w:val="14"/>
                <w:color w:val="FFFFFF"/>
              </w:rPr>
              <w:t>ACTIVE POWER, INC.</w:t>
            </w:r>
          </w:p>
        </w:tc>
        <w:tc>
          <w:tcPr>
            <w:tcW w:w="4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720" w:type="dxa"/>
            <w:vAlign w:val="bottom"/>
          </w:tcPr>
          <w:p>
            <w:pPr>
              <w:spacing w:after="0"/>
              <w:rPr>
                <w:sz w:val="20"/>
                <w:szCs w:val="20"/>
                <w:color w:val="auto"/>
              </w:rPr>
            </w:pPr>
            <w:r>
              <w:rPr>
                <w:rFonts w:ascii="Arial" w:cs="Arial" w:eastAsia="Arial" w:hAnsi="Arial"/>
                <w:sz w:val="3"/>
                <w:szCs w:val="3"/>
                <w:color w:val="FFFFFF"/>
              </w:rPr>
              <w:t>PROXY</w:t>
            </w:r>
          </w:p>
        </w:tc>
        <w:tc>
          <w:tcPr>
            <w:tcW w:w="4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20" w:type="dxa"/>
            <w:vAlign w:val="bottom"/>
          </w:tcPr>
          <w:p>
            <w:pPr>
              <w:ind w:left="100"/>
              <w:spacing w:after="0"/>
              <w:rPr>
                <w:sz w:val="20"/>
                <w:szCs w:val="20"/>
                <w:color w:val="auto"/>
              </w:rPr>
            </w:pPr>
            <w:r>
              <w:rPr>
                <w:rFonts w:ascii="Arial" w:cs="Arial" w:eastAsia="Arial" w:hAnsi="Arial"/>
                <w:sz w:val="3"/>
                <w:szCs w:val="3"/>
                <w:color w:val="FFFFFF"/>
              </w:rPr>
              <w:t>HIS PROXY IS SOLICITED ON BEHALF OF THE BOARD OF DIRECTORS OF ACTIVE POWER, INC.</w:t>
            </w:r>
          </w:p>
        </w:tc>
        <w:tc>
          <w:tcPr>
            <w:tcW w:w="4200" w:type="dxa"/>
            <w:vAlign w:val="bottom"/>
            <w:vMerge w:val="restart"/>
          </w:tcPr>
          <w:p>
            <w:pPr>
              <w:ind w:left="140"/>
              <w:spacing w:after="0"/>
              <w:rPr>
                <w:sz w:val="20"/>
                <w:szCs w:val="20"/>
                <w:color w:val="auto"/>
              </w:rPr>
            </w:pPr>
            <w:r>
              <w:rPr>
                <w:rFonts w:ascii="Arial" w:cs="Arial" w:eastAsia="Arial" w:hAnsi="Arial"/>
                <w:sz w:val="3"/>
                <w:szCs w:val="3"/>
                <w:color w:val="FFFFFF"/>
              </w:rPr>
              <w:t>“Annual Meeting”) of Active Power, Inc., a Delaware corporation (“Active</w:t>
            </w:r>
          </w:p>
        </w:tc>
        <w:tc>
          <w:tcPr>
            <w:tcW w:w="0" w:type="dxa"/>
            <w:vAlign w:val="bottom"/>
          </w:tcPr>
          <w:p>
            <w:pPr>
              <w:spacing w:after="0"/>
              <w:rPr>
                <w:sz w:val="1"/>
                <w:szCs w:val="1"/>
                <w:color w:val="auto"/>
              </w:rPr>
            </w:pPr>
          </w:p>
        </w:tc>
      </w:tr>
      <w:tr>
        <w:trPr>
          <w:trHeight w:val="0"/>
        </w:trPr>
        <w:tc>
          <w:tcPr>
            <w:tcW w:w="6720" w:type="dxa"/>
            <w:vAlign w:val="bottom"/>
          </w:tcPr>
          <w:p>
            <w:pPr>
              <w:spacing w:after="0" w:line="80" w:lineRule="exact"/>
              <w:rPr>
                <w:sz w:val="20"/>
                <w:szCs w:val="20"/>
                <w:color w:val="auto"/>
              </w:rPr>
            </w:pPr>
            <w:r>
              <w:rPr>
                <w:rFonts w:ascii="Arial" w:cs="Arial" w:eastAsia="Arial" w:hAnsi="Arial"/>
                <w:sz w:val="9"/>
                <w:szCs w:val="9"/>
                <w:color w:val="FFFFFF"/>
              </w:rPr>
              <w:t>The undersigned revokes all previous proxies, acknowledges receipt of the Notice of the Annual Meeting of Stockholders</w:t>
            </w:r>
          </w:p>
        </w:tc>
        <w:tc>
          <w:tcPr>
            <w:tcW w:w="4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220"/>
        <w:spacing w:after="0"/>
        <w:rPr>
          <w:sz w:val="20"/>
          <w:szCs w:val="20"/>
          <w:color w:val="auto"/>
        </w:rPr>
      </w:pPr>
      <w:r>
        <w:rPr>
          <w:rFonts w:ascii="Arial" w:cs="Arial" w:eastAsia="Arial" w:hAnsi="Arial"/>
          <w:sz w:val="3"/>
          <w:szCs w:val="3"/>
          <w:color w:val="FFFFFF"/>
        </w:rPr>
        <w:t xml:space="preserve">Power”), and the related Proxy Statement dated April 14 , 2008, and appoints John K. Penver and James A. Clishem, each (the Proxy of the undersigned, with full power of substitution, to vote all shares of Common Stock of Active Power, Inc. that the undersigned is entitled to vote, either on his or her own behalf or on behalf of any entity or entities, at the Annual Meeting to be held May 15, 2008 at 2128 W. </w:t>
      </w:r>
      <w:r>
        <w:rPr>
          <w:rFonts w:ascii="Arial" w:cs="Arial" w:eastAsia="Arial" w:hAnsi="Arial"/>
          <w:sz w:val="6"/>
          <w:szCs w:val="6"/>
          <w:color w:val="FFFFFF"/>
          <w:vertAlign w:val="subscript"/>
        </w:rPr>
        <w:t>BK12,</w:t>
      </w:r>
      <w:r>
        <w:rPr>
          <w:rFonts w:ascii="Arial" w:cs="Arial" w:eastAsia="Arial" w:hAnsi="Arial"/>
          <w:sz w:val="3"/>
          <w:szCs w:val="3"/>
          <w:color w:val="FFFFFF"/>
        </w:rPr>
        <w:t>raker Lane</w:t>
      </w:r>
    </w:p>
    <w:p>
      <w:pPr>
        <w:ind w:left="400"/>
        <w:spacing w:after="0" w:line="196" w:lineRule="auto"/>
        <w:rPr>
          <w:sz w:val="20"/>
          <w:szCs w:val="20"/>
          <w:color w:val="auto"/>
        </w:rPr>
      </w:pPr>
      <w:r>
        <w:rPr>
          <w:rFonts w:ascii="Arial" w:cs="Arial" w:eastAsia="Arial" w:hAnsi="Arial"/>
          <w:sz w:val="7"/>
          <w:szCs w:val="7"/>
          <w:color w:val="FFFFFF"/>
        </w:rPr>
        <w:t>Austin, Texas 78758, at 1:00 p.m. Central Time, and at any adjournment</w:t>
      </w:r>
      <w:r>
        <w:rPr>
          <w:rFonts w:ascii="Arial" w:cs="Arial" w:eastAsia="Arial" w:hAnsi="Arial"/>
          <w:sz w:val="10"/>
          <w:szCs w:val="10"/>
          <w:color w:val="FFFFFF"/>
          <w:vertAlign w:val="superscript"/>
        </w:rPr>
        <w:t>forth</w:t>
      </w:r>
      <w:r>
        <w:rPr>
          <w:rFonts w:ascii="Arial" w:cs="Arial" w:eastAsia="Arial" w:hAnsi="Arial"/>
          <w:sz w:val="7"/>
          <w:szCs w:val="7"/>
          <w:color w:val="FFFFFF"/>
        </w:rPr>
        <w:t>postponement thereof, with the same force and effect as the undersigned might or could do if personally present at the Annual</w:t>
      </w:r>
    </w:p>
    <w:p>
      <w:pPr>
        <w:spacing w:after="0" w:line="228" w:lineRule="auto"/>
        <w:tabs>
          <w:tab w:leader="none" w:pos="4580" w:val="left"/>
        </w:tabs>
        <w:rPr>
          <w:sz w:val="20"/>
          <w:szCs w:val="20"/>
          <w:color w:val="auto"/>
        </w:rPr>
      </w:pPr>
      <w:r>
        <w:rPr>
          <w:rFonts w:ascii="Arial" w:cs="Arial" w:eastAsia="Arial" w:hAnsi="Arial"/>
          <w:sz w:val="9"/>
          <w:szCs w:val="9"/>
          <w:color w:val="FFFFFF"/>
        </w:rPr>
        <w:t>Mee</w:t>
      </w:r>
      <w:r>
        <w:rPr>
          <w:rFonts w:ascii="Arial" w:cs="Arial" w:eastAsia="Arial" w:hAnsi="Arial"/>
          <w:sz w:val="15"/>
          <w:szCs w:val="15"/>
          <w:color w:val="FFFFFF"/>
          <w:vertAlign w:val="subscript"/>
        </w:rPr>
        <w:t>(continued</w:t>
      </w:r>
      <w:r>
        <w:rPr>
          <w:rFonts w:ascii="Arial" w:cs="Arial" w:eastAsia="Arial" w:hAnsi="Arial"/>
          <w:sz w:val="9"/>
          <w:szCs w:val="9"/>
          <w:color w:val="FFFFFF"/>
        </w:rPr>
        <w:t>g.Theandsharestobe representedsignedonthebyreverse)thisProxy shall be voted in the manner set</w:t>
      </w:r>
      <w:r>
        <w:rPr>
          <w:sz w:val="20"/>
          <w:szCs w:val="20"/>
          <w:color w:val="auto"/>
        </w:rPr>
        <w:tab/>
      </w:r>
      <w:r>
        <w:rPr>
          <w:rFonts w:ascii="Arial" w:cs="Arial" w:eastAsia="Arial" w:hAnsi="Arial"/>
          <w:sz w:val="11"/>
          <w:szCs w:val="11"/>
          <w:color w:val="FFFFFF"/>
        </w:rPr>
        <w:t>hereon.</w:t>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5"/>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endash "/>
      <w:numFmt w:val="bullet"/>
      <w:start w:val="1"/>
    </w:lvl>
  </w:abstractNum>
  <w:abstractNum w:abstractNumId="9">
    <w:nsid w:val="7FDCC233"/>
    <w:multiLevelType w:val="hybridMultilevel"/>
    <w:lvl w:ilvl="0">
      <w:lvlJc w:val="left"/>
      <w:lvlText w:val="\endash "/>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2019-12-14T18:15:32Z</dcterms:created>
  <dcterms:modified xsi:type="dcterms:W3CDTF">2019-12-14T18:15:32Z</dcterms:modified>
</cp:coreProperties>
</file>