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Coussens Amanda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P10,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4514 COLE AVENUE, 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P10, Inc.</w:t>
              </w:r>
            </w:hyperlink>
            <w:r>
              <w:rPr/>
              <w:t xml:space="preserve"> [ </w:t>
            </w:r>
            <w:r>
              <w:rPr>
                <w:rFonts w:ascii="Times;serif" w:hAnsi="Times;serif"/>
                <w:color w:val="0000FF"/>
                <w:sz w:val="24"/>
                <w:shd w:fill="FFFFFF" w:val="clear"/>
              </w:rPr>
              <w:t>PX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10/23/2023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6,343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21,506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right to receive one share of the Issuer's Class A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23, 2023, the reporting person was granted 21,506 RSUs, all of which will vest on the first anniversary of the grant date, provided that the reporting person remains in continuous service with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&amp; Chief Compliance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/s/Amanda Coussens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8563" TargetMode="External"/><Relationship Id="rId4" Type="http://schemas.openxmlformats.org/officeDocument/2006/relationships/hyperlink" Target="http://www.sec.gov/cgi-bin/browse-edgar?action=getcompany&amp;CIK=000184196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3442</Characters>
  <CharactersWithSpaces>4012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