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September 12, 2007</w:t>
      </w:r>
    </w:p>
    <w:p>
      <w:pPr>
        <w:spacing w:after="0" w:line="21" w:lineRule="exact"/>
        <w:rPr>
          <w:sz w:val="24"/>
          <w:szCs w:val="24"/>
          <w:color w:val="auto"/>
        </w:rPr>
      </w:pPr>
    </w:p>
    <w:p>
      <w:pPr>
        <w:ind w:left="918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-17780</wp:posOffset>
            </wp:positionV>
            <wp:extent cx="3346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73"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 SECURITIES AND EXCHANGE COMMISSION</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64770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S-1</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w:t>
      </w: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116205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5" w:lineRule="exact"/>
        <w:rPr>
          <w:sz w:val="24"/>
          <w:szCs w:val="24"/>
          <w:color w:val="auto"/>
        </w:rPr>
      </w:pPr>
    </w:p>
    <w:tbl>
      <w:tblPr>
        <w:tblLayout w:type="fixed"/>
        <w:tblInd w:w="1040" w:type="dxa"/>
        <w:tblCellMar>
          <w:top w:w="0" w:type="dxa"/>
          <w:left w:w="0" w:type="dxa"/>
          <w:bottom w:w="0" w:type="dxa"/>
          <w:right w:w="0" w:type="dxa"/>
        </w:tblCellMar>
      </w:tblPr>
      <w:tr>
        <w:trPr>
          <w:trHeight w:val="218"/>
        </w:trPr>
        <w:tc>
          <w:tcPr>
            <w:tcW w:w="2300" w:type="dxa"/>
            <w:vAlign w:val="bottom"/>
          </w:tcPr>
          <w:p>
            <w:pPr>
              <w:jc w:val="center"/>
              <w:ind w:right="406"/>
              <w:spacing w:after="0"/>
              <w:rPr>
                <w:sz w:val="20"/>
                <w:szCs w:val="20"/>
                <w:color w:val="auto"/>
              </w:rPr>
            </w:pPr>
            <w:r>
              <w:rPr>
                <w:rFonts w:ascii="Arial" w:cs="Arial" w:eastAsia="Arial" w:hAnsi="Arial"/>
                <w:sz w:val="18"/>
                <w:szCs w:val="18"/>
                <w:b w:val="1"/>
                <w:bCs w:val="1"/>
                <w:color w:val="auto"/>
                <w:w w:val="88"/>
              </w:rPr>
              <w:t>Delaware</w:t>
            </w:r>
          </w:p>
        </w:tc>
        <w:tc>
          <w:tcPr>
            <w:tcW w:w="3360" w:type="dxa"/>
            <w:vAlign w:val="bottom"/>
            <w:gridSpan w:val="2"/>
          </w:tcPr>
          <w:p>
            <w:pPr>
              <w:jc w:val="center"/>
              <w:ind w:left="1581"/>
              <w:spacing w:after="0"/>
              <w:rPr>
                <w:sz w:val="20"/>
                <w:szCs w:val="20"/>
                <w:color w:val="auto"/>
              </w:rPr>
            </w:pPr>
            <w:r>
              <w:rPr>
                <w:rFonts w:ascii="Arial" w:cs="Arial" w:eastAsia="Arial" w:hAnsi="Arial"/>
                <w:sz w:val="18"/>
                <w:szCs w:val="18"/>
                <w:b w:val="1"/>
                <w:bCs w:val="1"/>
                <w:color w:val="auto"/>
                <w:w w:val="84"/>
              </w:rPr>
              <w:t>4911</w:t>
            </w:r>
          </w:p>
        </w:tc>
        <w:tc>
          <w:tcPr>
            <w:tcW w:w="1560" w:type="dxa"/>
            <w:vAlign w:val="bottom"/>
          </w:tcPr>
          <w:p>
            <w:pPr>
              <w:spacing w:after="0"/>
              <w:rPr>
                <w:sz w:val="18"/>
                <w:szCs w:val="18"/>
                <w:color w:val="auto"/>
              </w:rPr>
            </w:pPr>
          </w:p>
        </w:tc>
        <w:tc>
          <w:tcPr>
            <w:tcW w:w="2000" w:type="dxa"/>
            <w:vAlign w:val="bottom"/>
          </w:tcPr>
          <w:p>
            <w:pPr>
              <w:jc w:val="center"/>
              <w:ind w:left="606"/>
              <w:spacing w:after="0"/>
              <w:rPr>
                <w:sz w:val="20"/>
                <w:szCs w:val="20"/>
                <w:color w:val="auto"/>
              </w:rPr>
            </w:pPr>
            <w:r>
              <w:rPr>
                <w:rFonts w:ascii="Arial" w:cs="Arial" w:eastAsia="Arial" w:hAnsi="Arial"/>
                <w:sz w:val="18"/>
                <w:szCs w:val="18"/>
                <w:b w:val="1"/>
                <w:bCs w:val="1"/>
                <w:color w:val="auto"/>
                <w:w w:val="87"/>
              </w:rPr>
              <w:t>74-2961657</w:t>
            </w:r>
          </w:p>
        </w:tc>
      </w:tr>
      <w:tr>
        <w:trPr>
          <w:trHeight w:val="149"/>
        </w:trPr>
        <w:tc>
          <w:tcPr>
            <w:tcW w:w="2300" w:type="dxa"/>
            <w:vAlign w:val="bottom"/>
          </w:tcPr>
          <w:p>
            <w:pPr>
              <w:jc w:val="center"/>
              <w:ind w:right="406"/>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400" w:type="dxa"/>
            <w:vAlign w:val="bottom"/>
          </w:tcPr>
          <w:p>
            <w:pPr>
              <w:spacing w:after="0"/>
              <w:rPr>
                <w:sz w:val="12"/>
                <w:szCs w:val="12"/>
                <w:color w:val="auto"/>
              </w:rPr>
            </w:pPr>
          </w:p>
        </w:tc>
        <w:tc>
          <w:tcPr>
            <w:tcW w:w="3520" w:type="dxa"/>
            <w:vAlign w:val="bottom"/>
            <w:gridSpan w:val="2"/>
          </w:tcPr>
          <w:p>
            <w:pPr>
              <w:jc w:val="center"/>
              <w:ind w:right="1320"/>
              <w:spacing w:after="0" w:line="149" w:lineRule="exact"/>
              <w:rPr>
                <w:sz w:val="20"/>
                <w:szCs w:val="20"/>
                <w:color w:val="auto"/>
              </w:rPr>
            </w:pPr>
            <w:r>
              <w:rPr>
                <w:rFonts w:ascii="Arial" w:cs="Arial" w:eastAsia="Arial" w:hAnsi="Arial"/>
                <w:sz w:val="14"/>
                <w:szCs w:val="14"/>
                <w:b w:val="1"/>
                <w:bCs w:val="1"/>
                <w:color w:val="auto"/>
                <w:w w:val="91"/>
              </w:rPr>
              <w:t>(Primary Standard Industrial</w:t>
            </w:r>
          </w:p>
        </w:tc>
        <w:tc>
          <w:tcPr>
            <w:tcW w:w="2000" w:type="dxa"/>
            <w:vAlign w:val="bottom"/>
          </w:tcPr>
          <w:p>
            <w:pPr>
              <w:jc w:val="center"/>
              <w:ind w:left="58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300" w:type="dxa"/>
            <w:vAlign w:val="bottom"/>
          </w:tcPr>
          <w:p>
            <w:pPr>
              <w:jc w:val="center"/>
              <w:ind w:right="406"/>
              <w:spacing w:after="0"/>
              <w:rPr>
                <w:sz w:val="20"/>
                <w:szCs w:val="20"/>
                <w:color w:val="auto"/>
              </w:rPr>
            </w:pPr>
            <w:r>
              <w:rPr>
                <w:rFonts w:ascii="Arial" w:cs="Arial" w:eastAsia="Arial" w:hAnsi="Arial"/>
                <w:sz w:val="14"/>
                <w:szCs w:val="14"/>
                <w:b w:val="1"/>
                <w:bCs w:val="1"/>
                <w:color w:val="auto"/>
                <w:w w:val="89"/>
              </w:rPr>
              <w:t>Incorporation or Organization)</w:t>
            </w:r>
          </w:p>
        </w:tc>
        <w:tc>
          <w:tcPr>
            <w:tcW w:w="1400" w:type="dxa"/>
            <w:vAlign w:val="bottom"/>
          </w:tcPr>
          <w:p>
            <w:pPr>
              <w:spacing w:after="0"/>
              <w:rPr>
                <w:sz w:val="15"/>
                <w:szCs w:val="15"/>
                <w:color w:val="auto"/>
              </w:rPr>
            </w:pPr>
          </w:p>
        </w:tc>
        <w:tc>
          <w:tcPr>
            <w:tcW w:w="3520" w:type="dxa"/>
            <w:vAlign w:val="bottom"/>
            <w:gridSpan w:val="2"/>
          </w:tcPr>
          <w:p>
            <w:pPr>
              <w:jc w:val="center"/>
              <w:ind w:right="1320"/>
              <w:spacing w:after="0"/>
              <w:rPr>
                <w:sz w:val="20"/>
                <w:szCs w:val="20"/>
                <w:color w:val="auto"/>
              </w:rPr>
            </w:pPr>
            <w:r>
              <w:rPr>
                <w:rFonts w:ascii="Arial" w:cs="Arial" w:eastAsia="Arial" w:hAnsi="Arial"/>
                <w:sz w:val="14"/>
                <w:szCs w:val="14"/>
                <w:b w:val="1"/>
                <w:bCs w:val="1"/>
                <w:color w:val="auto"/>
                <w:w w:val="87"/>
              </w:rPr>
              <w:t>Classification Code Number)</w:t>
            </w:r>
          </w:p>
        </w:tc>
        <w:tc>
          <w:tcPr>
            <w:tcW w:w="2000" w:type="dxa"/>
            <w:vAlign w:val="bottom"/>
          </w:tcPr>
          <w:p>
            <w:pPr>
              <w:jc w:val="center"/>
              <w:ind w:left="586"/>
              <w:spacing w:after="0"/>
              <w:rPr>
                <w:sz w:val="20"/>
                <w:szCs w:val="20"/>
                <w:color w:val="auto"/>
              </w:rPr>
            </w:pPr>
            <w:r>
              <w:rPr>
                <w:rFonts w:ascii="Arial" w:cs="Arial" w:eastAsia="Arial" w:hAnsi="Arial"/>
                <w:sz w:val="14"/>
                <w:szCs w:val="14"/>
                <w:b w:val="1"/>
                <w:bCs w:val="1"/>
                <w:color w:val="auto"/>
                <w:w w:val="90"/>
              </w:rPr>
              <w:t>Identification Number)</w:t>
            </w:r>
          </w:p>
        </w:tc>
      </w:tr>
      <w:tr>
        <w:trPr>
          <w:trHeight w:val="364"/>
        </w:trPr>
        <w:tc>
          <w:tcPr>
            <w:tcW w:w="2300" w:type="dxa"/>
            <w:vAlign w:val="bottom"/>
          </w:tcPr>
          <w:p>
            <w:pPr>
              <w:spacing w:after="0"/>
              <w:rPr>
                <w:sz w:val="24"/>
                <w:szCs w:val="24"/>
                <w:color w:val="auto"/>
              </w:rPr>
            </w:pPr>
          </w:p>
        </w:tc>
        <w:tc>
          <w:tcPr>
            <w:tcW w:w="49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2128 W. Braker Lane, BK12</w:t>
            </w:r>
          </w:p>
        </w:tc>
        <w:tc>
          <w:tcPr>
            <w:tcW w:w="2000" w:type="dxa"/>
            <w:vAlign w:val="bottom"/>
          </w:tcPr>
          <w:p>
            <w:pPr>
              <w:spacing w:after="0"/>
              <w:rPr>
                <w:sz w:val="24"/>
                <w:szCs w:val="24"/>
                <w:color w:val="auto"/>
              </w:rPr>
            </w:pPr>
          </w:p>
        </w:tc>
      </w:tr>
      <w:tr>
        <w:trPr>
          <w:trHeight w:val="216"/>
        </w:trPr>
        <w:tc>
          <w:tcPr>
            <w:tcW w:w="2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520" w:type="dxa"/>
            <w:vAlign w:val="bottom"/>
            <w:gridSpan w:val="2"/>
          </w:tcPr>
          <w:p>
            <w:pPr>
              <w:jc w:val="center"/>
              <w:ind w:right="1580"/>
              <w:spacing w:after="0"/>
              <w:rPr>
                <w:sz w:val="20"/>
                <w:szCs w:val="20"/>
                <w:color w:val="auto"/>
              </w:rPr>
            </w:pPr>
            <w:r>
              <w:rPr>
                <w:rFonts w:ascii="Arial" w:cs="Arial" w:eastAsia="Arial" w:hAnsi="Arial"/>
                <w:sz w:val="18"/>
                <w:szCs w:val="18"/>
                <w:b w:val="1"/>
                <w:bCs w:val="1"/>
                <w:color w:val="auto"/>
                <w:w w:val="87"/>
              </w:rPr>
              <w:t>Austin, Texas 78758</w:t>
            </w:r>
          </w:p>
        </w:tc>
        <w:tc>
          <w:tcPr>
            <w:tcW w:w="2000" w:type="dxa"/>
            <w:vAlign w:val="bottom"/>
          </w:tcPr>
          <w:p>
            <w:pPr>
              <w:spacing w:after="0"/>
              <w:rPr>
                <w:sz w:val="18"/>
                <w:szCs w:val="18"/>
                <w:color w:val="auto"/>
              </w:rPr>
            </w:pPr>
          </w:p>
        </w:tc>
      </w:tr>
      <w:tr>
        <w:trPr>
          <w:trHeight w:val="218"/>
        </w:trPr>
        <w:tc>
          <w:tcPr>
            <w:tcW w:w="2300" w:type="dxa"/>
            <w:vAlign w:val="bottom"/>
          </w:tcPr>
          <w:p>
            <w:pPr>
              <w:spacing w:after="0"/>
              <w:rPr>
                <w:sz w:val="18"/>
                <w:szCs w:val="18"/>
                <w:color w:val="auto"/>
              </w:rPr>
            </w:pPr>
          </w:p>
        </w:tc>
        <w:tc>
          <w:tcPr>
            <w:tcW w:w="3360" w:type="dxa"/>
            <w:vAlign w:val="bottom"/>
            <w:gridSpan w:val="2"/>
          </w:tcPr>
          <w:p>
            <w:pPr>
              <w:jc w:val="center"/>
              <w:ind w:left="1301"/>
              <w:spacing w:after="0"/>
              <w:rPr>
                <w:sz w:val="20"/>
                <w:szCs w:val="20"/>
                <w:color w:val="auto"/>
              </w:rPr>
            </w:pPr>
            <w:r>
              <w:rPr>
                <w:rFonts w:ascii="Arial" w:cs="Arial" w:eastAsia="Arial" w:hAnsi="Arial"/>
                <w:sz w:val="18"/>
                <w:szCs w:val="18"/>
                <w:b w:val="1"/>
                <w:bCs w:val="1"/>
                <w:color w:val="auto"/>
                <w:w w:val="89"/>
              </w:rPr>
              <w:t>(512) 836-6464</w:t>
            </w:r>
          </w:p>
        </w:tc>
        <w:tc>
          <w:tcPr>
            <w:tcW w:w="156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149"/>
        </w:trPr>
        <w:tc>
          <w:tcPr>
            <w:tcW w:w="2300" w:type="dxa"/>
            <w:vAlign w:val="bottom"/>
          </w:tcPr>
          <w:p>
            <w:pPr>
              <w:spacing w:after="0"/>
              <w:rPr>
                <w:sz w:val="12"/>
                <w:szCs w:val="12"/>
                <w:color w:val="auto"/>
              </w:rPr>
            </w:pPr>
          </w:p>
        </w:tc>
        <w:tc>
          <w:tcPr>
            <w:tcW w:w="49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(Address, Including Zip Code, and Telephone Number,</w:t>
            </w:r>
          </w:p>
        </w:tc>
        <w:tc>
          <w:tcPr>
            <w:tcW w:w="2000" w:type="dxa"/>
            <w:vAlign w:val="bottom"/>
          </w:tcPr>
          <w:p>
            <w:pPr>
              <w:spacing w:after="0"/>
              <w:rPr>
                <w:sz w:val="12"/>
                <w:szCs w:val="12"/>
                <w:color w:val="auto"/>
              </w:rPr>
            </w:pPr>
          </w:p>
        </w:tc>
      </w:tr>
      <w:tr>
        <w:trPr>
          <w:trHeight w:val="174"/>
        </w:trPr>
        <w:tc>
          <w:tcPr>
            <w:tcW w:w="2300" w:type="dxa"/>
            <w:vAlign w:val="bottom"/>
          </w:tcPr>
          <w:p>
            <w:pPr>
              <w:spacing w:after="0"/>
              <w:rPr>
                <w:sz w:val="15"/>
                <w:szCs w:val="15"/>
                <w:color w:val="auto"/>
              </w:rPr>
            </w:pPr>
          </w:p>
        </w:tc>
        <w:tc>
          <w:tcPr>
            <w:tcW w:w="4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Including Area Code, of Registrant’s Principal Executive Offices)</w:t>
            </w:r>
          </w:p>
        </w:tc>
        <w:tc>
          <w:tcPr>
            <w:tcW w:w="2000" w:type="dxa"/>
            <w:vAlign w:val="bottom"/>
          </w:tcPr>
          <w:p>
            <w:pPr>
              <w:spacing w:after="0"/>
              <w:rPr>
                <w:sz w:val="15"/>
                <w:szCs w:val="15"/>
                <w:color w:val="auto"/>
              </w:rPr>
            </w:pPr>
          </w:p>
        </w:tc>
      </w:tr>
      <w:tr>
        <w:trPr>
          <w:trHeight w:val="176"/>
        </w:trPr>
        <w:tc>
          <w:tcPr>
            <w:tcW w:w="2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960" w:type="dxa"/>
            <w:vAlign w:val="bottom"/>
            <w:tcBorders>
              <w:bottom w:val="single" w:sz="8" w:color="auto"/>
            </w:tcBorders>
          </w:tcPr>
          <w:p>
            <w:pPr>
              <w:spacing w:after="0"/>
              <w:rPr>
                <w:sz w:val="15"/>
                <w:szCs w:val="15"/>
                <w:color w:val="auto"/>
              </w:rPr>
            </w:pPr>
          </w:p>
        </w:tc>
        <w:tc>
          <w:tcPr>
            <w:tcW w:w="156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303"/>
        </w:trPr>
        <w:tc>
          <w:tcPr>
            <w:tcW w:w="2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520" w:type="dxa"/>
            <w:vAlign w:val="bottom"/>
            <w:gridSpan w:val="2"/>
          </w:tcPr>
          <w:p>
            <w:pPr>
              <w:jc w:val="center"/>
              <w:ind w:right="1560"/>
              <w:spacing w:after="0"/>
              <w:rPr>
                <w:sz w:val="20"/>
                <w:szCs w:val="20"/>
                <w:color w:val="auto"/>
              </w:rPr>
            </w:pPr>
            <w:r>
              <w:rPr>
                <w:rFonts w:ascii="Arial" w:cs="Arial" w:eastAsia="Arial" w:hAnsi="Arial"/>
                <w:sz w:val="18"/>
                <w:szCs w:val="18"/>
                <w:b w:val="1"/>
                <w:bCs w:val="1"/>
                <w:color w:val="auto"/>
                <w:w w:val="88"/>
              </w:rPr>
              <w:t>John K. Penver</w:t>
            </w:r>
          </w:p>
        </w:tc>
        <w:tc>
          <w:tcPr>
            <w:tcW w:w="2000" w:type="dxa"/>
            <w:vAlign w:val="bottom"/>
          </w:tcPr>
          <w:p>
            <w:pPr>
              <w:spacing w:after="0"/>
              <w:rPr>
                <w:sz w:val="24"/>
                <w:szCs w:val="24"/>
                <w:color w:val="auto"/>
              </w:rPr>
            </w:pPr>
          </w:p>
        </w:tc>
      </w:tr>
      <w:tr>
        <w:trPr>
          <w:trHeight w:val="216"/>
        </w:trPr>
        <w:tc>
          <w:tcPr>
            <w:tcW w:w="2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520" w:type="dxa"/>
            <w:vAlign w:val="bottom"/>
            <w:gridSpan w:val="2"/>
          </w:tcPr>
          <w:p>
            <w:pPr>
              <w:jc w:val="center"/>
              <w:ind w:right="1580"/>
              <w:spacing w:after="0"/>
              <w:rPr>
                <w:sz w:val="20"/>
                <w:szCs w:val="20"/>
                <w:color w:val="auto"/>
              </w:rPr>
            </w:pPr>
            <w:r>
              <w:rPr>
                <w:rFonts w:ascii="Arial" w:cs="Arial" w:eastAsia="Arial" w:hAnsi="Arial"/>
                <w:sz w:val="18"/>
                <w:szCs w:val="18"/>
                <w:b w:val="1"/>
                <w:bCs w:val="1"/>
                <w:color w:val="auto"/>
                <w:w w:val="91"/>
              </w:rPr>
              <w:t>Chief Financial Officer</w:t>
            </w:r>
          </w:p>
        </w:tc>
        <w:tc>
          <w:tcPr>
            <w:tcW w:w="20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520" w:type="dxa"/>
            <w:vAlign w:val="bottom"/>
            <w:gridSpan w:val="2"/>
          </w:tcPr>
          <w:p>
            <w:pPr>
              <w:jc w:val="center"/>
              <w:ind w:right="1560"/>
              <w:spacing w:after="0"/>
              <w:rPr>
                <w:sz w:val="20"/>
                <w:szCs w:val="20"/>
                <w:color w:val="auto"/>
              </w:rPr>
            </w:pPr>
            <w:r>
              <w:rPr>
                <w:rFonts w:ascii="Arial" w:cs="Arial" w:eastAsia="Arial" w:hAnsi="Arial"/>
                <w:sz w:val="18"/>
                <w:szCs w:val="18"/>
                <w:b w:val="1"/>
                <w:bCs w:val="1"/>
                <w:color w:val="auto"/>
                <w:w w:val="88"/>
              </w:rPr>
              <w:t>Active Power, Inc.</w:t>
            </w:r>
          </w:p>
        </w:tc>
        <w:tc>
          <w:tcPr>
            <w:tcW w:w="20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9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2128 W. Braker Lane, BK12</w:t>
            </w:r>
          </w:p>
        </w:tc>
        <w:tc>
          <w:tcPr>
            <w:tcW w:w="20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520" w:type="dxa"/>
            <w:vAlign w:val="bottom"/>
            <w:gridSpan w:val="2"/>
          </w:tcPr>
          <w:p>
            <w:pPr>
              <w:jc w:val="center"/>
              <w:ind w:right="1580"/>
              <w:spacing w:after="0"/>
              <w:rPr>
                <w:sz w:val="20"/>
                <w:szCs w:val="20"/>
                <w:color w:val="auto"/>
              </w:rPr>
            </w:pPr>
            <w:r>
              <w:rPr>
                <w:rFonts w:ascii="Arial" w:cs="Arial" w:eastAsia="Arial" w:hAnsi="Arial"/>
                <w:sz w:val="18"/>
                <w:szCs w:val="18"/>
                <w:b w:val="1"/>
                <w:bCs w:val="1"/>
                <w:color w:val="auto"/>
                <w:w w:val="87"/>
              </w:rPr>
              <w:t>Austin, Texas 78758</w:t>
            </w:r>
          </w:p>
        </w:tc>
        <w:tc>
          <w:tcPr>
            <w:tcW w:w="2000" w:type="dxa"/>
            <w:vAlign w:val="bottom"/>
          </w:tcPr>
          <w:p>
            <w:pPr>
              <w:spacing w:after="0"/>
              <w:rPr>
                <w:sz w:val="18"/>
                <w:szCs w:val="18"/>
                <w:color w:val="auto"/>
              </w:rPr>
            </w:pPr>
          </w:p>
        </w:tc>
      </w:tr>
      <w:tr>
        <w:trPr>
          <w:trHeight w:val="218"/>
        </w:trPr>
        <w:tc>
          <w:tcPr>
            <w:tcW w:w="2300" w:type="dxa"/>
            <w:vAlign w:val="bottom"/>
          </w:tcPr>
          <w:p>
            <w:pPr>
              <w:spacing w:after="0"/>
              <w:rPr>
                <w:sz w:val="18"/>
                <w:szCs w:val="18"/>
                <w:color w:val="auto"/>
              </w:rPr>
            </w:pPr>
          </w:p>
        </w:tc>
        <w:tc>
          <w:tcPr>
            <w:tcW w:w="3360" w:type="dxa"/>
            <w:vAlign w:val="bottom"/>
            <w:gridSpan w:val="2"/>
          </w:tcPr>
          <w:p>
            <w:pPr>
              <w:jc w:val="center"/>
              <w:ind w:left="1301"/>
              <w:spacing w:after="0"/>
              <w:rPr>
                <w:sz w:val="20"/>
                <w:szCs w:val="20"/>
                <w:color w:val="auto"/>
              </w:rPr>
            </w:pPr>
            <w:r>
              <w:rPr>
                <w:rFonts w:ascii="Arial" w:cs="Arial" w:eastAsia="Arial" w:hAnsi="Arial"/>
                <w:sz w:val="18"/>
                <w:szCs w:val="18"/>
                <w:b w:val="1"/>
                <w:bCs w:val="1"/>
                <w:color w:val="auto"/>
                <w:w w:val="89"/>
              </w:rPr>
              <w:t>(512) 836-6464</w:t>
            </w:r>
          </w:p>
        </w:tc>
        <w:tc>
          <w:tcPr>
            <w:tcW w:w="156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149"/>
        </w:trPr>
        <w:tc>
          <w:tcPr>
            <w:tcW w:w="2300" w:type="dxa"/>
            <w:vAlign w:val="bottom"/>
          </w:tcPr>
          <w:p>
            <w:pPr>
              <w:spacing w:after="0"/>
              <w:rPr>
                <w:sz w:val="12"/>
                <w:szCs w:val="12"/>
                <w:color w:val="auto"/>
              </w:rPr>
            </w:pPr>
          </w:p>
        </w:tc>
        <w:tc>
          <w:tcPr>
            <w:tcW w:w="49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(Address, Including Zip Code, and Telephone Number,</w:t>
            </w:r>
          </w:p>
        </w:tc>
        <w:tc>
          <w:tcPr>
            <w:tcW w:w="2000" w:type="dxa"/>
            <w:vAlign w:val="bottom"/>
          </w:tcPr>
          <w:p>
            <w:pPr>
              <w:spacing w:after="0"/>
              <w:rPr>
                <w:sz w:val="12"/>
                <w:szCs w:val="12"/>
                <w:color w:val="auto"/>
              </w:rPr>
            </w:pPr>
          </w:p>
        </w:tc>
      </w:tr>
      <w:tr>
        <w:trPr>
          <w:trHeight w:val="174"/>
        </w:trPr>
        <w:tc>
          <w:tcPr>
            <w:tcW w:w="2300" w:type="dxa"/>
            <w:vAlign w:val="bottom"/>
          </w:tcPr>
          <w:p>
            <w:pPr>
              <w:spacing w:after="0"/>
              <w:rPr>
                <w:sz w:val="15"/>
                <w:szCs w:val="15"/>
                <w:color w:val="auto"/>
              </w:rPr>
            </w:pPr>
          </w:p>
        </w:tc>
        <w:tc>
          <w:tcPr>
            <w:tcW w:w="49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7"/>
              </w:rPr>
              <w:t>Including Area Code, of Agent for Service)</w:t>
            </w:r>
          </w:p>
        </w:tc>
        <w:tc>
          <w:tcPr>
            <w:tcW w:w="200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111760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Please send copies of all communications to:</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 Matthew Lyons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Andrews Kurth,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111 Congress Avenue, Suite 1700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Austin, TX 78701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512-320-9200</w:t>
      </w:r>
    </w:p>
    <w:p>
      <w:pPr>
        <w:spacing w:after="0" w:line="159" w:lineRule="exact"/>
        <w:rPr>
          <w:sz w:val="24"/>
          <w:szCs w:val="24"/>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From time to time after the effective date of this Registration Statement, as determined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selling stockholders.</w:t>
      </w:r>
    </w:p>
    <w:p>
      <w:pPr>
        <w:spacing w:after="0" w:line="45" w:lineRule="exact"/>
        <w:rPr>
          <w:sz w:val="24"/>
          <w:szCs w:val="24"/>
          <w:color w:val="auto"/>
        </w:rPr>
      </w:pPr>
    </w:p>
    <w:p>
      <w:pPr>
        <w:ind w:right="360"/>
        <w:spacing w:after="0" w:line="229"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56" w:lineRule="exact"/>
        <w:rPr>
          <w:sz w:val="24"/>
          <w:szCs w:val="24"/>
          <w:color w:val="auto"/>
        </w:rPr>
      </w:pPr>
    </w:p>
    <w:p>
      <w:pPr>
        <w:ind w:right="280"/>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56" w:lineRule="exact"/>
        <w:rPr>
          <w:sz w:val="24"/>
          <w:szCs w:val="24"/>
          <w:color w:val="auto"/>
        </w:rPr>
      </w:pPr>
    </w:p>
    <w:p>
      <w:pPr>
        <w:ind w:right="180"/>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56" w:lineRule="exact"/>
        <w:rPr>
          <w:sz w:val="24"/>
          <w:szCs w:val="24"/>
          <w:color w:val="auto"/>
        </w:rPr>
      </w:pPr>
    </w:p>
    <w:p>
      <w:pPr>
        <w:ind w:right="160"/>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4020" w:type="dxa"/>
            <w:vAlign w:val="bottom"/>
            <w:tcBorders>
              <w:top w:val="single" w:sz="8" w:color="auto"/>
              <w:bottom w:val="single" w:sz="8" w:color="auto"/>
            </w:tcBorders>
          </w:tcPr>
          <w:p>
            <w:pPr>
              <w:spacing w:after="0"/>
              <w:rPr>
                <w:sz w:val="3"/>
                <w:szCs w:val="3"/>
                <w:color w:val="auto"/>
              </w:rPr>
            </w:pPr>
          </w:p>
        </w:tc>
        <w:tc>
          <w:tcPr>
            <w:tcW w:w="1620" w:type="dxa"/>
            <w:vAlign w:val="bottom"/>
            <w:tcBorders>
              <w:top w:val="single" w:sz="8" w:color="auto"/>
              <w:bottom w:val="single" w:sz="8" w:color="auto"/>
            </w:tcBorders>
          </w:tcPr>
          <w:p>
            <w:pPr>
              <w:spacing w:after="0"/>
              <w:rPr>
                <w:sz w:val="3"/>
                <w:szCs w:val="3"/>
                <w:color w:val="auto"/>
              </w:rPr>
            </w:pPr>
          </w:p>
        </w:tc>
        <w:tc>
          <w:tcPr>
            <w:tcW w:w="2060" w:type="dxa"/>
            <w:vAlign w:val="bottom"/>
            <w:tcBorders>
              <w:top w:val="single" w:sz="8" w:color="auto"/>
              <w:bottom w:val="single" w:sz="8" w:color="auto"/>
            </w:tcBorders>
          </w:tcPr>
          <w:p>
            <w:pPr>
              <w:spacing w:after="0"/>
              <w:rPr>
                <w:sz w:val="3"/>
                <w:szCs w:val="3"/>
                <w:color w:val="auto"/>
              </w:rPr>
            </w:pPr>
          </w:p>
        </w:tc>
        <w:tc>
          <w:tcPr>
            <w:tcW w:w="216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r>
      <w:tr>
        <w:trPr>
          <w:trHeight w:val="116"/>
        </w:trPr>
        <w:tc>
          <w:tcPr>
            <w:tcW w:w="402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jc w:val="center"/>
              <w:ind w:left="8"/>
              <w:spacing w:after="0" w:line="117" w:lineRule="exact"/>
              <w:rPr>
                <w:sz w:val="20"/>
                <w:szCs w:val="20"/>
                <w:color w:val="auto"/>
              </w:rPr>
            </w:pPr>
            <w:r>
              <w:rPr>
                <w:rFonts w:ascii="Arial" w:cs="Arial" w:eastAsia="Arial" w:hAnsi="Arial"/>
                <w:sz w:val="12"/>
                <w:szCs w:val="12"/>
                <w:b w:val="1"/>
                <w:bCs w:val="1"/>
                <w:color w:val="auto"/>
              </w:rPr>
              <w:t>Amount to be</w:t>
            </w:r>
          </w:p>
        </w:tc>
        <w:tc>
          <w:tcPr>
            <w:tcW w:w="2060" w:type="dxa"/>
            <w:vAlign w:val="bottom"/>
            <w:tcBorders>
              <w:right w:val="single" w:sz="8" w:color="auto"/>
            </w:tcBorders>
          </w:tcPr>
          <w:p>
            <w:pPr>
              <w:jc w:val="center"/>
              <w:ind w:left="8"/>
              <w:spacing w:after="0" w:line="117" w:lineRule="exact"/>
              <w:rPr>
                <w:sz w:val="20"/>
                <w:szCs w:val="20"/>
                <w:color w:val="auto"/>
              </w:rPr>
            </w:pPr>
            <w:r>
              <w:rPr>
                <w:rFonts w:ascii="Arial" w:cs="Arial" w:eastAsia="Arial" w:hAnsi="Arial"/>
                <w:sz w:val="12"/>
                <w:szCs w:val="12"/>
                <w:b w:val="1"/>
                <w:bCs w:val="1"/>
                <w:color w:val="auto"/>
              </w:rPr>
              <w:t>Proposed Maximum</w:t>
            </w:r>
          </w:p>
        </w:tc>
        <w:tc>
          <w:tcPr>
            <w:tcW w:w="216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rPr>
              <w:t>Proposed Maximum</w:t>
            </w:r>
          </w:p>
        </w:tc>
        <w:tc>
          <w:tcPr>
            <w:tcW w:w="1560" w:type="dxa"/>
            <w:vAlign w:val="bottom"/>
          </w:tcPr>
          <w:p>
            <w:pPr>
              <w:jc w:val="center"/>
              <w:ind w:left="28"/>
              <w:spacing w:after="0" w:line="117" w:lineRule="exact"/>
              <w:rPr>
                <w:sz w:val="20"/>
                <w:szCs w:val="20"/>
                <w:color w:val="auto"/>
              </w:rPr>
            </w:pPr>
            <w:r>
              <w:rPr>
                <w:rFonts w:ascii="Arial" w:cs="Arial" w:eastAsia="Arial" w:hAnsi="Arial"/>
                <w:sz w:val="12"/>
                <w:szCs w:val="12"/>
                <w:b w:val="1"/>
                <w:bCs w:val="1"/>
                <w:color w:val="auto"/>
              </w:rPr>
              <w:t>Amount of</w:t>
            </w:r>
          </w:p>
        </w:tc>
      </w:tr>
      <w:tr>
        <w:trPr>
          <w:trHeight w:val="161"/>
        </w:trPr>
        <w:tc>
          <w:tcPr>
            <w:tcW w:w="4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Title of Each Class of Securities</w:t>
            </w:r>
          </w:p>
        </w:tc>
        <w:tc>
          <w:tcPr>
            <w:tcW w:w="162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88"/>
              </w:rPr>
              <w:t>Registered (1)(2)</w:t>
            </w:r>
          </w:p>
        </w:tc>
        <w:tc>
          <w:tcPr>
            <w:tcW w:w="206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88"/>
              </w:rPr>
              <w:t>Offering Price per Share (3)</w:t>
            </w:r>
          </w:p>
        </w:tc>
        <w:tc>
          <w:tcPr>
            <w:tcW w:w="216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87"/>
              </w:rPr>
              <w:t>Aggregate Offering Price (3)</w:t>
            </w:r>
          </w:p>
        </w:tc>
        <w:tc>
          <w:tcPr>
            <w:tcW w:w="156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86"/>
              </w:rPr>
              <w:t>Registration Fee(3)</w:t>
            </w:r>
          </w:p>
        </w:tc>
      </w:tr>
      <w:tr>
        <w:trPr>
          <w:trHeight w:val="210"/>
        </w:trPr>
        <w:tc>
          <w:tcPr>
            <w:tcW w:w="4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$0.001 par value (1)</w:t>
            </w:r>
          </w:p>
        </w:tc>
        <w:tc>
          <w:tcPr>
            <w:tcW w:w="162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8"/>
                <w:szCs w:val="18"/>
                <w:color w:val="auto"/>
                <w:w w:val="86"/>
              </w:rPr>
              <w:t>10,000,000</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$1.45</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$14,500,000.00</w:t>
            </w:r>
          </w:p>
        </w:tc>
        <w:tc>
          <w:tcPr>
            <w:tcW w:w="1560" w:type="dxa"/>
            <w:vAlign w:val="bottom"/>
            <w:tcBorders>
              <w:bottom w:val="single" w:sz="8" w:color="auto"/>
            </w:tcBorders>
          </w:tcPr>
          <w:p>
            <w:pPr>
              <w:jc w:val="center"/>
              <w:ind w:left="8"/>
              <w:spacing w:after="0"/>
              <w:rPr>
                <w:sz w:val="20"/>
                <w:szCs w:val="20"/>
                <w:color w:val="auto"/>
              </w:rPr>
            </w:pPr>
            <w:r>
              <w:rPr>
                <w:rFonts w:ascii="Arial" w:cs="Arial" w:eastAsia="Arial" w:hAnsi="Arial"/>
                <w:sz w:val="18"/>
                <w:szCs w:val="18"/>
                <w:color w:val="auto"/>
                <w:w w:val="86"/>
              </w:rPr>
              <w:t>$445.15</w:t>
            </w:r>
          </w:p>
        </w:tc>
      </w:tr>
      <w:tr>
        <w:trPr>
          <w:trHeight w:val="20"/>
        </w:trPr>
        <w:tc>
          <w:tcPr>
            <w:tcW w:w="40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5" w:lineRule="exact"/>
        <w:rPr>
          <w:sz w:val="24"/>
          <w:szCs w:val="24"/>
          <w:color w:val="auto"/>
        </w:rPr>
      </w:pPr>
    </w:p>
    <w:p>
      <w:pPr>
        <w:ind w:left="460" w:hanging="452"/>
        <w:spacing w:after="0" w:line="253"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Shares of the registrant’s common stock being registered hereby are accompanied by the registrant’s preferred stock purchase rights. Until the occurrence of certain prescribed events, such rights are not exercisable, are evidenced by each certificate for common stock and will be transferred along with and only with the common stock.</w:t>
      </w:r>
    </w:p>
    <w:p>
      <w:pPr>
        <w:ind w:left="460" w:right="10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Registration Statement also relates to such indeterminate number of additional shares of the registrant’s common stock as may become issuable in the event of a stock dividend, reverse stock split, split-up, recapitalization or other similar event.</w:t>
      </w:r>
    </w:p>
    <w:p>
      <w:pPr>
        <w:ind w:left="460" w:right="220" w:hanging="452"/>
        <w:spacing w:after="0" w:line="323"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 accordance with Rule 457(c), the price is estimated solely for purposes of calculating the registration fee and is based upon the average of the reported high and low sales prices of the Common Stock as reported on The Nasdaq Global Market on September 7, 2007.</w:t>
      </w:r>
    </w:p>
    <w:p>
      <w:pPr>
        <w:spacing w:after="0" w:line="87" w:lineRule="exact"/>
        <w:rPr>
          <w:sz w:val="24"/>
          <w:szCs w:val="24"/>
          <w:color w:val="auto"/>
        </w:rPr>
      </w:pPr>
    </w:p>
    <w:p>
      <w:pPr>
        <w:ind w:right="100" w:firstLine="456"/>
        <w:spacing w:after="0" w:line="301"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0" w:right="239" w:bottom="99"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DE1A1E"/>
        </w:rPr>
        <w:t>The information in this prospectus is not complete and may change. The selling stockholders may not sell these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SUBJECT TO COMPLETION, DATED SEPTEMBER 12, 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118110</wp:posOffset>
            </wp:positionV>
            <wp:extent cx="2573020" cy="5657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7302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10,000,000 Shares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204470</wp:posOffset>
            </wp:positionV>
            <wp:extent cx="1243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This prospectus relates solely to the resale of up to an aggregate of 10,000,000 shares of Active Power, Inc. common stock, comprised of shares that we sold to certain of the selling stockholders listed on page 6 of this prospectus in a private placement that closed on August 14, 2007.</w:t>
      </w:r>
    </w:p>
    <w:p>
      <w:pPr>
        <w:spacing w:after="0" w:line="85"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selling stockholders may sell the shares of common stock at various times and in various types of transactions, including sales in the open market, sales in negotiated transactions and sales by a combination of these methods. Shares may be sold at the market price of the common stock at the time of a sale, at prices relating to the market price over a period of time, or at prices negotiated with the buyers of shares. The selling stockholders will pay all brokerage fees and commissions and similar sale-related expenses. We are paying expenses relating to the registration of the shares with the Securities and Exchange Commission. For additional information on the methods of sale by the selling stockholders, you should refer to the section in this prospectus entitled “Plan of Distribution.”</w:t>
      </w:r>
    </w:p>
    <w:p>
      <w:pPr>
        <w:spacing w:after="0" w:line="10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Our common stock is quoted on The Nasdaq Global Market under the symbol “ACPW.” The last closing price of our common stock on September 11, 2007 was $1.31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183515</wp:posOffset>
            </wp:positionV>
            <wp:extent cx="1243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right="100" w:firstLine="456"/>
        <w:spacing w:after="0" w:line="275"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You should carefully review and consider the information under the headings “Special Note Regarding Forward-Looking Statements” on page 1 and “ </w:t>
      </w:r>
      <w:hyperlink w:anchor="page7">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4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179705</wp:posOffset>
            </wp:positionV>
            <wp:extent cx="12433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right="70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150495</wp:posOffset>
            </wp:positionV>
            <wp:extent cx="12433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85" w:lineRule="exact"/>
        <w:rPr>
          <w:sz w:val="20"/>
          <w:szCs w:val="20"/>
          <w:color w:val="auto"/>
        </w:rPr>
      </w:pPr>
    </w:p>
    <w:p>
      <w:pPr>
        <w:jc w:val="center"/>
        <w:ind w:right="-79"/>
        <w:spacing w:after="0"/>
        <w:tabs>
          <w:tab w:leader="none" w:pos="200" w:val="left"/>
        </w:tabs>
        <w:rPr>
          <w:sz w:val="20"/>
          <w:szCs w:val="20"/>
          <w:color w:val="auto"/>
        </w:rPr>
      </w:pPr>
      <w:r>
        <w:rPr>
          <w:rFonts w:ascii="Arial" w:cs="Arial" w:eastAsia="Arial" w:hAnsi="Arial"/>
          <w:sz w:val="18"/>
          <w:szCs w:val="18"/>
          <w:color w:val="auto"/>
        </w:rPr>
        <w:t>The date of this prospectus is September</w:t>
      </w:r>
      <w:r>
        <w:rPr>
          <w:sz w:val="20"/>
          <w:szCs w:val="20"/>
          <w:color w:val="auto"/>
        </w:rPr>
        <w:tab/>
      </w:r>
      <w:r>
        <w:rPr>
          <w:rFonts w:ascii="Arial" w:cs="Arial" w:eastAsia="Arial" w:hAnsi="Arial"/>
          <w:sz w:val="15"/>
          <w:szCs w:val="15"/>
          <w:color w:val="auto"/>
        </w:rPr>
        <w:t>, 2007</w:t>
      </w:r>
    </w:p>
    <w:p>
      <w:pPr>
        <w:sectPr>
          <w:pgSz w:w="11900" w:h="16838" w:orient="portrait"/>
          <w:cols w:equalWidth="0" w:num="1">
            <w:col w:w="11340"/>
          </w:cols>
          <w:pgMar w:left="240" w:top="459" w:right="3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40" w:type="dxa"/>
            <w:vAlign w:val="bottom"/>
          </w:tcPr>
          <w:p>
            <w:pPr>
              <w:jc w:val="right"/>
              <w:ind w:right="4672"/>
              <w:spacing w:after="0"/>
              <w:rPr>
                <w:sz w:val="20"/>
                <w:szCs w:val="20"/>
                <w:color w:val="auto"/>
              </w:rPr>
            </w:pPr>
            <w:r>
              <w:rPr>
                <w:rFonts w:ascii="Arial" w:cs="Arial" w:eastAsia="Arial" w:hAnsi="Arial"/>
                <w:sz w:val="18"/>
                <w:szCs w:val="18"/>
                <w:b w:val="1"/>
                <w:bCs w:val="1"/>
                <w:color w:val="auto"/>
              </w:rPr>
              <w:t>TABLE OF CONTENTS</w:t>
            </w:r>
          </w:p>
        </w:tc>
      </w:tr>
      <w:tr>
        <w:trPr>
          <w:trHeight w:val="380"/>
        </w:trPr>
        <w:tc>
          <w:tcPr>
            <w:tcW w:w="1500" w:type="dxa"/>
            <w:vAlign w:val="bottom"/>
            <w:tcBorders>
              <w:bottom w:val="single" w:sz="8" w:color="0000EE"/>
            </w:tcBorders>
            <w:gridSpan w:val="6"/>
          </w:tcPr>
          <w:p>
            <w:pPr>
              <w:spacing w:after="0"/>
              <w:rPr>
                <w:rFonts w:ascii="Arial" w:cs="Arial" w:eastAsia="Arial" w:hAnsi="Arial"/>
                <w:sz w:val="18"/>
                <w:szCs w:val="18"/>
                <w:color w:val="0000EE"/>
                <w:w w:val="85"/>
              </w:rPr>
            </w:pPr>
            <w:hyperlink w:anchor="page5">
              <w:r>
                <w:rPr>
                  <w:rFonts w:ascii="Arial" w:cs="Arial" w:eastAsia="Arial" w:hAnsi="Arial"/>
                  <w:sz w:val="18"/>
                  <w:szCs w:val="18"/>
                  <w:color w:val="0000EE"/>
                  <w:w w:val="85"/>
                </w:rPr>
                <w:t>Prospectus Summary</w:t>
              </w:r>
            </w:hyperlink>
          </w:p>
        </w:tc>
        <w:tc>
          <w:tcPr>
            <w:tcW w:w="2080" w:type="dxa"/>
            <w:vAlign w:val="bottom"/>
            <w:gridSpan w:val="2"/>
          </w:tcPr>
          <w:p>
            <w:pPr>
              <w:spacing w:after="0"/>
              <w:rPr>
                <w:sz w:val="24"/>
                <w:szCs w:val="24"/>
                <w:color w:val="auto"/>
              </w:rPr>
            </w:pPr>
          </w:p>
        </w:tc>
        <w:tc>
          <w:tcPr>
            <w:tcW w:w="78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90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Risk Factors</w:t>
              </w:r>
            </w:hyperlink>
          </w:p>
        </w:tc>
        <w:tc>
          <w:tcPr>
            <w:tcW w:w="2680" w:type="dxa"/>
            <w:vAlign w:val="bottom"/>
            <w:gridSpan w:val="6"/>
          </w:tcPr>
          <w:p>
            <w:pPr>
              <w:spacing w:after="0"/>
              <w:rPr>
                <w:sz w:val="24"/>
                <w:szCs w:val="24"/>
                <w:color w:val="auto"/>
              </w:rPr>
            </w:pPr>
          </w:p>
        </w:tc>
        <w:tc>
          <w:tcPr>
            <w:tcW w:w="78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1060" w:type="dxa"/>
            <w:vAlign w:val="bottom"/>
            <w:tcBorders>
              <w:bottom w:val="single" w:sz="8" w:color="0000EE"/>
            </w:tcBorders>
            <w:gridSpan w:val="4"/>
          </w:tcPr>
          <w:p>
            <w:pPr>
              <w:spacing w:after="0"/>
              <w:rPr>
                <w:rFonts w:ascii="Arial" w:cs="Arial" w:eastAsia="Arial" w:hAnsi="Arial"/>
                <w:sz w:val="18"/>
                <w:szCs w:val="18"/>
                <w:color w:val="0000EE"/>
                <w:w w:val="85"/>
              </w:rPr>
            </w:pPr>
            <w:hyperlink w:anchor="page8">
              <w:r>
                <w:rPr>
                  <w:rFonts w:ascii="Arial" w:cs="Arial" w:eastAsia="Arial" w:hAnsi="Arial"/>
                  <w:sz w:val="18"/>
                  <w:szCs w:val="18"/>
                  <w:color w:val="0000EE"/>
                  <w:w w:val="85"/>
                </w:rPr>
                <w:t>The Placement</w:t>
              </w:r>
            </w:hyperlink>
          </w:p>
        </w:tc>
        <w:tc>
          <w:tcPr>
            <w:tcW w:w="2520" w:type="dxa"/>
            <w:vAlign w:val="bottom"/>
            <w:gridSpan w:val="4"/>
          </w:tcPr>
          <w:p>
            <w:pPr>
              <w:spacing w:after="0"/>
              <w:rPr>
                <w:sz w:val="24"/>
                <w:szCs w:val="24"/>
                <w:color w:val="auto"/>
              </w:rPr>
            </w:pPr>
          </w:p>
        </w:tc>
        <w:tc>
          <w:tcPr>
            <w:tcW w:w="78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3580" w:type="dxa"/>
            <w:vAlign w:val="bottom"/>
            <w:gridSpan w:val="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Use of Proceeds</w:t>
              </w:r>
            </w:hyperlink>
          </w:p>
        </w:tc>
        <w:tc>
          <w:tcPr>
            <w:tcW w:w="78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1140" w:type="dxa"/>
            <w:vAlign w:val="bottom"/>
            <w:tcBorders>
              <w:top w:val="single" w:sz="8" w:color="0000EE"/>
            </w:tcBorders>
            <w:gridSpan w:val="5"/>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Legal Matters</w:t>
              </w:r>
            </w:hyperlink>
          </w:p>
        </w:tc>
        <w:tc>
          <w:tcPr>
            <w:tcW w:w="2440" w:type="dxa"/>
            <w:vAlign w:val="bottom"/>
            <w:gridSpan w:val="3"/>
          </w:tcPr>
          <w:p>
            <w:pPr>
              <w:spacing w:after="0"/>
              <w:rPr>
                <w:sz w:val="24"/>
                <w:szCs w:val="24"/>
                <w:color w:val="auto"/>
              </w:rPr>
            </w:pPr>
          </w:p>
        </w:tc>
        <w:tc>
          <w:tcPr>
            <w:tcW w:w="78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04"/>
        </w:trPr>
        <w:tc>
          <w:tcPr>
            <w:tcW w:w="980" w:type="dxa"/>
            <w:vAlign w:val="bottom"/>
            <w:tcBorders>
              <w:top w:val="single" w:sz="8" w:color="0000EE"/>
            </w:tcBorders>
            <w:gridSpan w:val="3"/>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Experts</w:t>
              </w:r>
            </w:hyperlink>
          </w:p>
        </w:tc>
        <w:tc>
          <w:tcPr>
            <w:tcW w:w="2600" w:type="dxa"/>
            <w:vAlign w:val="bottom"/>
            <w:gridSpan w:val="5"/>
          </w:tcPr>
          <w:p>
            <w:pPr>
              <w:spacing w:after="0"/>
              <w:rPr>
                <w:sz w:val="24"/>
                <w:szCs w:val="24"/>
                <w:color w:val="auto"/>
              </w:rPr>
            </w:pPr>
          </w:p>
        </w:tc>
        <w:tc>
          <w:tcPr>
            <w:tcW w:w="78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r>
      <w:tr>
        <w:trPr>
          <w:trHeight w:val="304"/>
        </w:trPr>
        <w:tc>
          <w:tcPr>
            <w:tcW w:w="3580" w:type="dxa"/>
            <w:vAlign w:val="bottom"/>
            <w:gridSpan w:val="8"/>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Where You Can Find More Information</w:t>
              </w:r>
            </w:hyperlink>
          </w:p>
        </w:tc>
        <w:tc>
          <w:tcPr>
            <w:tcW w:w="78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2800" w:type="dxa"/>
            <w:vAlign w:val="bottom"/>
            <w:gridSpan w:val="7"/>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r>
      <w:tr>
        <w:trPr>
          <w:trHeight w:val="304"/>
        </w:trPr>
        <w:tc>
          <w:tcPr>
            <w:tcW w:w="358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14">
              <w:r>
                <w:rPr>
                  <w:rFonts w:ascii="Arial" w:cs="Arial" w:eastAsia="Arial" w:hAnsi="Arial"/>
                  <w:sz w:val="18"/>
                  <w:szCs w:val="18"/>
                  <w:color w:val="0000EE"/>
                  <w:w w:val="90"/>
                </w:rPr>
                <w:t>Incorporation of Certain Information by Reference</w:t>
              </w:r>
            </w:hyperlink>
          </w:p>
        </w:tc>
        <w:tc>
          <w:tcPr>
            <w:tcW w:w="784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214630</wp:posOffset>
            </wp:positionV>
            <wp:extent cx="12433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This prospectus incorporates by reference important information. You may obtain the information incorporated by reference without charge by following the instructions under “Where You Can Find More Information” and “Incorporation of Certain Information by Reference” appearing below before deciding to invest in shares of our common stock.</w:t>
      </w:r>
    </w:p>
    <w:p>
      <w:pPr>
        <w:spacing w:after="0" w:line="14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You should rely only on the information contained or incorporated by reference in this prospectus. We have not authorized anyone to provide you with different information. If anyone provides you with different or inconsistent information, you should not rely on it. The information contained in this prospectus is accurate only as of the date of this prospectus, regardless of the time of delivery of this prospectus or the time of any sale of our common stock under this prospectus. Our business, financial condition, results of operations and prospects may have changed since such date.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this prospectus, “Active Power,” “we,” “us” and “our” refer to Active Power, Inc.</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This prospectus and the documents incorporated by reference into this prospectus contain forward-looking statements within the meaning of Section 27A of the Securities Act of 1933, as amended, and Section 21E of the Securities Exchange Act of 1934, as amended. All statements other than historical or current facts, including, without limitation, statements about our business strategy, plans and objectives of management and our future prospects, are forward-looking statements. Although we believe that the expectations reflected in such forward-looking statements are reasonable, such forward-looking statements are subject to risks and uncertainties that could cause actual results to differ materially from these expectations. Such risks and uncertainties include, without limitation, the following:</w:t>
      </w:r>
    </w:p>
    <w:p>
      <w:pPr>
        <w:spacing w:after="0" w:line="63" w:lineRule="exact"/>
        <w:rPr>
          <w:sz w:val="20"/>
          <w:szCs w:val="20"/>
          <w:color w:val="auto"/>
        </w:rPr>
      </w:pPr>
    </w:p>
    <w:p>
      <w:pPr>
        <w:ind w:left="1480" w:hanging="446"/>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acceptance of our current and future products;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growth in markets for our products;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international business risks;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expansion of our product offerings and sales channels;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for our products;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benefits attributable to our products;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seasonality;</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technologies and operations;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 of competition;</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economic, business and regulatory conditions; and</w:t>
      </w:r>
    </w:p>
    <w:p>
      <w:pPr>
        <w:spacing w:after="0" w:line="90" w:lineRule="exact"/>
        <w:rPr>
          <w:rFonts w:ascii="Arial" w:cs="Arial" w:eastAsia="Arial" w:hAnsi="Arial"/>
          <w:sz w:val="18"/>
          <w:szCs w:val="18"/>
          <w:color w:val="auto"/>
        </w:rPr>
      </w:pPr>
    </w:p>
    <w:p>
      <w:pPr>
        <w:ind w:left="1480" w:right="80" w:hanging="446"/>
        <w:spacing w:after="0" w:line="268" w:lineRule="auto"/>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further costs, regulatory inquiries, litigation or disputes resulting from or in connection with our recently completed internal investigation of our historical stock option granting practices and procedures.</w:t>
      </w:r>
    </w:p>
    <w:p>
      <w:pPr>
        <w:spacing w:after="0" w:line="13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You can identify these statements by forward-looking words such as “may,” “will,” “expect,” “intend,” “anticipate,” “believe,” “estimate,” “continue” and other similar words. You should read statements that contain these words carefully because they discuss our future expectations, make projections of our future results of operations or financial condition, or state other “forward-looking” information. We believe that it is important to communicate our future expectations to our investors. However, there may be events in the future that we are not able to accurately predict or control. The factors listed in the section captioned “Risk Factors” in this prospectus or the documents incorporated by reference herein, as well as any cautionary language in this prospectus or the documents incorporated by reference herein, provide examples of risks, uncertainties and events that may cause our actual results to differ materially from the expectations we described in our forward-looking statements.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The following is only a summary of some of the information contained or incorporated by reference in this prospectus which we believe to be important. We selected highlights of material aspects of our business to be included in this summary. We urge you to read this entire prospectus, including the information incorporated by reference in this prospectus. Investing in our common stock involves risks. Therefore, you should carefully consider the information below provided under the heading “Risk Factors.”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Active Power, Inc.</w:t>
      </w:r>
    </w:p>
    <w:p>
      <w:pPr>
        <w:spacing w:after="0" w:line="9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Active Power designs, manufactures and markets power quality products that provide consistent, reliable and cost-effective ride through, or temporary, power for the majority of power disturbances, such as voltage sags and surges, and bridge the gap between a power outage and restoration of power or the time required to switch to generator power. Our products are designed to be environmentally friendly compared to existing solutions without compromising functionality, efficiency or cost. We have shipped over 1,450 flywheels, or more than 350 megawatts of our products, representing $105.4 million in revenue, to business locations in over 35 countries around the world since our founding in 1992. We are headquartered in Austin, Texas.</w:t>
      </w:r>
    </w:p>
    <w:p>
      <w:pPr>
        <w:spacing w:after="0" w:line="116" w:lineRule="exact"/>
        <w:rPr>
          <w:sz w:val="20"/>
          <w:szCs w:val="20"/>
          <w:color w:val="auto"/>
        </w:rPr>
      </w:pPr>
    </w:p>
    <w:p>
      <w:pPr>
        <w:ind w:right="20" w:firstLine="456"/>
        <w:spacing w:after="0" w:line="269" w:lineRule="auto"/>
        <w:rPr>
          <w:sz w:val="20"/>
          <w:szCs w:val="20"/>
          <w:color w:val="auto"/>
        </w:rPr>
      </w:pPr>
      <w:r>
        <w:rPr>
          <w:rFonts w:ascii="Arial" w:cs="Arial" w:eastAsia="Arial" w:hAnsi="Arial"/>
          <w:sz w:val="16"/>
          <w:szCs w:val="16"/>
          <w:color w:val="auto"/>
        </w:rPr>
        <w:t>Our patented flywheel energy storage systems store kinetic energy by constantly spinning a compact steel wheel (“flywheel”) driven from utility power in a low-friction environment. When the utility power used to spin the flywheel fluctuates or is interrupted, the flywheel’s inertia causes it to continue spinning. The resulting kinetic energy of the spinning flywheel generates electricity known as “bridging power” for short periods until utility power is fully restored or a backup electric generator starts and takes over generating longer-term backup power in the case of an extended electrical outage. We believe that our flywheel products provide many competitive advantages over traditional battery-based systems, including substantial space savings, high power densities, “green” energy storage and power efficiencies as high as 98% that reduce total operational energy costs. We offer our flywheel products with load capabilities from 65 kVA to 3600 kVA, while typically targeting higher power density applications above 200 kVA since the majority of these customers already have back-up generators. We market our</w:t>
      </w:r>
    </w:p>
    <w:p>
      <w:pPr>
        <w:spacing w:after="0" w:line="2"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flywheel products under the brand name CleanSource</w:t>
      </w:r>
      <w:r>
        <w:rPr>
          <w:rFonts w:ascii="Arial" w:cs="Arial" w:eastAsia="Arial" w:hAnsi="Arial"/>
          <w:sz w:val="22"/>
          <w:szCs w:val="22"/>
          <w:color w:val="auto"/>
          <w:vertAlign w:val="superscript"/>
        </w:rPr>
        <w:t>®</w:t>
      </w:r>
      <w:r>
        <w:rPr>
          <w:rFonts w:ascii="Arial" w:cs="Arial" w:eastAsia="Arial" w:hAnsi="Arial"/>
          <w:sz w:val="18"/>
          <w:szCs w:val="18"/>
          <w:color w:val="auto"/>
        </w:rPr>
        <w:t>. CleanSource DC is a non-chemical replacement for lead-acid batteries used for bridging power. Utilizing our flywheel energy storage technology, the CleanSource DC is a stand-alone direct current (DC) product that is compatible with all major brands of uninterruptible power supplies (UPS). We built on the technological success of CleanSource DC by creating a battery-free UPS, CleanSource UPS, which integrates the UPS electronics and our flywheel energy storage system into one compact cabinet. CleanSource UPS represents the majority of our current revenues. Combining our CleanSource UPS with a generator provides customers with complete short and long-term protection in the event of a power disturbance. We sell our CleanSource flywheel products to commercial and industrial customers across a variety of vertical markets including manufacturing, technology, communications, utilities, healthcare, banking and military and in all major geographic regions of the world, but particularly in North America and Europe.</w:t>
      </w:r>
    </w:p>
    <w:p>
      <w:pPr>
        <w:spacing w:after="0" w:line="18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To address the longer runtime requirements of customers without backup generators that still need protection from utility disturbances, we also have developed a patented extended runtime product that we call CoolAir™ DC. We initially have targeted CoolAir DC at lower power levels than our flywheel products, and it is sold as a minute-for-minute replacement for lead-acid batteries. CoolAir DC can provide backup power for several minutes to hours depending on the customer application. CoolAir DC utilizes mature thermal and compressed air storage (TACAS) technologies combined in a proprietary manner to produce backup power during an electrical disturbance. This product discharges cool air as a by-product of its operation that also can be used by customers during an electrical disturbance as a source of backup cooling. In addition to offering a DC-only solution, when customers desire a complete backup solution with an extended runtime, we have introduced the CoolAir UPS that couples our CoolAir DC product with a third party double-conversion UPS. CoolAir initially is being targeted at small to medium-size data center customers in North America following its commercial introduction in the US in the second quarter of 2006 and the international version in the fourth quarter of 2006.</w:t>
      </w:r>
    </w:p>
    <w:p>
      <w:pPr>
        <w:spacing w:after="0" w:line="12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principal executive office is located at 2138 W. Braker Lane, BK12, Austin, Texas 78758, and our telephone number is (512) 836-6464. Our website address is www.activepower.com. Information contained on our website is not a part of this prospectus.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Offering</w:t>
      </w:r>
    </w:p>
    <w:p>
      <w:pPr>
        <w:spacing w:after="0" w:line="2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Common stock to be sold by selling stockholders: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Common stock offered 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Active Power,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Registration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Nasdaq Global Market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10,000,000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-1824990</wp:posOffset>
            </wp:positionH>
            <wp:positionV relativeFrom="paragraph">
              <wp:posOffset>-1068705</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will not receive any proceeds from the sale of common stock by the selling stockholders.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Under the registration rights agreement that we entered into with certain of the selling stockholders, we are obligated to use our best efforts to cause the registration statement, of which this prospectus is a part, to become effective and to keep the registration statement current and effective until all registrable securities covered by this registration statement (i) have been sold, or (ii) may be sold without the volume limitations of Rule 144(k) under the Securities Act of 1933, as determined by our counsel pursuant to a written opinion letter to such effect, subject to certain exceptions. However, we may elect to keep the registration statement effective for a longer period of time.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ACPW</w:t>
      </w:r>
    </w:p>
    <w:p>
      <w:pPr>
        <w:spacing w:after="0" w:line="158"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2540" w:space="340"/>
            <w:col w:w="848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Investing in our common stock involves a high degree of risk. You should carefully consider the “Risk Factors” included under Part I, Item 1A, of our Annual Report on Form 10-K for the year ended December 31, 2006, filed with the SEC on May 11, 2007, and Part II, Item 1A, of our Quarterly Report on Form 10-Q for the quarter ended June 30, 2007, filed with the SEC on July 27, 2007, in addition to any subsequent report that we file pursuant to the Exchange Act which will also be filed as a supplement to this prospectus or will be contained in a post-effective amendment to the registration statement of which this prospectus forms a part. In addition to the risk factor set forth below, you should read the risk factors we include in the reports we file with the Securities and Exchange Commission, including those that are incorporated by reference in this prospectus. The risk factors set forth in such reports are dated as of the date of the particular report to which they relate. Please see “Where You Can Find More Information” beginning on page 10 of this prospectus for more information on these reports. The risks and uncertainties that we describe in these documents are not the only risks and uncertainties that we face. Additional risks and uncertainties not currently known to us or that we currently deem not to be material also may impair our business operations. If any of the risks actually occur, our business, results of operations, stock price and/or financial condition could suffer. In that event, the trading price of our common stock could decline, and you may lose all or part of your investment in our common stock.</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Sales of Our Shares by Certain Stockholders Could Have a Material Effect on Our Stock Price.</w:t>
      </w:r>
    </w:p>
    <w:p>
      <w:pPr>
        <w:spacing w:after="0" w:line="90" w:lineRule="exact"/>
        <w:rPr>
          <w:sz w:val="20"/>
          <w:szCs w:val="20"/>
          <w:color w:val="auto"/>
        </w:rPr>
      </w:pPr>
    </w:p>
    <w:p>
      <w:pPr>
        <w:ind w:right="140" w:firstLine="456"/>
        <w:spacing w:after="0" w:line="305" w:lineRule="auto"/>
        <w:rPr>
          <w:sz w:val="20"/>
          <w:szCs w:val="20"/>
          <w:color w:val="auto"/>
        </w:rPr>
      </w:pPr>
      <w:r>
        <w:rPr>
          <w:rFonts w:ascii="Arial" w:cs="Arial" w:eastAsia="Arial" w:hAnsi="Arial"/>
          <w:sz w:val="15"/>
          <w:szCs w:val="15"/>
          <w:color w:val="auto"/>
        </w:rPr>
        <w:t>If a significant portion of shares eligible for sale or resale by our stockholders were sold by the selling shareholders in the public marketplace, such sales could exceed any demand for our shares and have a severe and adverse material affect on the trading price of our common stock. As of August 31, 2007, we had</w:t>
      </w:r>
    </w:p>
    <w:p>
      <w:pPr>
        <w:ind w:right="160" w:firstLine="8"/>
        <w:spacing w:after="0" w:line="295" w:lineRule="auto"/>
        <w:tabs>
          <w:tab w:leader="none" w:pos="210" w:val="left"/>
        </w:tabs>
        <w:numPr>
          <w:ilvl w:val="0"/>
          <w:numId w:val="3"/>
        </w:numPr>
        <w:rPr>
          <w:rFonts w:ascii="Arial" w:cs="Arial" w:eastAsia="Arial" w:hAnsi="Arial"/>
          <w:sz w:val="16"/>
          <w:szCs w:val="16"/>
          <w:color w:val="auto"/>
        </w:rPr>
      </w:pPr>
      <w:r>
        <w:rPr>
          <w:rFonts w:ascii="Arial" w:cs="Arial" w:eastAsia="Arial" w:hAnsi="Arial"/>
          <w:sz w:val="16"/>
          <w:szCs w:val="16"/>
          <w:color w:val="auto"/>
        </w:rPr>
        <w:t>60,121,311 shares of common stock outstanding, and (ii) approximately 5,596,956 million shares of common stock issuable upon exercise of outstanding options or subject to unvested restricted stock. In addition to shares held by certain of our affiliates and other large holders, we are registering 10,000,000 shares of common stock for resale by the selling shareholders pursuant to this prospectus, which represents approximately an additional 16.6% of our currently outstanding shares, all of which will be eligible for resale from time to time at the discretion of the selling stockholders.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PLACEMENT</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August 14, 2007, we sold 10,000,000 shares of our common stock to the selling stockholders in a private placement transaction. We received approximately $13.1 million in net proceeds from the sale after deducting $840,000 in commissions paid to the placement agent for these shares. We issued these shares in reliance on the exemption from registration provided by Regulation D under the Securities Act of 1933. We issued the shares without general solicitation or advertising. The purchasers were a limited number of accredited investors with access to all relevant information necessary to evaluate the investment, and who represented to us that the shares were being acquired for investment for their own account.</w:t>
      </w:r>
    </w:p>
    <w:p>
      <w:pPr>
        <w:spacing w:after="0" w:line="116"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Under the terms of the securities purchase agreement under which these shares were issued and a related registration rights agreement, we agreed to file a registration statement covering the resale of the shares by September 13, 2007 and to use our best efforts to cause such registration statement to be declared effective by October 29, 2007 (or in the event of a “full review” by the Securities and Exchange Commission, by December 12, 2007). In addition, we agreed to use our best efforts to take actions necessary to keep the registration statement current and effective until all registrable securities covered by this registration statement (i) have been sold, or (ii) may be sold without the volume limitations of Rule 144(k) under the Securities Act of 1933, as determined by our counsel pursuant to a written opinion letter to such effect.</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net proceeds from the disposition of the shares of common stock covered by this prospectus will be received by the selling stockholders or their transferees. We will not receive any proceeds from the disposition of the shares by any of them.</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SELLING STOCKHOLDERS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Set forth below is the following information regarding the beneficial ownership of our common stock by the selling stockholders as of August 31, 2007:</w:t>
      </w:r>
    </w:p>
    <w:p>
      <w:pPr>
        <w:spacing w:after="0" w:line="38" w:lineRule="exact"/>
        <w:rPr>
          <w:sz w:val="20"/>
          <w:szCs w:val="20"/>
          <w:color w:val="auto"/>
        </w:rPr>
      </w:pPr>
    </w:p>
    <w:p>
      <w:pPr>
        <w:jc w:val="both"/>
        <w:ind w:right="100" w:firstLine="8"/>
        <w:spacing w:after="0" w:line="302" w:lineRule="auto"/>
        <w:tabs>
          <w:tab w:leader="none" w:pos="249"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name of each selling stockholder; (2) the number of shares of our common stock owned by each selling stockholder prior to this offering; (3) the number of shares of our common stock being offered pursuant to this prospectus; (4) the number of shares of our common stock owned upon completion of this offering; and (5) the percentage of our outstanding common stock owned upon completion of this offering.</w:t>
      </w:r>
    </w:p>
    <w:p>
      <w:pPr>
        <w:spacing w:after="0" w:line="109"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On August 14, 2007, we issued to the selling stockholders an aggregate of 10,000,000 shares of our common stock at a price of $1.40 per share for aggregate initial gross proceeds of $14.0 million.</w:t>
      </w:r>
    </w:p>
    <w:p>
      <w:pPr>
        <w:spacing w:after="0" w:line="13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common stock offered by this prospectus may be offered from time to time by the selling stockholders named below, or by any of their pledges, donees, transferees or other successors in interest. The amounts and information set forth below are based upon information provided to us by the selling stockholders or their representatives, or on our records, as of August 31, 2007. It is possible, however, that the selling stockholders may acquire or dispose of additional shares of common stock from time to time after the date of this prospectus. To our knowledge, none of the selling stockholders has had within the past three years any material relationship with us.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4"/>
              </w:rPr>
              <w:t>Shares of</w:t>
            </w: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4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50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9"/>
        </w:trPr>
        <w:tc>
          <w:tcPr>
            <w:tcW w:w="5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Selling Stockholder(1)</w:t>
            </w:r>
          </w:p>
        </w:tc>
        <w:tc>
          <w:tcPr>
            <w:tcW w:w="500" w:type="dxa"/>
            <w:vAlign w:val="bottom"/>
          </w:tcPr>
          <w:p>
            <w:pPr>
              <w:spacing w:after="0"/>
              <w:rPr>
                <w:sz w:val="12"/>
                <w:szCs w:val="12"/>
                <w:color w:val="auto"/>
              </w:rPr>
            </w:pPr>
          </w:p>
        </w:tc>
        <w:tc>
          <w:tcPr>
            <w:tcW w:w="14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Owned Prior to</w:t>
            </w: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Owned After</w:t>
            </w:r>
          </w:p>
        </w:tc>
        <w:tc>
          <w:tcPr>
            <w:tcW w:w="50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Owned After</w:t>
            </w:r>
          </w:p>
        </w:tc>
        <w:tc>
          <w:tcPr>
            <w:tcW w:w="0" w:type="dxa"/>
            <w:vAlign w:val="bottom"/>
          </w:tcPr>
          <w:p>
            <w:pPr>
              <w:spacing w:after="0"/>
              <w:rPr>
                <w:sz w:val="1"/>
                <w:szCs w:val="1"/>
                <w:color w:val="auto"/>
              </w:rPr>
            </w:pPr>
          </w:p>
        </w:tc>
      </w:tr>
      <w:tr>
        <w:trPr>
          <w:trHeight w:val="148"/>
        </w:trPr>
        <w:tc>
          <w:tcPr>
            <w:tcW w:w="580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gridSpan w:val="2"/>
          </w:tcPr>
          <w:p>
            <w:pPr>
              <w:jc w:val="center"/>
              <w:ind w:right="500"/>
              <w:spacing w:after="0" w:line="148" w:lineRule="exact"/>
              <w:rPr>
                <w:sz w:val="20"/>
                <w:szCs w:val="20"/>
                <w:color w:val="auto"/>
              </w:rPr>
            </w:pPr>
            <w:r>
              <w:rPr>
                <w:rFonts w:ascii="Arial" w:cs="Arial" w:eastAsia="Arial" w:hAnsi="Arial"/>
                <w:sz w:val="14"/>
                <w:szCs w:val="14"/>
                <w:b w:val="1"/>
                <w:bCs w:val="1"/>
                <w:color w:val="auto"/>
                <w:w w:val="92"/>
              </w:rPr>
              <w:t>Offering(2)</w:t>
            </w:r>
          </w:p>
        </w:tc>
        <w:tc>
          <w:tcPr>
            <w:tcW w:w="1420" w:type="dxa"/>
            <w:vAlign w:val="bottom"/>
            <w:gridSpan w:val="2"/>
          </w:tcPr>
          <w:p>
            <w:pPr>
              <w:jc w:val="center"/>
              <w:ind w:right="480"/>
              <w:spacing w:after="0" w:line="148" w:lineRule="exact"/>
              <w:rPr>
                <w:sz w:val="20"/>
                <w:szCs w:val="20"/>
                <w:color w:val="auto"/>
              </w:rPr>
            </w:pPr>
            <w:r>
              <w:rPr>
                <w:rFonts w:ascii="Arial" w:cs="Arial" w:eastAsia="Arial" w:hAnsi="Arial"/>
                <w:sz w:val="14"/>
                <w:szCs w:val="14"/>
                <w:b w:val="1"/>
                <w:bCs w:val="1"/>
                <w:color w:val="auto"/>
                <w:w w:val="88"/>
              </w:rPr>
              <w:t>Offered Hereby</w:t>
            </w:r>
          </w:p>
        </w:tc>
        <w:tc>
          <w:tcPr>
            <w:tcW w:w="9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the Offering</w:t>
            </w:r>
          </w:p>
        </w:tc>
        <w:tc>
          <w:tcPr>
            <w:tcW w:w="500" w:type="dxa"/>
            <w:vAlign w:val="bottom"/>
          </w:tcPr>
          <w:p>
            <w:pPr>
              <w:spacing w:after="0"/>
              <w:rPr>
                <w:sz w:val="12"/>
                <w:szCs w:val="12"/>
                <w:color w:val="auto"/>
              </w:rPr>
            </w:pPr>
          </w:p>
        </w:tc>
        <w:tc>
          <w:tcPr>
            <w:tcW w:w="90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92"/>
              </w:rPr>
              <w:t>Offering(3)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Impax Environmental Markets (Ireland) Fund(4)</w:t>
            </w: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741,037</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400,000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1,141,037</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Impax Environmental Markets PLC(5)</w:t>
            </w:r>
          </w:p>
        </w:tc>
        <w:tc>
          <w:tcPr>
            <w:tcW w:w="1900" w:type="dxa"/>
            <w:vAlign w:val="bottom"/>
            <w:gridSpan w:val="3"/>
          </w:tcPr>
          <w:p>
            <w:pPr>
              <w:jc w:val="right"/>
              <w:ind w:right="500"/>
              <w:spacing w:after="0"/>
              <w:rPr>
                <w:sz w:val="20"/>
                <w:szCs w:val="20"/>
                <w:color w:val="auto"/>
              </w:rPr>
            </w:pPr>
            <w:r>
              <w:rPr>
                <w:rFonts w:ascii="Arial" w:cs="Arial" w:eastAsia="Arial" w:hAnsi="Arial"/>
                <w:sz w:val="18"/>
                <w:szCs w:val="18"/>
                <w:color w:val="auto"/>
              </w:rPr>
              <w:t>1,470,732</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350,000</w:t>
            </w:r>
          </w:p>
        </w:tc>
        <w:tc>
          <w:tcPr>
            <w:tcW w:w="900" w:type="dxa"/>
            <w:vAlign w:val="bottom"/>
          </w:tcPr>
          <w:p>
            <w:pPr>
              <w:jc w:val="right"/>
              <w:spacing w:after="0"/>
              <w:rPr>
                <w:sz w:val="20"/>
                <w:szCs w:val="20"/>
                <w:color w:val="auto"/>
              </w:rPr>
            </w:pPr>
            <w:r>
              <w:rPr>
                <w:rFonts w:ascii="Arial" w:cs="Arial" w:eastAsia="Arial" w:hAnsi="Arial"/>
                <w:sz w:val="18"/>
                <w:szCs w:val="18"/>
                <w:color w:val="auto"/>
              </w:rPr>
              <w:t>1,820,732</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Parworld Environmental Opportunities Fund(6)</w:t>
            </w:r>
          </w:p>
        </w:tc>
        <w:tc>
          <w:tcPr>
            <w:tcW w:w="19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266,300</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450,000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716,300</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Rho Management Trust IV(7)</w:t>
            </w:r>
          </w:p>
        </w:tc>
        <w:tc>
          <w:tcPr>
            <w:tcW w:w="5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600,000</w:t>
            </w:r>
          </w:p>
        </w:tc>
        <w:tc>
          <w:tcPr>
            <w:tcW w:w="900" w:type="dxa"/>
            <w:vAlign w:val="bottom"/>
          </w:tcPr>
          <w:p>
            <w:pPr>
              <w:jc w:val="right"/>
              <w:spacing w:after="0"/>
              <w:rPr>
                <w:sz w:val="20"/>
                <w:szCs w:val="20"/>
                <w:color w:val="auto"/>
              </w:rPr>
            </w:pPr>
            <w:r>
              <w:rPr>
                <w:rFonts w:ascii="Arial" w:cs="Arial" w:eastAsia="Arial" w:hAnsi="Arial"/>
                <w:sz w:val="18"/>
                <w:szCs w:val="18"/>
                <w:color w:val="auto"/>
              </w:rPr>
              <w:t>600,000</w:t>
            </w:r>
          </w:p>
        </w:tc>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SF Capital Partners Ltd(8)</w:t>
            </w: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1,100,000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1,100,000</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Southport Energy Alternatives Fund, L.P.(9)</w:t>
            </w:r>
          </w:p>
        </w:tc>
        <w:tc>
          <w:tcPr>
            <w:tcW w:w="1900" w:type="dxa"/>
            <w:vAlign w:val="bottom"/>
            <w:gridSpan w:val="3"/>
          </w:tcPr>
          <w:p>
            <w:pPr>
              <w:jc w:val="right"/>
              <w:ind w:right="500"/>
              <w:spacing w:after="0"/>
              <w:rPr>
                <w:sz w:val="20"/>
                <w:szCs w:val="20"/>
                <w:color w:val="auto"/>
              </w:rPr>
            </w:pPr>
            <w:r>
              <w:rPr>
                <w:rFonts w:ascii="Arial" w:cs="Arial" w:eastAsia="Arial" w:hAnsi="Arial"/>
                <w:sz w:val="18"/>
                <w:szCs w:val="18"/>
                <w:color w:val="auto"/>
              </w:rPr>
              <w:t>289,779</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597,900</w:t>
            </w:r>
          </w:p>
        </w:tc>
        <w:tc>
          <w:tcPr>
            <w:tcW w:w="900" w:type="dxa"/>
            <w:vAlign w:val="bottom"/>
          </w:tcPr>
          <w:p>
            <w:pPr>
              <w:jc w:val="right"/>
              <w:spacing w:after="0"/>
              <w:rPr>
                <w:sz w:val="20"/>
                <w:szCs w:val="20"/>
                <w:color w:val="auto"/>
              </w:rPr>
            </w:pPr>
            <w:r>
              <w:rPr>
                <w:rFonts w:ascii="Arial" w:cs="Arial" w:eastAsia="Arial" w:hAnsi="Arial"/>
                <w:sz w:val="18"/>
                <w:szCs w:val="18"/>
                <w:color w:val="auto"/>
              </w:rPr>
              <w:t>887,679</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Southport Energy Alternatives SPV Fund, LP(9)</w:t>
            </w:r>
          </w:p>
        </w:tc>
        <w:tc>
          <w:tcPr>
            <w:tcW w:w="19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339,000</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699,800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1,038,800</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Southport Energy Alternatives SPV Offshore Fund, Inc.(9)</w:t>
            </w:r>
          </w:p>
        </w:tc>
        <w:tc>
          <w:tcPr>
            <w:tcW w:w="1900" w:type="dxa"/>
            <w:vAlign w:val="bottom"/>
            <w:gridSpan w:val="3"/>
          </w:tcPr>
          <w:p>
            <w:pPr>
              <w:jc w:val="right"/>
              <w:ind w:right="500"/>
              <w:spacing w:after="0"/>
              <w:rPr>
                <w:sz w:val="20"/>
                <w:szCs w:val="20"/>
                <w:color w:val="auto"/>
              </w:rPr>
            </w:pPr>
            <w:r>
              <w:rPr>
                <w:rFonts w:ascii="Arial" w:cs="Arial" w:eastAsia="Arial" w:hAnsi="Arial"/>
                <w:sz w:val="18"/>
                <w:szCs w:val="18"/>
                <w:color w:val="auto"/>
              </w:rPr>
              <w:t>219,041</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452,300</w:t>
            </w:r>
          </w:p>
        </w:tc>
        <w:tc>
          <w:tcPr>
            <w:tcW w:w="900" w:type="dxa"/>
            <w:vAlign w:val="bottom"/>
          </w:tcPr>
          <w:p>
            <w:pPr>
              <w:jc w:val="right"/>
              <w:spacing w:after="0"/>
              <w:rPr>
                <w:sz w:val="20"/>
                <w:szCs w:val="20"/>
                <w:color w:val="auto"/>
              </w:rPr>
            </w:pPr>
            <w:r>
              <w:rPr>
                <w:rFonts w:ascii="Arial" w:cs="Arial" w:eastAsia="Arial" w:hAnsi="Arial"/>
                <w:sz w:val="18"/>
                <w:szCs w:val="18"/>
                <w:color w:val="auto"/>
              </w:rPr>
              <w:t>671,341</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Steelhead Investments Ltd.(10)</w:t>
            </w: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4,800,000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4,800,000</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UBS O’Connor LLC FBO O’Connor PIPES Corporate Strategies Master</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Limited(11)</w:t>
            </w:r>
          </w:p>
        </w:tc>
        <w:tc>
          <w:tcPr>
            <w:tcW w:w="500" w:type="dxa"/>
            <w:vAlign w:val="bottom"/>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550,000</w:t>
            </w:r>
          </w:p>
        </w:tc>
        <w:tc>
          <w:tcPr>
            <w:tcW w:w="900" w:type="dxa"/>
            <w:vAlign w:val="bottom"/>
          </w:tcPr>
          <w:p>
            <w:pPr>
              <w:jc w:val="right"/>
              <w:spacing w:after="0"/>
              <w:rPr>
                <w:sz w:val="20"/>
                <w:szCs w:val="20"/>
                <w:color w:val="auto"/>
              </w:rPr>
            </w:pPr>
            <w:r>
              <w:rPr>
                <w:rFonts w:ascii="Arial" w:cs="Arial" w:eastAsia="Arial" w:hAnsi="Arial"/>
                <w:sz w:val="18"/>
                <w:szCs w:val="18"/>
                <w:color w:val="auto"/>
              </w:rPr>
              <w:t>550,000</w:t>
            </w:r>
          </w:p>
        </w:tc>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less than 1%</w:t>
      </w:r>
    </w:p>
    <w:p>
      <w:pPr>
        <w:spacing w:after="0" w:line="90" w:lineRule="exact"/>
        <w:rPr>
          <w:sz w:val="20"/>
          <w:szCs w:val="20"/>
          <w:color w:val="auto"/>
        </w:rPr>
      </w:pPr>
    </w:p>
    <w:p>
      <w:pPr>
        <w:ind w:left="460" w:right="60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Throughout this prospectus, when we refer to “selling stockholders,” we mean the persons listed in the table above, as well as the pledgees, donees, assignees, transferees, successors and others who later hold any of the selling stockholders’ interests.</w:t>
      </w:r>
    </w:p>
    <w:p>
      <w:pPr>
        <w:spacing w:after="0" w:line="50" w:lineRule="exact"/>
        <w:rPr>
          <w:rFonts w:ascii="Arial" w:cs="Arial" w:eastAsia="Arial" w:hAnsi="Arial"/>
          <w:sz w:val="18"/>
          <w:szCs w:val="18"/>
          <w:color w:val="auto"/>
        </w:rPr>
      </w:pPr>
    </w:p>
    <w:p>
      <w:pPr>
        <w:ind w:left="460" w:right="100"/>
        <w:spacing w:after="0" w:line="290" w:lineRule="auto"/>
        <w:rPr>
          <w:rFonts w:ascii="Arial" w:cs="Arial" w:eastAsia="Arial" w:hAnsi="Arial"/>
          <w:sz w:val="18"/>
          <w:szCs w:val="18"/>
          <w:color w:val="auto"/>
        </w:rPr>
      </w:pPr>
      <w:r>
        <w:rPr>
          <w:rFonts w:ascii="Arial" w:cs="Arial" w:eastAsia="Arial" w:hAnsi="Arial"/>
          <w:sz w:val="16"/>
          <w:szCs w:val="16"/>
          <w:color w:val="auto"/>
        </w:rPr>
        <w:t>Selling stockholders who are registered broker-dealers are deemed to be “underwriters” within the meaning of the Securities Act of 1933. Selling stockholders who are affiliates of registered broker-dealers also may be deemed to be “underwriters” within the meaning of the Securities Act of 1933 if such selling stockholder (a) did not acquire its shares being offered in the ordinary course of business or (b) had any agreement or understanding, directly or indirectly, with any person to distribute the securities. To our knowledge, no selling stockholder who is a registered broker-dealer or an affiliate of a registered broker-dealer received any securities as underwriting compensation, each selling stockholder purchased the shares of common stock acquired in the private placement in the ordinary course of such stockholder’s business, and at the time of the purchase of such shares did not have any agreements or understandings, directly or indirectly, with any person to distribute such shares.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80" w:hanging="452"/>
        <w:spacing w:after="0" w:line="259"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Pursuant to Rule 13d-3 of the Exchange Act, a person is deemed to be the beneficial owner of a security if that person has the right to acquire beneficial ownership of such security within 60 days, including the right to acquire through the exercise of an option or warrant or through the conversion of a security.</w:t>
      </w:r>
    </w:p>
    <w:p>
      <w:pPr>
        <w:spacing w:after="0" w:line="59" w:lineRule="exact"/>
        <w:rPr>
          <w:rFonts w:ascii="Arial" w:cs="Arial" w:eastAsia="Arial" w:hAnsi="Arial"/>
          <w:sz w:val="18"/>
          <w:szCs w:val="18"/>
          <w:color w:val="auto"/>
        </w:rPr>
      </w:pPr>
    </w:p>
    <w:p>
      <w:pPr>
        <w:ind w:left="460" w:right="80" w:hanging="452"/>
        <w:spacing w:after="0" w:line="259"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Assumes the sale of all shares covered by this prospectus. No estimate can be given as to the number of shares that will be held by the selling stockholders after completion of this offering because the selling stockholders may sell some, all or none of the shares, in their respective discretion. Percentages are based upon 60,121,311 shares of common stock that were outstanding as of August 31, 2007.</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have been advised that the registered holder of the securities owned by Impax Environmental Markets (Ireland) Fund is RBC Investor Services Bank.</w:t>
      </w:r>
    </w:p>
    <w:p>
      <w:pPr>
        <w:spacing w:after="0" w:line="113" w:lineRule="exact"/>
        <w:rPr>
          <w:rFonts w:ascii="Arial" w:cs="Arial" w:eastAsia="Arial" w:hAnsi="Arial"/>
          <w:sz w:val="16"/>
          <w:szCs w:val="16"/>
          <w:color w:val="auto"/>
        </w:rPr>
      </w:pPr>
    </w:p>
    <w:p>
      <w:pPr>
        <w:ind w:left="460" w:right="30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been advised that the registered holder of the securities owned by Impax Environmental Markets PLC is Nortrust Nominees Limited Account: IEM01.</w:t>
      </w:r>
    </w:p>
    <w:p>
      <w:pPr>
        <w:spacing w:after="0" w:line="50" w:lineRule="exact"/>
        <w:rPr>
          <w:rFonts w:ascii="Arial" w:cs="Arial" w:eastAsia="Arial" w:hAnsi="Arial"/>
          <w:sz w:val="18"/>
          <w:szCs w:val="18"/>
          <w:color w:val="auto"/>
        </w:rPr>
      </w:pPr>
    </w:p>
    <w:p>
      <w:pPr>
        <w:ind w:left="460" w:right="58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been advised that the registered holder of the securities owned by Parworld Environmental Opportunities Fund is Parworld Environmental Opportunities.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been advised that Joshua Ruch has investment and voting control over the securities owned by Rho Management Trust IV.</w:t>
      </w:r>
    </w:p>
    <w:p>
      <w:pPr>
        <w:spacing w:after="0" w:line="90" w:lineRule="exact"/>
        <w:rPr>
          <w:rFonts w:ascii="Arial" w:cs="Arial" w:eastAsia="Arial" w:hAnsi="Arial"/>
          <w:sz w:val="18"/>
          <w:szCs w:val="18"/>
          <w:color w:val="auto"/>
        </w:rPr>
      </w:pPr>
    </w:p>
    <w:p>
      <w:pPr>
        <w:ind w:left="460" w:right="42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been advised that Michael Roth and Brian J. Stark have voting and investment control over the securities owned by SF Capital Partners Ltd., however, Messrs. Roth and Stark disclaim beneficial ownership of such securities.</w:t>
      </w:r>
    </w:p>
    <w:p>
      <w:pPr>
        <w:spacing w:after="0" w:line="50" w:lineRule="exact"/>
        <w:rPr>
          <w:rFonts w:ascii="Arial" w:cs="Arial" w:eastAsia="Arial" w:hAnsi="Arial"/>
          <w:sz w:val="18"/>
          <w:szCs w:val="18"/>
          <w:color w:val="auto"/>
        </w:rPr>
      </w:pPr>
    </w:p>
    <w:p>
      <w:pPr>
        <w:ind w:left="460" w:right="38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Sound Energy Partners, Inc. is the investment manager of this selling stockholder and, in such capacity, may be deemed to have voting and dispositive power over the securities held for the account of this selling stockholder.</w:t>
      </w:r>
    </w:p>
    <w:p>
      <w:pPr>
        <w:spacing w:after="0" w:line="50" w:lineRule="exact"/>
        <w:rPr>
          <w:rFonts w:ascii="Arial" w:cs="Arial" w:eastAsia="Arial" w:hAnsi="Arial"/>
          <w:sz w:val="18"/>
          <w:szCs w:val="18"/>
          <w:color w:val="auto"/>
        </w:rPr>
      </w:pPr>
    </w:p>
    <w:p>
      <w:pPr>
        <w:ind w:left="460" w:right="20" w:hanging="452"/>
        <w:spacing w:after="0" w:line="256"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been advised that HBK Investments L.P. (“HBK”), a Delaware limited partnership, has shared voting and dispositive power over the registrable securities pursuant to an Investment Management Agreement between HBK and Steelhead Investments Ltd. HBK has delegated discretion to vote and dispose of the registrable securities to HBK Services LLC. The following individuals may be deemed to have control over HBK: Jamiel A. Ahktar, Richard L. Booth, David C. Haley, Laurence H. Lebowitz, and William E. Rose.</w:t>
      </w:r>
    </w:p>
    <w:p>
      <w:pPr>
        <w:spacing w:after="0" w:line="62"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been advised that the selling stockholder (O’Connor PIPES Corporate Strategies Master Limited) of this security is a fund which cedes investment control to UBS O’Connor LLC (the Investment Manager). The Investment Manager makes all of the investment / voting decisions. UBS O’Connor LLC is a wholly owned subsidiary of UBS AG which is listed on the NYSE.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Each Selling Stockholder of the common stock and any of their pledgees, donees, assignees, transferees, successors-in-interest and others who later hold any of the selling stockholders’ interests may, from time to time, sell any or all of their shares of common stock on the Nasdaq Global Market or any other stock exchange, market or trading facility on which the shares are traded or in private transactions. These sales may be at fixed or negotiated prices. A selling stockholder may use any one or more of the following methods when selling shares:</w:t>
      </w:r>
    </w:p>
    <w:p>
      <w:pPr>
        <w:spacing w:after="0" w:line="62" w:lineRule="exact"/>
        <w:rPr>
          <w:sz w:val="20"/>
          <w:szCs w:val="20"/>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90" w:lineRule="exact"/>
        <w:rPr>
          <w:rFonts w:ascii="Arial" w:cs="Arial" w:eastAsia="Arial" w:hAnsi="Arial"/>
          <w:sz w:val="18"/>
          <w:szCs w:val="18"/>
          <w:color w:val="auto"/>
        </w:rPr>
      </w:pPr>
    </w:p>
    <w:p>
      <w:pPr>
        <w:ind w:left="1480" w:right="100" w:hanging="446"/>
        <w:spacing w:after="0" w:line="268" w:lineRule="auto"/>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settlement of short sales entered into after the effective date of the registration statement of which this prospectus is a part;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broker-dealers may agree with the selling stockholders to sell a specified number of such shares at a stipulated price per share;</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through the writing or settlement of options or other hedging transactions, whether through an options exchange or otherwise;</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combination of any such methods of sale; or</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selling stockholders also may sell shares under Rule 144 under the Securities Act, if available, rather than under this prospectus.</w:t>
      </w:r>
    </w:p>
    <w:p>
      <w:pPr>
        <w:spacing w:after="0" w:line="171"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Broker-dealers engaged by the selling stockholders may arrange for other brokers-dealers to participate in sales. Broker-dealers may receive commissions or discounts from the selling stockholders (or, if any broker-dealer acts as agent for the purchaser of shares, from the purchaser) in amounts to be negotiated, but, except as set forth in a supplement to this Prospectus, in the case of an agency transaction not in excess of a customary brokerage commission in compliance with NASDR Rule 2440, and in the case of a principal transaction a markup or markdown, in compliance with NASDR IM-2440.</w:t>
      </w:r>
    </w:p>
    <w:p>
      <w:pPr>
        <w:spacing w:after="0" w:line="11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connection with the sale of the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also may sell shares of the common stock short and deliver these securities to close out their short positions, or loan or pledge the common stock to broker-dealers that in turn may sell these securities. The selling stockholders also may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4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selling stockholders and any broker-dealers or agents that are involved in selling the shares may be deemed to be “underwriters” within the meaning of the Securities Act in connection with such sales. In such event, any commissions received by such broker-dealers or agents and any profit on the resale of the shares purchased by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them may be deemed to be underwriting commissions or discounts under the Securities Act. Each selling stockholder has informed us that it does not have any written or oral agreement or understanding, directly or indirectly, with any person to distribute the Common Stock. In no event shall any broker-dealer receive fees, commissions and markups which, in the aggregate, would exceed eight percent (8%).</w:t>
      </w:r>
    </w:p>
    <w:p>
      <w:pPr>
        <w:spacing w:after="0" w:line="14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are required to pay certain fees and expenses incurred by us with respect to the registration of the shares. We have agreed to indemnify the selling stockholders against certain losses, claims, damages and liabilities, including liabilities under the Securities Act.</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Because selling stockholders may be deemed to be “underwriters” within the meaning of the Securities Act, they will be subject to the prospectus delivery requirements of the Securities Act including Rule 172 thereunder. In addition, any securities covered by this prospectus which qualify for sale pursuant to Rule 144 under the Securities Act may be sold under Rule 144 rather than under this prospectus. Each selling stockholder has advised us that they have not entered into any written or oral agreements, understandings or arrangements with any underwriter or broker dealer regarding the sale of the resale shares. There is no underwriter or coordinating broker acting in connection with the proposed sale of the resale shares by the selling stockholders.</w:t>
      </w:r>
    </w:p>
    <w:p>
      <w:pPr>
        <w:spacing w:after="0" w:line="116"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We agreed to keep this prospectus effective until the earlier of (i) the date on which the shares may be resold by the selling stockholders without registration and without regard to any volume limitations by reason of Rule 144(k) under the Securities Act or any other rule of similar effect or (ii) all of the shares have been sold pursuant to this prospectus or Rule 144 under the Securities Act or any other rule of similar effect. The resale shares will be sold only through registered or licensed brokers or dealers if required under applicable state securities laws. In addition, in certain states, the resale shares may not be sold unless they have been registered or qualified for sale in the applicable state or an exemption from the registration or qualification requirement is available and is complied with.</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applicable rules and regulations under the Exchange Act, any person engaged in the distribution of the resale shares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shares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The validity of the issuance of the shares of common stock offered by this prospectus will be passed upon by Andrews Kurth LLP, Austin, Texas.</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consolidated financial statements of Active Power, Inc. appearing in Active Power, Inc.’s Annual Report (Form 10-K) for the year ended December 31, 2006, and Active Power, Inc.’s management’s assessment of the effectiveness of internal control over financial reporting as of December 31, 2006 included therein, have been audited by Ernst &amp; Young LLP, independent registered public accounting firm, as set forth in its reports thereon which conclude, among other things, that Active Power, Inc. did not maintain effective internal control over financial reporting as of December 31, 2006, based on Internal Control—Integrated Framework issued by the Committee of Sponsoring Organizations of the Treadway Commission, because of the effects of the material weakness described therein, included therein, and incorporated herein by reference. Such financial statements and management’s assessment have been incorporated herein by reference in reliance upon such reports given on the authority of such firm as experts in accounting and auditing.</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DISCLOSURE OF SEC POSITION ON INDEMNIFICATION FOR SECURITIES ACT LIABILITIES</w:t>
      </w:r>
    </w:p>
    <w:p>
      <w:pPr>
        <w:spacing w:after="0" w:line="17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are organized under the laws of the State of Delaware. Our Restated Certificate of Incorporation and Second Amended and Restated Bylaws eliminate the personal liability of our directors to the fullest extent permitted by the Delaware General Corporation Law. In addition, our Restated Certificate of Incorporation and Second Amended and Restated Bylaws provide indemnity for our current or former officers and directors against all liabilities and costs of defending an action or suit in which they were involved by reason of their positions with us. However, we cannot indemnify any person if a court finds that the person did not act in good faith. Our Second Amended and Restated Bylaws also provide that we may purchase insurance to protect any director, officer, employee or agent against any liability. We have entered into separate indemnification agreements with each of our directors and executive officers, whereby we have agreed, among other things, to indemnify them to the fullest extent permitted by the Delaware General Corporation Law, subject to specified limitations, against certain liabilities actually incurred by them in any proceeding in which they are a party that may arise by reason of their status as directors, officers, employees or agents or may arise by reason of their serving as such at our request for another entity and to advance their expenses incurred as a result of any proceeding against them as to which they could be indemnified. We intend to enter into similar separate indemnification agreements with any directors or officers who may join us in the future. There is no pending litigation or proceeding involving any of our directors, officers, employees or other agents as to which indemnification is being sought nor are we aware of any pending or threatened litigation that may result in claims for indemnification.</w:t>
      </w:r>
    </w:p>
    <w:p>
      <w:pPr>
        <w:spacing w:after="0" w:line="12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controlling persons pursuant to the foregoing provisions, we have been informed that in the opinion of the SEC such indemnification is against public policy as expressed in the Securities Act, and is therefore unenforceable.</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We are subject to the informational reporting requirements of the Securities Exchange Act of 1934. In accordance with the Exchange Act, we file Annual Reports on Form 10-K, Quarterly Reports on Form 10-Q, Current Reports on Form 8-K, Proxy Statements and other information with the Securities and Exchange Commission. You may read and copy any document that we file at the SEC’s public reference room at 100 F Street, N.E., Washington D.C. 20549. You can request copies of these documents by contacting the SEC and paying a fee for the copying cost. Please call the SEC at (800) SEC-0330 for further information on the operation of the public reference rooms. Our SEC filings are also available to the public from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17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have filed with the SEC a registration statement on Form S-1 under the Securities Act of 1933 covering the shares offered by this prospectus. This prospectus is part of that registration statement, but as allowed by the SEC’s rules, does not contain all of the information contained in the registration statement and the exhibits to the registration statement. For further information about us and the common stock offered by this prospectus, we refer you to the registration statement and its exhibits and schedules, which may be obtained as described above.</w:t>
      </w:r>
    </w:p>
    <w:p>
      <w:pPr>
        <w:spacing w:after="0" w:line="11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SEC allows us to “incorporate by reference” certain of our publicly-filed documents into this prospectus. This means that information included in those documents is considered part of this prospectus. The following documents filed with the SEC are incorporated by reference in this prospectus:</w:t>
      </w:r>
    </w:p>
    <w:p>
      <w:pPr>
        <w:spacing w:after="0" w:line="4"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2006 as filed on May 11, 2007;</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Definitive Proxy Statement on Schedule 14A as filed on May 29, 2007;</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(a) March 31, 2007 as filed on May 15, 2007 and (b) June 30, 2007 as filed on July 27, 2007;</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Current Reports on Form 8-K as filed on the following 2007 dates:</w:t>
      </w:r>
    </w:p>
    <w:p>
      <w:pPr>
        <w:spacing w:after="0" w:line="15" w:lineRule="exact"/>
        <w:rPr>
          <w:rFonts w:ascii="Arial" w:cs="Arial" w:eastAsia="Arial" w:hAnsi="Arial"/>
          <w:sz w:val="18"/>
          <w:szCs w:val="18"/>
          <w:color w:val="auto"/>
        </w:rPr>
      </w:pPr>
    </w:p>
    <w:p>
      <w:pPr>
        <w:ind w:left="900" w:right="120"/>
        <w:spacing w:after="0" w:line="323" w:lineRule="auto"/>
        <w:rPr>
          <w:rFonts w:ascii="Arial" w:cs="Arial" w:eastAsia="Arial" w:hAnsi="Arial"/>
          <w:sz w:val="18"/>
          <w:szCs w:val="18"/>
          <w:color w:val="auto"/>
        </w:rPr>
      </w:pPr>
      <w:r>
        <w:rPr>
          <w:rFonts w:ascii="Arial" w:cs="Arial" w:eastAsia="Arial" w:hAnsi="Arial"/>
          <w:sz w:val="16"/>
          <w:szCs w:val="16"/>
          <w:color w:val="auto"/>
        </w:rPr>
        <w:t>January 9, February 2, February 13, March 1, March 12, March 19, March 26, May 15 (two separate reports filed on this date), May 24, July 27 and August 14 (other than the portions of those documents deemed to have been furnished and not to have been filed);</w:t>
      </w:r>
    </w:p>
    <w:p>
      <w:pPr>
        <w:spacing w:after="0" w:line="11"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June 30, 2000), including any amendment or report filed for the purpose of updating such description;</w:t>
      </w:r>
    </w:p>
    <w:p>
      <w:pPr>
        <w:spacing w:after="0" w:line="50" w:lineRule="exact"/>
        <w:rPr>
          <w:rFonts w:ascii="Arial" w:cs="Arial" w:eastAsia="Arial" w:hAnsi="Arial"/>
          <w:sz w:val="18"/>
          <w:szCs w:val="18"/>
          <w:color w:val="auto"/>
        </w:rPr>
      </w:pPr>
    </w:p>
    <w:p>
      <w:pPr>
        <w:ind w:left="900" w:right="74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description of our stock purchase rights contained in our Registration Statement on Form 8-A (filed December 14, 2001), including any amendment or report filed for the purpose of updating such description; and</w:t>
      </w:r>
    </w:p>
    <w:p>
      <w:pPr>
        <w:spacing w:after="0" w:line="50"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description of the rights, preferences and privileges of our Series A Junior Preferred Stock which are set forth in the Certificate of Designation of Series A Junior Participating Preferred Stock of Active Power filed with the Secretary of State of Delaware on December 18, 2001 and a form of which is included as an exhibit to our Form 8-K, filed December 14, 2001.</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You may request a copy of the filings incorporated by reference in this prospectus, at no cost, by writing or calling us at: Active Power, Inc., 2128 W. Braker Lane, BK12, Austin, Texas 78758, Attention: Secretary, (telephone: (512) 836-6464). You can access electronic copies of our Annual Reports on Form 10-K, Quarterly Reports on Form 10-Q and Current Reports on Form 8-K and all amendments to those reports, free of charge, on our website at http://www.activepower.com. Access to those electronic filings is available as soon as reasonably practicable after filing with, or furnishing to, the SEC.</w:t>
      </w:r>
    </w:p>
    <w:p>
      <w:pPr>
        <w:spacing w:after="0" w:line="107"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color w:val="auto"/>
        </w:rPr>
        <w:t>We make our website content available for information purposes only. It should not be relied upon for investment purposes, nor is it incorporated by reference in this prospectus.</w:t>
      </w:r>
    </w:p>
    <w:p>
      <w:pPr>
        <w:spacing w:after="0" w:line="12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Any statement contained in a document incorporated or deemed to be incorporated by reference in this prospectus will be deemed to be modified or superseded for purposes of this prospectus to the extent that a statement contained in this prospectus or in any other subsequently filed document which also is or is deemed to be incorporated by reference in this prospectus modifies or supersedes that statement. Any statement that is modified or superseded will not constitute a part of this prospectus, except as modified or superseded.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495300</wp:posOffset>
            </wp:positionV>
            <wp:extent cx="725043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2192020</wp:posOffset>
            </wp:positionH>
            <wp:positionV relativeFrom="paragraph">
              <wp:posOffset>934720</wp:posOffset>
            </wp:positionV>
            <wp:extent cx="2881630" cy="6343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8163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10,000,000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348615</wp:posOffset>
            </wp:positionV>
            <wp:extent cx="12433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Common Stock</w:t>
      </w:r>
    </w:p>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Offered by</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Selling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PROSPECTUS</w:t>
      </w:r>
    </w:p>
    <w:p>
      <w:pPr>
        <w:spacing w:after="0" w:line="198" w:lineRule="exact"/>
        <w:rPr>
          <w:sz w:val="20"/>
          <w:szCs w:val="20"/>
          <w:color w:val="auto"/>
        </w:rPr>
      </w:pPr>
    </w:p>
    <w:p>
      <w:pPr>
        <w:jc w:val="center"/>
        <w:ind w:left="4640"/>
        <w:spacing w:after="0"/>
        <w:tabs>
          <w:tab w:leader="none" w:pos="280" w:val="left"/>
        </w:tabs>
        <w:rPr>
          <w:sz w:val="20"/>
          <w:szCs w:val="20"/>
          <w:color w:val="auto"/>
        </w:rPr>
      </w:pPr>
      <w:r>
        <w:rPr>
          <w:rFonts w:ascii="Arial" w:cs="Arial" w:eastAsia="Arial" w:hAnsi="Arial"/>
          <w:sz w:val="24"/>
          <w:szCs w:val="24"/>
          <w:b w:val="1"/>
          <w:bCs w:val="1"/>
          <w:color w:val="auto"/>
        </w:rPr>
        <w:t>September</w:t>
        <w:tab/>
        <w:t>,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509905</wp:posOffset>
            </wp:positionV>
            <wp:extent cx="725043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2705100</wp:posOffset>
            </wp:positionV>
            <wp:extent cx="725043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You should rely only on the information contained or incorporated by reference in this prospectus. We have not authorized anyone to provide you with different information. You should not assume that the information contained or incorporated by reference in this prospectus is accurate as of any date other than the date of this prospectus. We are not making an offer of these securities in any state where the offer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25043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13. Other Expenses of Issuance and Distribution.</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following table itemizes the fees and expenses that we expect to incur in connection with the registration of the securities being registered. All the amounts shown are estimates, except the SEC registration fee.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2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20" w:type="dxa"/>
            <w:vAlign w:val="bottom"/>
          </w:tcPr>
          <w:p>
            <w:pPr>
              <w:spacing w:after="0"/>
              <w:rPr>
                <w:sz w:val="18"/>
                <w:szCs w:val="18"/>
                <w:color w:val="auto"/>
              </w:rPr>
            </w:pP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20,000</w:t>
            </w:r>
          </w:p>
        </w:tc>
        <w:tc>
          <w:tcPr>
            <w:tcW w:w="20" w:type="dxa"/>
            <w:vAlign w:val="bottom"/>
          </w:tcPr>
          <w:p>
            <w:pPr>
              <w:spacing w:after="0"/>
              <w:rPr>
                <w:sz w:val="18"/>
                <w:szCs w:val="18"/>
                <w:color w:val="auto"/>
              </w:rPr>
            </w:pPr>
          </w:p>
        </w:tc>
      </w:tr>
      <w:tr>
        <w:trPr>
          <w:trHeight w:val="216"/>
        </w:trPr>
        <w:tc>
          <w:tcPr>
            <w:tcW w:w="1082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35,000</w:t>
            </w:r>
          </w:p>
        </w:tc>
        <w:tc>
          <w:tcPr>
            <w:tcW w:w="20" w:type="dxa"/>
            <w:vAlign w:val="bottom"/>
          </w:tcPr>
          <w:p>
            <w:pPr>
              <w:spacing w:after="0"/>
              <w:rPr>
                <w:sz w:val="18"/>
                <w:szCs w:val="18"/>
                <w:color w:val="auto"/>
              </w:rPr>
            </w:pPr>
          </w:p>
        </w:tc>
      </w:tr>
      <w:tr>
        <w:trPr>
          <w:trHeight w:val="223"/>
        </w:trPr>
        <w:tc>
          <w:tcPr>
            <w:tcW w:w="10820" w:type="dxa"/>
            <w:vAlign w:val="bottom"/>
          </w:tcPr>
          <w:p>
            <w:pPr>
              <w:spacing w:after="0"/>
              <w:rPr>
                <w:sz w:val="20"/>
                <w:szCs w:val="20"/>
                <w:color w:val="auto"/>
              </w:rPr>
            </w:pPr>
            <w:r>
              <w:rPr>
                <w:rFonts w:ascii="Arial" w:cs="Arial" w:eastAsia="Arial" w:hAnsi="Arial"/>
                <w:sz w:val="18"/>
                <w:szCs w:val="18"/>
                <w:color w:val="auto"/>
              </w:rPr>
              <w:t>Printing and miscellaneous expenses</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20" w:type="dxa"/>
            <w:vAlign w:val="bottom"/>
          </w:tcPr>
          <w:p>
            <w:pPr>
              <w:spacing w:after="0"/>
              <w:rPr>
                <w:sz w:val="19"/>
                <w:szCs w:val="19"/>
                <w:color w:val="auto"/>
              </w:rPr>
            </w:pPr>
          </w:p>
        </w:tc>
      </w:tr>
      <w:tr>
        <w:trPr>
          <w:trHeight w:val="216"/>
        </w:trPr>
        <w:tc>
          <w:tcPr>
            <w:tcW w:w="10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57,945</w:t>
            </w:r>
          </w:p>
        </w:tc>
        <w:tc>
          <w:tcPr>
            <w:tcW w:w="20" w:type="dxa"/>
            <w:vAlign w:val="bottom"/>
          </w:tcPr>
          <w:p>
            <w:pPr>
              <w:spacing w:after="0"/>
              <w:rPr>
                <w:sz w:val="18"/>
                <w:szCs w:val="18"/>
                <w:color w:val="auto"/>
              </w:rPr>
            </w:pPr>
          </w:p>
        </w:tc>
      </w:tr>
      <w:tr>
        <w:trPr>
          <w:trHeight w:val="20"/>
        </w:trPr>
        <w:tc>
          <w:tcPr>
            <w:tcW w:w="10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14. Indemnification of Directors and Officers.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Active Power, Inc. is incorporated under the laws of the State of Delaware. Section 145 (“Section 145”) of Title 8 of the Delaware Code gives a corporation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18"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Section 145 also gives a corporation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Delaware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Delaware Court of Chancery or such other court shall deem proper. Section 145 further provides that, to the extent that a present or former director or officer of a corporation has been successful on the merits or otherwise in defense of any such action, suit or proceeding, or in defense of any claim, issue or matter therein, such person shall be indemnified against expenses (including attorneys’ fees) actually and reasonably incurred by such person in connection therewith.</w:t>
      </w:r>
    </w:p>
    <w:p>
      <w:pPr>
        <w:spacing w:after="0" w:line="12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Section 145 also authorizes a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and incurred by him in any such capacity, arising out of his status as such, whether or not the corporation would otherwise have the power to indemnify him under Section 145.</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Restated Certificate Of Incorporation and Second Amended and Restated Bylaws provide for the indemnification of officers and directors to the fullest extent permitted by the Delaware Code.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All of our directors and officers are covered by insurance policies against certain liabilities for actions taken in their capacities as such, including liabilities under the Securities Act of 1933.</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15. Recent Sales of Unregistered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past three years we have sold securities in the transactions described below that were not registered under the Securities Act:</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February 4, 2005, we sold 5,454,510 shares of the Company’s common stock at a price of $3.64 per share for an aggregate offering price of approximately $19.8 million to certain accredited investors in a private placement transaction. In addition, the Company also issued additional investment rights to purchase an additional 1,636,353 shares of common stock to the purchasers. These additional investment rights were never exercised and have expired by their terms. In connection with the transaction, the Company paid placement agent fees and expenses of approximately $1,122,108. The transaction was exempt from registration pursuant to Section 4(2) of the Securities Act of 1933, as amended and Regulation D promulgated thereunder, as a transaction not involving a public offering, and in reliance on similar exemptions under applicable state laws. The Company believes that each of the purchasers qualifies as an “accredited investor” (as defined by Rule 501(a) under the Securities Act).</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August 13, 2007, we sold the 10,000,000 shares of our common stock that are covered by this registration statement through placement agent RBC Capital Markets to accredited investors in a private placement transaction. In connection with the offering the placement agent was paid aggregate commissions of $840,000. Under the terms of the registration rights agreement entered into in connection with this sale we agreed to file a registration statement covering the shares within 30 calendar days after the closing date, use our best efforts to cause that registration statement to become effective, and thereafter to prepare and file such amendments as to keep that registration statement current and effective for a period ending the earlier of (i) the date on which the purchasers may sell the shares covered by this registration statement held by them without restriction by the volume limitations of Rule 144(k) under the Securities Act; or (ii) such time as all of the shares covered by this registration statement have been sold. We received approximately $13.1 million of net proceeds from this sale. The transaction was exempt from registration pursuant to Section 4(2) of the Securities Act of 1933, as amended and Regulation D promulgated thereunder, as a transaction not involving a public offering, and in reliance on similar exemptions under applicable state laws. The Company believes that each of the purchasers qualifies as an “accredited investor” (as defined by Rule 501(a) under the Securities Act).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16. Exhibits and Financial Statement Schedules.</w:t>
      </w:r>
    </w:p>
    <w:p>
      <w:pPr>
        <w:spacing w:after="0" w:line="90" w:lineRule="exact"/>
        <w:rPr>
          <w:sz w:val="20"/>
          <w:szCs w:val="20"/>
          <w:color w:val="auto"/>
        </w:rPr>
      </w:pPr>
    </w:p>
    <w:p>
      <w:pPr>
        <w:ind w:right="220" w:firstLine="464"/>
        <w:spacing w:after="0" w:line="268" w:lineRule="auto"/>
        <w:tabs>
          <w:tab w:leader="none" w:pos="695"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 A list of exhibits filed with this registration statement on Form S-1 is set forth on the Exhibit Index and is incorporated in this item 16(a) by reference.</w:t>
      </w:r>
    </w:p>
    <w:p>
      <w:pPr>
        <w:spacing w:after="0" w:line="131" w:lineRule="exact"/>
        <w:rPr>
          <w:rFonts w:ascii="Arial" w:cs="Arial" w:eastAsia="Arial" w:hAnsi="Arial"/>
          <w:sz w:val="18"/>
          <w:szCs w:val="18"/>
          <w:color w:val="auto"/>
        </w:rPr>
      </w:pPr>
    </w:p>
    <w:p>
      <w:pPr>
        <w:ind w:right="120" w:firstLine="464"/>
        <w:spacing w:after="0" w:line="332" w:lineRule="auto"/>
        <w:tabs>
          <w:tab w:leader="none" w:pos="705"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Financial Statement Schedules</w:t>
      </w:r>
      <w:r>
        <w:rPr>
          <w:rFonts w:ascii="Arial" w:cs="Arial" w:eastAsia="Arial" w:hAnsi="Arial"/>
          <w:sz w:val="16"/>
          <w:szCs w:val="16"/>
          <w:color w:val="auto"/>
        </w:rPr>
        <w:t>. Other financial statement schedules are omitted because the information called for is not required or is shown either in our consolidated financial statements or the notes thereto, which are incorporated by reference to the SEC filings listed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17. Undertakings.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w:t>
      </w:r>
    </w:p>
    <w:p>
      <w:pPr>
        <w:spacing w:after="0" w:line="90" w:lineRule="exact"/>
        <w:rPr>
          <w:sz w:val="20"/>
          <w:szCs w:val="20"/>
          <w:color w:val="auto"/>
        </w:rPr>
      </w:pPr>
    </w:p>
    <w:p>
      <w:pPr>
        <w:ind w:left="720" w:hanging="256"/>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 to:</w:t>
      </w:r>
    </w:p>
    <w:p>
      <w:pPr>
        <w:spacing w:after="0" w:line="90" w:lineRule="exact"/>
        <w:rPr>
          <w:rFonts w:ascii="Arial" w:cs="Arial" w:eastAsia="Arial" w:hAnsi="Arial"/>
          <w:sz w:val="18"/>
          <w:szCs w:val="18"/>
          <w:color w:val="auto"/>
        </w:rPr>
      </w:pPr>
    </w:p>
    <w:p>
      <w:pPr>
        <w:ind w:left="1140" w:hanging="219"/>
        <w:spacing w:after="0"/>
        <w:tabs>
          <w:tab w:leader="none" w:pos="11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include any prospectus required by Section 10(a)(3) of the Securities Act of 1933;</w:t>
      </w:r>
    </w:p>
    <w:p>
      <w:pPr>
        <w:spacing w:after="0" w:line="90" w:lineRule="exact"/>
        <w:rPr>
          <w:rFonts w:ascii="Arial" w:cs="Arial" w:eastAsia="Arial" w:hAnsi="Arial"/>
          <w:sz w:val="18"/>
          <w:szCs w:val="18"/>
          <w:color w:val="auto"/>
        </w:rPr>
      </w:pPr>
    </w:p>
    <w:p>
      <w:pPr>
        <w:ind w:right="60" w:firstLine="921"/>
        <w:spacing w:after="0" w:line="298" w:lineRule="auto"/>
        <w:tabs>
          <w:tab w:leader="none" w:pos="1171" w:val="left"/>
        </w:tabs>
        <w:numPr>
          <w:ilvl w:val="1"/>
          <w:numId w:val="11"/>
        </w:numPr>
        <w:rPr>
          <w:rFonts w:ascii="Arial" w:cs="Arial" w:eastAsia="Arial" w:hAnsi="Arial"/>
          <w:sz w:val="16"/>
          <w:szCs w:val="16"/>
          <w:color w:val="auto"/>
        </w:rPr>
      </w:pPr>
      <w:r>
        <w:rPr>
          <w:rFonts w:ascii="Arial" w:cs="Arial" w:eastAsia="Arial" w:hAnsi="Arial"/>
          <w:sz w:val="16"/>
          <w:szCs w:val="16"/>
          <w:color w:val="auto"/>
        </w:rPr>
        <w:t>reflect in the prospectus any facts or events arising after the effective date of the registration statement (or the most recent post-effective amendment thereof) which, individually or in the aggregate, represent a fundamental change in the information in the registration statement. Notwithstanding the foregoing, any increase or decrease in the amount of securities offered (if the total dollar value of securities offered would not exceed that which was registered) and any deviation from the low or high end of the estimated maximum offering range may be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reflected in the form of prospectus filed with the SEC pursuant to Rule 424(b) if, in the aggregate, the changes in amount and price represent no more than a 20% change in the maximum aggregate offering price set forth in the “Calculation of Registration Fee” table in the effective registration statement; and</w:t>
      </w:r>
    </w:p>
    <w:p>
      <w:pPr>
        <w:spacing w:after="0" w:line="4" w:lineRule="exact"/>
        <w:rPr>
          <w:sz w:val="20"/>
          <w:szCs w:val="20"/>
          <w:color w:val="auto"/>
        </w:rPr>
      </w:pPr>
    </w:p>
    <w:p>
      <w:pPr>
        <w:ind w:right="300" w:firstLine="921"/>
        <w:spacing w:after="0" w:line="268" w:lineRule="auto"/>
        <w:tabs>
          <w:tab w:leader="none" w:pos="1220" w:val="left"/>
        </w:tabs>
        <w:numPr>
          <w:ilvl w:val="2"/>
          <w:numId w:val="12"/>
        </w:numPr>
        <w:rPr>
          <w:rFonts w:ascii="Arial" w:cs="Arial" w:eastAsia="Arial" w:hAnsi="Arial"/>
          <w:sz w:val="18"/>
          <w:szCs w:val="18"/>
          <w:color w:val="auto"/>
        </w:rPr>
      </w:pPr>
      <w:r>
        <w:rPr>
          <w:rFonts w:ascii="Arial" w:cs="Arial" w:eastAsia="Arial" w:hAnsi="Arial"/>
          <w:sz w:val="18"/>
          <w:szCs w:val="18"/>
          <w:color w:val="auto"/>
        </w:rPr>
        <w:t>include any material information with respect to the plan of distribution not previously disclosed in the registration statement or any material change to such information in the registration statement.</w:t>
      </w:r>
    </w:p>
    <w:p>
      <w:pPr>
        <w:spacing w:after="0" w:line="50" w:lineRule="exact"/>
        <w:rPr>
          <w:rFonts w:ascii="Arial" w:cs="Arial" w:eastAsia="Arial" w:hAnsi="Arial"/>
          <w:sz w:val="18"/>
          <w:szCs w:val="18"/>
          <w:color w:val="auto"/>
        </w:rPr>
      </w:pPr>
    </w:p>
    <w:p>
      <w:pPr>
        <w:ind w:right="200" w:firstLine="464"/>
        <w:spacing w:after="0" w:line="259" w:lineRule="auto"/>
        <w:tabs>
          <w:tab w:leader="none" w:pos="70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59" w:lineRule="exact"/>
        <w:rPr>
          <w:rFonts w:ascii="Arial" w:cs="Arial" w:eastAsia="Arial" w:hAnsi="Arial"/>
          <w:sz w:val="18"/>
          <w:szCs w:val="18"/>
          <w:color w:val="auto"/>
        </w:rPr>
      </w:pPr>
    </w:p>
    <w:p>
      <w:pPr>
        <w:ind w:right="220" w:firstLine="464"/>
        <w:spacing w:after="0" w:line="268" w:lineRule="auto"/>
        <w:tabs>
          <w:tab w:leader="none" w:pos="70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50" w:lineRule="exact"/>
        <w:rPr>
          <w:rFonts w:ascii="Arial" w:cs="Arial" w:eastAsia="Arial" w:hAnsi="Arial"/>
          <w:sz w:val="18"/>
          <w:szCs w:val="18"/>
          <w:color w:val="auto"/>
        </w:rPr>
      </w:pPr>
    </w:p>
    <w:p>
      <w:pPr>
        <w:ind w:left="720" w:hanging="256"/>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90" w:lineRule="exact"/>
        <w:rPr>
          <w:rFonts w:ascii="Arial" w:cs="Arial" w:eastAsia="Arial" w:hAnsi="Arial"/>
          <w:sz w:val="18"/>
          <w:szCs w:val="18"/>
          <w:color w:val="auto"/>
        </w:rPr>
      </w:pPr>
    </w:p>
    <w:p>
      <w:pPr>
        <w:ind w:left="1140" w:hanging="219"/>
        <w:spacing w:after="0"/>
        <w:tabs>
          <w:tab w:leader="none" w:pos="1140" w:val="left"/>
        </w:tabs>
        <w:numPr>
          <w:ilvl w:val="2"/>
          <w:numId w:val="13"/>
        </w:numPr>
        <w:rPr>
          <w:rFonts w:ascii="Arial" w:cs="Arial" w:eastAsia="Arial" w:hAnsi="Arial"/>
          <w:sz w:val="18"/>
          <w:szCs w:val="18"/>
          <w:color w:val="auto"/>
        </w:rPr>
      </w:pPr>
      <w:r>
        <w:rPr>
          <w:rFonts w:ascii="Arial" w:cs="Arial" w:eastAsia="Arial" w:hAnsi="Arial"/>
          <w:sz w:val="18"/>
          <w:szCs w:val="18"/>
          <w:color w:val="auto"/>
        </w:rPr>
        <w:t>If the registrant is relying on Rule 430B:</w:t>
      </w:r>
    </w:p>
    <w:p>
      <w:pPr>
        <w:spacing w:after="0" w:line="90" w:lineRule="exact"/>
        <w:rPr>
          <w:rFonts w:ascii="Arial" w:cs="Arial" w:eastAsia="Arial" w:hAnsi="Arial"/>
          <w:sz w:val="18"/>
          <w:szCs w:val="18"/>
          <w:color w:val="auto"/>
        </w:rPr>
      </w:pPr>
    </w:p>
    <w:p>
      <w:pPr>
        <w:ind w:left="920" w:right="120" w:firstLine="421"/>
        <w:spacing w:after="0" w:line="268" w:lineRule="auto"/>
        <w:tabs>
          <w:tab w:leader="none" w:pos="1554" w:val="left"/>
        </w:tabs>
        <w:numPr>
          <w:ilvl w:val="3"/>
          <w:numId w:val="13"/>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0" w:lineRule="exact"/>
        <w:rPr>
          <w:rFonts w:ascii="Arial" w:cs="Arial" w:eastAsia="Arial" w:hAnsi="Arial"/>
          <w:sz w:val="18"/>
          <w:szCs w:val="18"/>
          <w:color w:val="auto"/>
        </w:rPr>
      </w:pPr>
    </w:p>
    <w:p>
      <w:pPr>
        <w:ind w:left="920" w:firstLine="421"/>
        <w:spacing w:after="0" w:line="286" w:lineRule="auto"/>
        <w:tabs>
          <w:tab w:leader="none" w:pos="1545" w:val="left"/>
        </w:tabs>
        <w:numPr>
          <w:ilvl w:val="3"/>
          <w:numId w:val="13"/>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46" w:lineRule="exact"/>
        <w:rPr>
          <w:rFonts w:ascii="Arial" w:cs="Arial" w:eastAsia="Arial" w:hAnsi="Arial"/>
          <w:sz w:val="16"/>
          <w:szCs w:val="16"/>
          <w:color w:val="auto"/>
        </w:rPr>
      </w:pPr>
    </w:p>
    <w:p>
      <w:pPr>
        <w:ind w:left="460" w:right="80" w:firstLine="443"/>
        <w:spacing w:after="0" w:line="290" w:lineRule="auto"/>
        <w:tabs>
          <w:tab w:leader="none" w:pos="1157" w:val="left"/>
        </w:tabs>
        <w:numPr>
          <w:ilvl w:val="1"/>
          <w:numId w:val="13"/>
        </w:numPr>
        <w:rPr>
          <w:rFonts w:ascii="Arial" w:cs="Arial" w:eastAsia="Arial" w:hAnsi="Arial"/>
          <w:sz w:val="16"/>
          <w:szCs w:val="16"/>
          <w:color w:val="auto"/>
        </w:rPr>
      </w:pPr>
      <w:r>
        <w:rPr>
          <w:rFonts w:ascii="Arial" w:cs="Arial" w:eastAsia="Arial" w:hAnsi="Arial"/>
          <w:sz w:val="16"/>
          <w:szCs w:val="16"/>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37" w:lineRule="exact"/>
        <w:rPr>
          <w:rFonts w:ascii="Arial" w:cs="Arial" w:eastAsia="Arial" w:hAnsi="Arial"/>
          <w:sz w:val="16"/>
          <w:szCs w:val="16"/>
          <w:color w:val="auto"/>
        </w:rPr>
      </w:pPr>
    </w:p>
    <w:p>
      <w:pPr>
        <w:ind w:right="80" w:firstLine="464"/>
        <w:spacing w:after="0" w:line="256" w:lineRule="auto"/>
        <w:tabs>
          <w:tab w:leader="none" w:pos="70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provisions described in Item 14 above,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3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080"/>
          </w:cols>
          <w:pgMar w:left="240" w:top="459" w:right="5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140" w:firstLine="456"/>
        <w:spacing w:after="0" w:line="304"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Austin, State of Texas, on this 12</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September, 2007.</w:t>
      </w:r>
    </w:p>
    <w:p>
      <w:pPr>
        <w:spacing w:after="0" w:line="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ACTIVE POWER, INC.</w:t>
      </w:r>
    </w:p>
    <w:p>
      <w:pPr>
        <w:spacing w:after="0" w:line="33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A. Clishem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James A. Clishem</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each of James A. Clishem and John K. Penver severally, his true and lawful attorney-in-fact and agent, with full power of substitution and resubstitution, for him and in his name, place and stead, in any and all capacities, to sign any and all amendments (including post-effective amendments) to this Registration Statement, and to file the same, with all exhibits thereto, and other documents in connection therewith, with the Commission, granting unto said attorneys-in-fact and agents, and each of them, full power and authority to do and perform each and every act and thing requisite and necessary to be done in connection therewith, as fully to all intents and purposes as any of them might or could do in person, hereby ratifying and confirming all that said attorneys-in-fact and agents, or any of them, or their or his substitutes or substitute, may lawfully do or cause to be done by virtue hereof.</w:t>
      </w:r>
    </w:p>
    <w:p>
      <w:pPr>
        <w:spacing w:after="0" w:line="118"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Signature</w:t>
            </w:r>
          </w:p>
        </w:tc>
        <w:tc>
          <w:tcPr>
            <w:tcW w:w="220" w:type="dxa"/>
            <w:vAlign w:val="bottom"/>
          </w:tcPr>
          <w:p>
            <w:pPr>
              <w:spacing w:after="0"/>
              <w:rPr>
                <w:sz w:val="14"/>
                <w:szCs w:val="14"/>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4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r>
      <w:tr>
        <w:trPr>
          <w:trHeight w:val="545"/>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A. Clishem</w:t>
            </w:r>
          </w:p>
        </w:tc>
        <w:tc>
          <w:tcPr>
            <w:tcW w:w="220" w:type="dxa"/>
            <w:vAlign w:val="bottom"/>
          </w:tcPr>
          <w:p>
            <w:pPr>
              <w:spacing w:after="0"/>
              <w:rPr>
                <w:sz w:val="24"/>
                <w:szCs w:val="24"/>
                <w:color w:val="auto"/>
              </w:rPr>
            </w:pPr>
          </w:p>
        </w:tc>
        <w:tc>
          <w:tcPr>
            <w:tcW w:w="52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President and Director, Chief Executive Officer</w:t>
            </w:r>
          </w:p>
        </w:tc>
        <w:tc>
          <w:tcPr>
            <w:tcW w:w="1700" w:type="dxa"/>
            <w:vAlign w:val="bottom"/>
          </w:tcPr>
          <w:p>
            <w:pPr>
              <w:spacing w:after="0"/>
              <w:rPr>
                <w:sz w:val="24"/>
                <w:szCs w:val="24"/>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James A. Clishem</w:t>
            </w:r>
          </w:p>
        </w:tc>
        <w:tc>
          <w:tcPr>
            <w:tcW w:w="220" w:type="dxa"/>
            <w:vAlign w:val="bottom"/>
          </w:tcPr>
          <w:p>
            <w:pPr>
              <w:spacing w:after="0"/>
              <w:rPr>
                <w:sz w:val="19"/>
                <w:szCs w:val="19"/>
                <w:color w:val="auto"/>
              </w:rPr>
            </w:pPr>
          </w:p>
        </w:tc>
        <w:tc>
          <w:tcPr>
            <w:tcW w:w="526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91"/>
              </w:rPr>
              <w:t>(Principal Executive Officer)</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September 12, 2007</w:t>
            </w:r>
          </w:p>
        </w:tc>
      </w:tr>
      <w:tr>
        <w:trPr>
          <w:trHeight w:val="540"/>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K. Penver</w:t>
            </w:r>
          </w:p>
        </w:tc>
        <w:tc>
          <w:tcPr>
            <w:tcW w:w="220" w:type="dxa"/>
            <w:vAlign w:val="bottom"/>
          </w:tcPr>
          <w:p>
            <w:pPr>
              <w:spacing w:after="0"/>
              <w:rPr>
                <w:sz w:val="24"/>
                <w:szCs w:val="24"/>
                <w:color w:val="auto"/>
              </w:rPr>
            </w:pPr>
          </w:p>
        </w:tc>
        <w:tc>
          <w:tcPr>
            <w:tcW w:w="52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Vice President—Finance, Chief Financial Officer and Secretary</w:t>
            </w:r>
          </w:p>
        </w:tc>
        <w:tc>
          <w:tcPr>
            <w:tcW w:w="1700" w:type="dxa"/>
            <w:vAlign w:val="bottom"/>
          </w:tcPr>
          <w:p>
            <w:pPr>
              <w:spacing w:after="0"/>
              <w:rPr>
                <w:sz w:val="24"/>
                <w:szCs w:val="24"/>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John K. Penver</w:t>
            </w:r>
          </w:p>
        </w:tc>
        <w:tc>
          <w:tcPr>
            <w:tcW w:w="220" w:type="dxa"/>
            <w:vAlign w:val="bottom"/>
          </w:tcPr>
          <w:p>
            <w:pPr>
              <w:spacing w:after="0"/>
              <w:rPr>
                <w:sz w:val="19"/>
                <w:szCs w:val="19"/>
                <w:color w:val="auto"/>
              </w:rPr>
            </w:pPr>
          </w:p>
        </w:tc>
        <w:tc>
          <w:tcPr>
            <w:tcW w:w="52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September 12, 2007</w:t>
            </w:r>
          </w:p>
        </w:tc>
      </w:tr>
      <w:tr>
        <w:trPr>
          <w:trHeight w:val="541"/>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Benjamin L. Scott</w:t>
            </w:r>
          </w:p>
        </w:tc>
        <w:tc>
          <w:tcPr>
            <w:tcW w:w="220" w:type="dxa"/>
            <w:vAlign w:val="bottom"/>
          </w:tcPr>
          <w:p>
            <w:pPr>
              <w:spacing w:after="0"/>
              <w:rPr>
                <w:sz w:val="24"/>
                <w:szCs w:val="24"/>
                <w:color w:val="auto"/>
              </w:rPr>
            </w:pPr>
          </w:p>
        </w:tc>
        <w:tc>
          <w:tcPr>
            <w:tcW w:w="52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Chairman of the Board, 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September 12, 2007</w:t>
            </w:r>
          </w:p>
        </w:tc>
      </w:tr>
      <w:tr>
        <w:trPr>
          <w:trHeight w:val="217"/>
        </w:trPr>
        <w:tc>
          <w:tcPr>
            <w:tcW w:w="4240" w:type="dxa"/>
            <w:vAlign w:val="bottom"/>
          </w:tcPr>
          <w:p>
            <w:pPr>
              <w:spacing w:after="0"/>
              <w:rPr>
                <w:sz w:val="20"/>
                <w:szCs w:val="20"/>
                <w:color w:val="auto"/>
              </w:rPr>
            </w:pPr>
            <w:r>
              <w:rPr>
                <w:rFonts w:ascii="Arial" w:cs="Arial" w:eastAsia="Arial" w:hAnsi="Arial"/>
                <w:sz w:val="18"/>
                <w:szCs w:val="18"/>
                <w:color w:val="auto"/>
              </w:rPr>
              <w:t>Benjamin L. Scott</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546"/>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Ake Almgren</w:t>
            </w:r>
          </w:p>
        </w:tc>
        <w:tc>
          <w:tcPr>
            <w:tcW w:w="220" w:type="dxa"/>
            <w:vAlign w:val="bottom"/>
          </w:tcPr>
          <w:p>
            <w:pPr>
              <w:spacing w:after="0"/>
              <w:rPr>
                <w:sz w:val="24"/>
                <w:szCs w:val="24"/>
                <w:color w:val="auto"/>
              </w:rPr>
            </w:pPr>
          </w:p>
        </w:tc>
        <w:tc>
          <w:tcPr>
            <w:tcW w:w="52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September 12, 2007</w:t>
            </w:r>
          </w:p>
        </w:tc>
      </w:tr>
      <w:tr>
        <w:trPr>
          <w:trHeight w:val="217"/>
        </w:trPr>
        <w:tc>
          <w:tcPr>
            <w:tcW w:w="4240" w:type="dxa"/>
            <w:vAlign w:val="bottom"/>
          </w:tcPr>
          <w:p>
            <w:pPr>
              <w:spacing w:after="0"/>
              <w:rPr>
                <w:sz w:val="20"/>
                <w:szCs w:val="20"/>
                <w:color w:val="auto"/>
              </w:rPr>
            </w:pPr>
            <w:r>
              <w:rPr>
                <w:rFonts w:ascii="Arial" w:cs="Arial" w:eastAsia="Arial" w:hAnsi="Arial"/>
                <w:sz w:val="18"/>
                <w:szCs w:val="18"/>
                <w:color w:val="auto"/>
              </w:rPr>
              <w:t>Ake Almgren</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546"/>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E. Anderson</w:t>
            </w:r>
          </w:p>
        </w:tc>
        <w:tc>
          <w:tcPr>
            <w:tcW w:w="220" w:type="dxa"/>
            <w:vAlign w:val="bottom"/>
          </w:tcPr>
          <w:p>
            <w:pPr>
              <w:spacing w:after="0"/>
              <w:rPr>
                <w:sz w:val="24"/>
                <w:szCs w:val="24"/>
                <w:color w:val="auto"/>
              </w:rPr>
            </w:pPr>
          </w:p>
        </w:tc>
        <w:tc>
          <w:tcPr>
            <w:tcW w:w="52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September 12, 2007</w:t>
            </w:r>
          </w:p>
        </w:tc>
      </w:tr>
      <w:tr>
        <w:trPr>
          <w:trHeight w:val="217"/>
        </w:trPr>
        <w:tc>
          <w:tcPr>
            <w:tcW w:w="4240" w:type="dxa"/>
            <w:vAlign w:val="bottom"/>
          </w:tcPr>
          <w:p>
            <w:pPr>
              <w:spacing w:after="0"/>
              <w:rPr>
                <w:sz w:val="20"/>
                <w:szCs w:val="20"/>
                <w:color w:val="auto"/>
              </w:rPr>
            </w:pPr>
            <w:r>
              <w:rPr>
                <w:rFonts w:ascii="Arial" w:cs="Arial" w:eastAsia="Arial" w:hAnsi="Arial"/>
                <w:sz w:val="18"/>
                <w:szCs w:val="18"/>
                <w:color w:val="auto"/>
              </w:rPr>
              <w:t>Richard E. Anderson</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546"/>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Rodney S. Bond</w:t>
            </w:r>
          </w:p>
        </w:tc>
        <w:tc>
          <w:tcPr>
            <w:tcW w:w="220" w:type="dxa"/>
            <w:vAlign w:val="bottom"/>
          </w:tcPr>
          <w:p>
            <w:pPr>
              <w:spacing w:after="0"/>
              <w:rPr>
                <w:sz w:val="24"/>
                <w:szCs w:val="24"/>
                <w:color w:val="auto"/>
              </w:rPr>
            </w:pPr>
          </w:p>
        </w:tc>
        <w:tc>
          <w:tcPr>
            <w:tcW w:w="52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September 12, 2007</w:t>
            </w:r>
          </w:p>
        </w:tc>
      </w:tr>
      <w:tr>
        <w:trPr>
          <w:trHeight w:val="217"/>
        </w:trPr>
        <w:tc>
          <w:tcPr>
            <w:tcW w:w="4240" w:type="dxa"/>
            <w:vAlign w:val="bottom"/>
          </w:tcPr>
          <w:p>
            <w:pPr>
              <w:spacing w:after="0"/>
              <w:rPr>
                <w:sz w:val="20"/>
                <w:szCs w:val="20"/>
                <w:color w:val="auto"/>
              </w:rPr>
            </w:pPr>
            <w:r>
              <w:rPr>
                <w:rFonts w:ascii="Arial" w:cs="Arial" w:eastAsia="Arial" w:hAnsi="Arial"/>
                <w:sz w:val="18"/>
                <w:szCs w:val="18"/>
                <w:color w:val="auto"/>
              </w:rPr>
              <w:t>Rodney S. Bond</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546"/>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Jan H. Lindelow</w:t>
            </w:r>
          </w:p>
        </w:tc>
        <w:tc>
          <w:tcPr>
            <w:tcW w:w="220" w:type="dxa"/>
            <w:vAlign w:val="bottom"/>
          </w:tcPr>
          <w:p>
            <w:pPr>
              <w:spacing w:after="0"/>
              <w:rPr>
                <w:sz w:val="24"/>
                <w:szCs w:val="24"/>
                <w:color w:val="auto"/>
              </w:rPr>
            </w:pPr>
          </w:p>
        </w:tc>
        <w:tc>
          <w:tcPr>
            <w:tcW w:w="52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September 12, 2007</w:t>
            </w:r>
          </w:p>
        </w:tc>
      </w:tr>
      <w:tr>
        <w:trPr>
          <w:trHeight w:val="217"/>
        </w:trPr>
        <w:tc>
          <w:tcPr>
            <w:tcW w:w="4240" w:type="dxa"/>
            <w:vAlign w:val="bottom"/>
          </w:tcPr>
          <w:p>
            <w:pPr>
              <w:spacing w:after="0"/>
              <w:rPr>
                <w:sz w:val="20"/>
                <w:szCs w:val="20"/>
                <w:color w:val="auto"/>
              </w:rPr>
            </w:pPr>
            <w:r>
              <w:rPr>
                <w:rFonts w:ascii="Arial" w:cs="Arial" w:eastAsia="Arial" w:hAnsi="Arial"/>
                <w:sz w:val="18"/>
                <w:szCs w:val="18"/>
                <w:color w:val="auto"/>
              </w:rPr>
              <w:t>Jan H. Lindelow</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546"/>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Brad Boston</w:t>
            </w:r>
          </w:p>
        </w:tc>
        <w:tc>
          <w:tcPr>
            <w:tcW w:w="220" w:type="dxa"/>
            <w:vAlign w:val="bottom"/>
          </w:tcPr>
          <w:p>
            <w:pPr>
              <w:spacing w:after="0"/>
              <w:rPr>
                <w:sz w:val="24"/>
                <w:szCs w:val="24"/>
                <w:color w:val="auto"/>
              </w:rPr>
            </w:pPr>
          </w:p>
        </w:tc>
        <w:tc>
          <w:tcPr>
            <w:tcW w:w="52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September 12, 2007</w:t>
            </w:r>
          </w:p>
        </w:tc>
      </w:tr>
      <w:tr>
        <w:trPr>
          <w:trHeight w:val="217"/>
        </w:trPr>
        <w:tc>
          <w:tcPr>
            <w:tcW w:w="4240" w:type="dxa"/>
            <w:vAlign w:val="bottom"/>
          </w:tcPr>
          <w:p>
            <w:pPr>
              <w:spacing w:after="0"/>
              <w:rPr>
                <w:sz w:val="20"/>
                <w:szCs w:val="20"/>
                <w:color w:val="auto"/>
              </w:rPr>
            </w:pPr>
            <w:r>
              <w:rPr>
                <w:rFonts w:ascii="Arial" w:cs="Arial" w:eastAsia="Arial" w:hAnsi="Arial"/>
                <w:sz w:val="18"/>
                <w:szCs w:val="18"/>
                <w:color w:val="auto"/>
              </w:rPr>
              <w:t>Brad Boston</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6540" w:type="dxa"/>
            <w:vAlign w:val="bottom"/>
            <w:gridSpan w:val="3"/>
          </w:tcPr>
          <w:p>
            <w:pPr>
              <w:ind w:left="160"/>
              <w:spacing w:after="0"/>
              <w:rPr>
                <w:sz w:val="20"/>
                <w:szCs w:val="20"/>
                <w:color w:val="auto"/>
              </w:rPr>
            </w:pPr>
            <w:r>
              <w:rPr>
                <w:rFonts w:ascii="Arial" w:cs="Arial" w:eastAsia="Arial" w:hAnsi="Arial"/>
                <w:sz w:val="18"/>
                <w:szCs w:val="18"/>
                <w:b w:val="1"/>
                <w:bCs w:val="1"/>
                <w:color w:val="auto"/>
              </w:rPr>
              <w:t>EXHIBIT INDEX</w:t>
            </w:r>
          </w:p>
        </w:tc>
      </w:tr>
      <w:tr>
        <w:trPr>
          <w:trHeight w:val="378"/>
        </w:trPr>
        <w:tc>
          <w:tcPr>
            <w:tcW w:w="11420" w:type="dxa"/>
            <w:vAlign w:val="bottom"/>
            <w:gridSpan w:val="6"/>
          </w:tcPr>
          <w:p>
            <w:pPr>
              <w:ind w:left="460"/>
              <w:spacing w:after="0"/>
              <w:rPr>
                <w:sz w:val="20"/>
                <w:szCs w:val="20"/>
                <w:color w:val="auto"/>
              </w:rPr>
            </w:pPr>
            <w:r>
              <w:rPr>
                <w:rFonts w:ascii="Arial" w:cs="Arial" w:eastAsia="Arial" w:hAnsi="Arial"/>
                <w:sz w:val="18"/>
                <w:szCs w:val="18"/>
                <w:color w:val="auto"/>
              </w:rPr>
              <w:t>The following exhibits are included as part of this filing and incorporated herein by this reference:</w:t>
            </w:r>
          </w:p>
        </w:tc>
      </w:tr>
      <w:tr>
        <w:trPr>
          <w:trHeight w:val="373"/>
        </w:trPr>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24"/>
                <w:szCs w:val="24"/>
                <w:color w:val="auto"/>
              </w:rPr>
            </w:pPr>
          </w:p>
        </w:tc>
        <w:tc>
          <w:tcPr>
            <w:tcW w:w="4060" w:type="dxa"/>
            <w:vAlign w:val="bottom"/>
            <w:tcBorders>
              <w:bottom w:val="single" w:sz="8" w:color="auto"/>
            </w:tcBorders>
          </w:tcPr>
          <w:p>
            <w:pPr>
              <w:ind w:left="1980"/>
              <w:spacing w:after="0"/>
              <w:rPr>
                <w:sz w:val="20"/>
                <w:szCs w:val="20"/>
                <w:color w:val="auto"/>
              </w:rPr>
            </w:pPr>
            <w:r>
              <w:rPr>
                <w:rFonts w:ascii="Arial" w:cs="Arial" w:eastAsia="Arial" w:hAnsi="Arial"/>
                <w:sz w:val="14"/>
                <w:szCs w:val="14"/>
                <w:b w:val="1"/>
                <w:bCs w:val="1"/>
                <w:color w:val="auto"/>
              </w:rPr>
              <w:t>Description of Exhibit</w:t>
            </w:r>
          </w:p>
        </w:tc>
        <w:tc>
          <w:tcPr>
            <w:tcW w:w="12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140" w:type="dxa"/>
            <w:vAlign w:val="bottom"/>
            <w:tcBorders>
              <w:bottom w:val="single" w:sz="8" w:color="auto"/>
            </w:tcBorders>
          </w:tcPr>
          <w:p>
            <w:pPr>
              <w:ind w:left="2100"/>
              <w:spacing w:after="0"/>
              <w:rPr>
                <w:sz w:val="20"/>
                <w:szCs w:val="20"/>
                <w:color w:val="auto"/>
              </w:rPr>
            </w:pPr>
            <w:r>
              <w:rPr>
                <w:rFonts w:ascii="Arial" w:cs="Arial" w:eastAsia="Arial" w:hAnsi="Arial"/>
                <w:sz w:val="14"/>
                <w:szCs w:val="14"/>
                <w:b w:val="1"/>
                <w:bCs w:val="1"/>
                <w:color w:val="auto"/>
              </w:rPr>
              <w:t>Method of Filing</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3.1</w:t>
            </w:r>
          </w:p>
        </w:tc>
        <w:tc>
          <w:tcPr>
            <w:tcW w:w="240" w:type="dxa"/>
            <w:vAlign w:val="bottom"/>
          </w:tcPr>
          <w:p>
            <w:pPr>
              <w:spacing w:after="0"/>
              <w:rPr>
                <w:sz w:val="16"/>
                <w:szCs w:val="16"/>
                <w:color w:val="auto"/>
              </w:rPr>
            </w:pPr>
          </w:p>
        </w:tc>
        <w:tc>
          <w:tcPr>
            <w:tcW w:w="4060" w:type="dxa"/>
            <w:vAlign w:val="bottom"/>
          </w:tcPr>
          <w:p>
            <w:pPr>
              <w:spacing w:after="0" w:line="195" w:lineRule="exact"/>
              <w:rPr>
                <w:sz w:val="20"/>
                <w:szCs w:val="20"/>
                <w:color w:val="auto"/>
              </w:rPr>
            </w:pPr>
            <w:r>
              <w:rPr>
                <w:rFonts w:ascii="Arial" w:cs="Arial" w:eastAsia="Arial" w:hAnsi="Arial"/>
                <w:sz w:val="18"/>
                <w:szCs w:val="18"/>
                <w:color w:val="auto"/>
                <w:w w:val="91"/>
              </w:rPr>
              <w:t>Restated Certificate of Incorporation, filed June 7, 2006</w:t>
            </w: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w w:val="95"/>
              </w:rPr>
              <w:t>Incorporated by reference to Exhibit 3.1 to Active Power’s Quarterly</w:t>
            </w:r>
          </w:p>
        </w:tc>
      </w:tr>
      <w:tr>
        <w:trPr>
          <w:trHeight w:val="222"/>
        </w:trPr>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Report on Form 10-Q for the quarter ended June 30, 2006.</w:t>
            </w:r>
          </w:p>
        </w:tc>
      </w:tr>
      <w:tr>
        <w:trPr>
          <w:trHeight w:val="426"/>
        </w:trPr>
        <w:tc>
          <w:tcPr>
            <w:tcW w:w="580" w:type="dxa"/>
            <w:vAlign w:val="bottom"/>
          </w:tcPr>
          <w:p>
            <w:pPr>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Second Amended and Restated Bylaws</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7"/>
              </w:rPr>
              <w:t>Incorporated by reference to Exhibit 3.2 to Active Power’s Current</w:t>
            </w:r>
          </w:p>
        </w:tc>
      </w:tr>
      <w:tr>
        <w:trPr>
          <w:trHeight w:val="222"/>
        </w:trPr>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Report on Form 8-K filed on February 2, 2007.</w:t>
            </w:r>
          </w:p>
        </w:tc>
      </w:tr>
      <w:tr>
        <w:trPr>
          <w:trHeight w:val="426"/>
        </w:trPr>
        <w:tc>
          <w:tcPr>
            <w:tcW w:w="580" w:type="dxa"/>
            <w:vAlign w:val="bottom"/>
          </w:tcPr>
          <w:p>
            <w:pPr>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Specimen certificate for shares of Common Stock</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1"/>
              </w:rPr>
              <w:t>Incorporated by reference to Exhibit 4.1 to the Amended and Restated</w:t>
            </w:r>
          </w:p>
        </w:tc>
      </w:tr>
      <w:tr>
        <w:trPr>
          <w:trHeight w:val="216"/>
        </w:trPr>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3"/>
              </w:rPr>
              <w:t>Certificate of Incorporation (filed as Exhibit 3.1 to Active Power’s IPO</w:t>
            </w:r>
          </w:p>
        </w:tc>
      </w:tr>
      <w:tr>
        <w:trPr>
          <w:trHeight w:val="216"/>
        </w:trPr>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89"/>
              </w:rPr>
              <w:t>Registration Statement on Form S-l (SEC File No. 333-36946) (the “IPO</w:t>
            </w:r>
          </w:p>
        </w:tc>
      </w:tr>
      <w:tr>
        <w:trPr>
          <w:trHeight w:val="222"/>
        </w:trPr>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Registration Statement”).</w:t>
            </w: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4.2</w:t>
            </w:r>
          </w:p>
        </w:tc>
        <w:tc>
          <w:tcPr>
            <w:tcW w:w="5540" w:type="dxa"/>
            <w:vAlign w:val="bottom"/>
          </w:tcPr>
          <w:p>
            <w:pPr>
              <w:ind w:left="300"/>
              <w:spacing w:after="0"/>
              <w:rPr>
                <w:sz w:val="20"/>
                <w:szCs w:val="20"/>
                <w:color w:val="auto"/>
              </w:rPr>
            </w:pPr>
            <w:r>
              <w:rPr>
                <w:rFonts w:ascii="Arial" w:cs="Arial" w:eastAsia="Arial" w:hAnsi="Arial"/>
                <w:sz w:val="18"/>
                <w:szCs w:val="18"/>
                <w:color w:val="auto"/>
                <w:w w:val="92"/>
              </w:rPr>
              <w:t>Rights Agreement, dated as of December 13, 2001 between the Active</w:t>
            </w:r>
          </w:p>
        </w:tc>
      </w:tr>
      <w:tr>
        <w:trPr>
          <w:trHeight w:val="216"/>
        </w:trPr>
        <w:tc>
          <w:tcPr>
            <w:tcW w:w="520" w:type="dxa"/>
            <w:vAlign w:val="bottom"/>
          </w:tcPr>
          <w:p>
            <w:pPr>
              <w:spacing w:after="0"/>
              <w:rPr>
                <w:sz w:val="18"/>
                <w:szCs w:val="18"/>
                <w:color w:val="auto"/>
              </w:rPr>
            </w:pPr>
          </w:p>
        </w:tc>
        <w:tc>
          <w:tcPr>
            <w:tcW w:w="5540" w:type="dxa"/>
            <w:vAlign w:val="bottom"/>
          </w:tcPr>
          <w:p>
            <w:pPr>
              <w:ind w:left="300"/>
              <w:spacing w:after="0"/>
              <w:rPr>
                <w:sz w:val="20"/>
                <w:szCs w:val="20"/>
                <w:color w:val="auto"/>
              </w:rPr>
            </w:pPr>
            <w:r>
              <w:rPr>
                <w:rFonts w:ascii="Arial" w:cs="Arial" w:eastAsia="Arial" w:hAnsi="Arial"/>
                <w:sz w:val="18"/>
                <w:szCs w:val="18"/>
                <w:color w:val="auto"/>
                <w:w w:val="89"/>
              </w:rPr>
              <w:t>Power and Equiserve Trust N.A., which includes the form of Certificate of</w:t>
            </w:r>
          </w:p>
        </w:tc>
      </w:tr>
      <w:tr>
        <w:trPr>
          <w:trHeight w:val="216"/>
        </w:trPr>
        <w:tc>
          <w:tcPr>
            <w:tcW w:w="520" w:type="dxa"/>
            <w:vAlign w:val="bottom"/>
          </w:tcPr>
          <w:p>
            <w:pPr>
              <w:spacing w:after="0"/>
              <w:rPr>
                <w:sz w:val="18"/>
                <w:szCs w:val="18"/>
                <w:color w:val="auto"/>
              </w:rPr>
            </w:pPr>
          </w:p>
        </w:tc>
        <w:tc>
          <w:tcPr>
            <w:tcW w:w="5540" w:type="dxa"/>
            <w:vAlign w:val="bottom"/>
          </w:tcPr>
          <w:p>
            <w:pPr>
              <w:ind w:left="300"/>
              <w:spacing w:after="0"/>
              <w:rPr>
                <w:sz w:val="20"/>
                <w:szCs w:val="20"/>
                <w:color w:val="auto"/>
              </w:rPr>
            </w:pPr>
            <w:r>
              <w:rPr>
                <w:rFonts w:ascii="Arial" w:cs="Arial" w:eastAsia="Arial" w:hAnsi="Arial"/>
                <w:sz w:val="18"/>
                <w:szCs w:val="18"/>
                <w:color w:val="auto"/>
                <w:w w:val="97"/>
              </w:rPr>
              <w:t>Designation for the Series A Junior Participating Preferred Stock as</w:t>
            </w:r>
          </w:p>
        </w:tc>
      </w:tr>
      <w:tr>
        <w:trPr>
          <w:trHeight w:val="216"/>
        </w:trPr>
        <w:tc>
          <w:tcPr>
            <w:tcW w:w="520" w:type="dxa"/>
            <w:vAlign w:val="bottom"/>
          </w:tcPr>
          <w:p>
            <w:pPr>
              <w:spacing w:after="0"/>
              <w:rPr>
                <w:sz w:val="18"/>
                <w:szCs w:val="18"/>
                <w:color w:val="auto"/>
              </w:rPr>
            </w:pPr>
          </w:p>
        </w:tc>
        <w:tc>
          <w:tcPr>
            <w:tcW w:w="5540" w:type="dxa"/>
            <w:vAlign w:val="bottom"/>
          </w:tcPr>
          <w:p>
            <w:pPr>
              <w:ind w:left="300"/>
              <w:spacing w:after="0"/>
              <w:rPr>
                <w:sz w:val="20"/>
                <w:szCs w:val="20"/>
                <w:color w:val="auto"/>
              </w:rPr>
            </w:pPr>
            <w:r>
              <w:rPr>
                <w:rFonts w:ascii="Arial" w:cs="Arial" w:eastAsia="Arial" w:hAnsi="Arial"/>
                <w:sz w:val="18"/>
                <w:szCs w:val="18"/>
                <w:color w:val="auto"/>
                <w:w w:val="90"/>
              </w:rPr>
              <w:t>Exhibit A, the form of Rights Certificate as Exhibit B and the Summary of</w:t>
            </w:r>
          </w:p>
        </w:tc>
      </w:tr>
      <w:tr>
        <w:trPr>
          <w:trHeight w:val="222"/>
        </w:trPr>
        <w:tc>
          <w:tcPr>
            <w:tcW w:w="520" w:type="dxa"/>
            <w:vAlign w:val="bottom"/>
          </w:tcPr>
          <w:p>
            <w:pPr>
              <w:spacing w:after="0"/>
              <w:rPr>
                <w:sz w:val="19"/>
                <w:szCs w:val="19"/>
                <w:color w:val="auto"/>
              </w:rPr>
            </w:pPr>
          </w:p>
        </w:tc>
        <w:tc>
          <w:tcPr>
            <w:tcW w:w="5540" w:type="dxa"/>
            <w:vAlign w:val="bottom"/>
          </w:tcPr>
          <w:p>
            <w:pPr>
              <w:ind w:left="300"/>
              <w:spacing w:after="0"/>
              <w:rPr>
                <w:sz w:val="20"/>
                <w:szCs w:val="20"/>
                <w:color w:val="auto"/>
              </w:rPr>
            </w:pPr>
            <w:r>
              <w:rPr>
                <w:rFonts w:ascii="Arial" w:cs="Arial" w:eastAsia="Arial" w:hAnsi="Arial"/>
                <w:sz w:val="18"/>
                <w:szCs w:val="18"/>
                <w:color w:val="auto"/>
              </w:rPr>
              <w:t>Rights to Purchase Series A Preferred Stock as Exhibit C</w:t>
            </w:r>
          </w:p>
        </w:tc>
      </w:tr>
      <w:tr>
        <w:trPr>
          <w:trHeight w:val="42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4.3</w:t>
            </w:r>
          </w:p>
        </w:tc>
        <w:tc>
          <w:tcPr>
            <w:tcW w:w="5540" w:type="dxa"/>
            <w:vAlign w:val="bottom"/>
          </w:tcPr>
          <w:p>
            <w:pPr>
              <w:ind w:left="300"/>
              <w:spacing w:after="0"/>
              <w:rPr>
                <w:sz w:val="20"/>
                <w:szCs w:val="20"/>
                <w:color w:val="auto"/>
              </w:rPr>
            </w:pPr>
            <w:r>
              <w:rPr>
                <w:rFonts w:ascii="Arial" w:cs="Arial" w:eastAsia="Arial" w:hAnsi="Arial"/>
                <w:sz w:val="18"/>
                <w:szCs w:val="18"/>
                <w:color w:val="auto"/>
                <w:w w:val="91"/>
              </w:rPr>
              <w:t>See Exhibits 3.1 and 3.2 for provisions of the Certificate of Incorporation</w:t>
            </w:r>
          </w:p>
        </w:tc>
      </w:tr>
      <w:tr>
        <w:trPr>
          <w:trHeight w:val="216"/>
        </w:trPr>
        <w:tc>
          <w:tcPr>
            <w:tcW w:w="520" w:type="dxa"/>
            <w:vAlign w:val="bottom"/>
          </w:tcPr>
          <w:p>
            <w:pPr>
              <w:spacing w:after="0"/>
              <w:rPr>
                <w:sz w:val="18"/>
                <w:szCs w:val="18"/>
                <w:color w:val="auto"/>
              </w:rPr>
            </w:pPr>
          </w:p>
        </w:tc>
        <w:tc>
          <w:tcPr>
            <w:tcW w:w="5540" w:type="dxa"/>
            <w:vAlign w:val="bottom"/>
          </w:tcPr>
          <w:p>
            <w:pPr>
              <w:ind w:left="300"/>
              <w:spacing w:after="0"/>
              <w:rPr>
                <w:sz w:val="20"/>
                <w:szCs w:val="20"/>
                <w:color w:val="auto"/>
              </w:rPr>
            </w:pPr>
            <w:r>
              <w:rPr>
                <w:rFonts w:ascii="Arial" w:cs="Arial" w:eastAsia="Arial" w:hAnsi="Arial"/>
                <w:sz w:val="18"/>
                <w:szCs w:val="18"/>
                <w:color w:val="auto"/>
                <w:w w:val="95"/>
              </w:rPr>
              <w:t>and Bylaws of the registrant defining the rights of holders of common</w:t>
            </w:r>
          </w:p>
        </w:tc>
      </w:tr>
      <w:tr>
        <w:trPr>
          <w:trHeight w:val="222"/>
        </w:trPr>
        <w:tc>
          <w:tcPr>
            <w:tcW w:w="520" w:type="dxa"/>
            <w:vAlign w:val="bottom"/>
          </w:tcPr>
          <w:p>
            <w:pPr>
              <w:spacing w:after="0"/>
              <w:rPr>
                <w:sz w:val="19"/>
                <w:szCs w:val="19"/>
                <w:color w:val="auto"/>
              </w:rPr>
            </w:pPr>
          </w:p>
        </w:tc>
        <w:tc>
          <w:tcPr>
            <w:tcW w:w="5540" w:type="dxa"/>
            <w:vAlign w:val="bottom"/>
          </w:tcPr>
          <w:p>
            <w:pPr>
              <w:ind w:left="300"/>
              <w:spacing w:after="0"/>
              <w:rPr>
                <w:sz w:val="20"/>
                <w:szCs w:val="20"/>
                <w:color w:val="auto"/>
              </w:rPr>
            </w:pPr>
            <w:r>
              <w:rPr>
                <w:rFonts w:ascii="Arial" w:cs="Arial" w:eastAsia="Arial" w:hAnsi="Arial"/>
                <w:sz w:val="18"/>
                <w:szCs w:val="18"/>
                <w:color w:val="auto"/>
              </w:rPr>
              <w:t>stock</w:t>
            </w:r>
          </w:p>
        </w:tc>
      </w:tr>
    </w:tbl>
    <w:p>
      <w:pPr>
        <w:spacing w:after="0" w:line="20" w:lineRule="exact"/>
        <w:rPr>
          <w:sz w:val="20"/>
          <w:szCs w:val="20"/>
          <w:color w:val="auto"/>
        </w:rPr>
      </w:pPr>
      <w:r>
        <w:rPr>
          <w:sz w:val="20"/>
          <w:szCs w:val="20"/>
          <w:color w:val="auto"/>
        </w:rPr>
        <w:br w:type="column"/>
      </w:r>
    </w:p>
    <w:p>
      <w:pPr>
        <w:ind w:right="420"/>
        <w:spacing w:after="0" w:line="268" w:lineRule="auto"/>
        <w:rPr>
          <w:sz w:val="20"/>
          <w:szCs w:val="20"/>
          <w:color w:val="auto"/>
        </w:rPr>
      </w:pPr>
      <w:r>
        <w:rPr>
          <w:rFonts w:ascii="Arial" w:cs="Arial" w:eastAsia="Arial" w:hAnsi="Arial"/>
          <w:sz w:val="18"/>
          <w:szCs w:val="18"/>
          <w:color w:val="auto"/>
        </w:rPr>
        <w:t>Incorporated by reference to Exhibit 4.1 to Active Power’s Current Report on Form 8-K dated December 13, 2001.</w:t>
      </w:r>
    </w:p>
    <w:p>
      <w:pPr>
        <w:spacing w:after="0" w:line="1688" w:lineRule="exact"/>
        <w:rPr>
          <w:sz w:val="20"/>
          <w:szCs w:val="20"/>
          <w:color w:val="auto"/>
        </w:rPr>
      </w:pPr>
    </w:p>
    <w:p>
      <w:pPr>
        <w:sectPr>
          <w:pgSz w:w="11900" w:h="16838" w:orient="portrait"/>
          <w:cols w:equalWidth="0" w:num="2">
            <w:col w:w="6060" w:space="220"/>
            <w:col w:w="5140"/>
          </w:cols>
          <w:pgMar w:left="240" w:top="459" w:right="239" w:bottom="1440" w:gutter="0" w:footer="0" w:header="0"/>
          <w:type w:val="continuous"/>
        </w:sectPr>
      </w:pP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5.1</w:t>
            </w:r>
          </w:p>
        </w:tc>
        <w:tc>
          <w:tcPr>
            <w:tcW w:w="5560" w:type="dxa"/>
            <w:vAlign w:val="bottom"/>
          </w:tcPr>
          <w:p>
            <w:pPr>
              <w:ind w:left="260"/>
              <w:spacing w:after="0"/>
              <w:rPr>
                <w:sz w:val="20"/>
                <w:szCs w:val="20"/>
                <w:color w:val="auto"/>
              </w:rPr>
            </w:pPr>
            <w:r>
              <w:rPr>
                <w:rFonts w:ascii="Arial" w:cs="Arial" w:eastAsia="Arial" w:hAnsi="Arial"/>
                <w:sz w:val="18"/>
                <w:szCs w:val="18"/>
                <w:color w:val="auto"/>
              </w:rPr>
              <w:t>Opinion of Andrews Kurth LLP</w:t>
            </w:r>
          </w:p>
        </w:tc>
        <w:tc>
          <w:tcPr>
            <w:tcW w:w="4740" w:type="dxa"/>
            <w:vAlign w:val="bottom"/>
          </w:tcPr>
          <w:p>
            <w:pPr>
              <w:ind w:left="160"/>
              <w:spacing w:after="0"/>
              <w:rPr>
                <w:sz w:val="20"/>
                <w:szCs w:val="20"/>
                <w:color w:val="auto"/>
              </w:rPr>
            </w:pPr>
            <w:r>
              <w:rPr>
                <w:rFonts w:ascii="Arial" w:cs="Arial" w:eastAsia="Arial" w:hAnsi="Arial"/>
                <w:sz w:val="18"/>
                <w:szCs w:val="18"/>
                <w:color w:val="auto"/>
              </w:rPr>
              <w:t>Filed herewith.</w:t>
            </w:r>
          </w:p>
        </w:tc>
      </w:tr>
      <w:tr>
        <w:trPr>
          <w:trHeight w:val="426"/>
        </w:trPr>
        <w:tc>
          <w:tcPr>
            <w:tcW w:w="560" w:type="dxa"/>
            <w:vAlign w:val="bottom"/>
          </w:tcPr>
          <w:p>
            <w:pPr>
              <w:spacing w:after="0"/>
              <w:rPr>
                <w:sz w:val="20"/>
                <w:szCs w:val="20"/>
                <w:color w:val="auto"/>
              </w:rPr>
            </w:pPr>
            <w:r>
              <w:rPr>
                <w:rFonts w:ascii="Arial" w:cs="Arial" w:eastAsia="Arial" w:hAnsi="Arial"/>
                <w:sz w:val="18"/>
                <w:szCs w:val="18"/>
                <w:color w:val="auto"/>
              </w:rPr>
              <w:t>10.1</w:t>
            </w:r>
          </w:p>
        </w:tc>
        <w:tc>
          <w:tcPr>
            <w:tcW w:w="5560" w:type="dxa"/>
            <w:vAlign w:val="bottom"/>
          </w:tcPr>
          <w:p>
            <w:pPr>
              <w:ind w:left="260"/>
              <w:spacing w:after="0"/>
              <w:rPr>
                <w:sz w:val="20"/>
                <w:szCs w:val="20"/>
                <w:color w:val="auto"/>
              </w:rPr>
            </w:pPr>
            <w:r>
              <w:rPr>
                <w:rFonts w:ascii="Arial" w:cs="Arial" w:eastAsia="Arial" w:hAnsi="Arial"/>
                <w:sz w:val="18"/>
                <w:szCs w:val="18"/>
                <w:color w:val="auto"/>
              </w:rPr>
              <w:t>Form of Indemnity Agreement</w:t>
            </w:r>
          </w:p>
        </w:tc>
        <w:tc>
          <w:tcPr>
            <w:tcW w:w="4740" w:type="dxa"/>
            <w:vAlign w:val="bottom"/>
          </w:tcPr>
          <w:p>
            <w:pPr>
              <w:ind w:left="160"/>
              <w:spacing w:after="0"/>
              <w:rPr>
                <w:sz w:val="20"/>
                <w:szCs w:val="20"/>
                <w:color w:val="auto"/>
              </w:rPr>
            </w:pPr>
            <w:r>
              <w:rPr>
                <w:rFonts w:ascii="Arial" w:cs="Arial" w:eastAsia="Arial" w:hAnsi="Arial"/>
                <w:sz w:val="18"/>
                <w:szCs w:val="18"/>
                <w:color w:val="auto"/>
                <w:w w:val="89"/>
              </w:rPr>
              <w:t>Incorporated by reference to Exhibit 10.1 to the IPO Registration</w:t>
            </w:r>
          </w:p>
        </w:tc>
      </w:tr>
      <w:tr>
        <w:trPr>
          <w:trHeight w:val="222"/>
        </w:trPr>
        <w:tc>
          <w:tcPr>
            <w:tcW w:w="56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Statement.</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10.2</w:t>
            </w:r>
          </w:p>
        </w:tc>
        <w:tc>
          <w:tcPr>
            <w:tcW w:w="5560" w:type="dxa"/>
            <w:vAlign w:val="bottom"/>
          </w:tcPr>
          <w:p>
            <w:pPr>
              <w:ind w:left="260"/>
              <w:spacing w:after="0"/>
              <w:rPr>
                <w:sz w:val="20"/>
                <w:szCs w:val="20"/>
                <w:color w:val="auto"/>
              </w:rPr>
            </w:pPr>
            <w:r>
              <w:rPr>
                <w:rFonts w:ascii="Arial" w:cs="Arial" w:eastAsia="Arial" w:hAnsi="Arial"/>
                <w:sz w:val="18"/>
                <w:szCs w:val="18"/>
                <w:color w:val="auto"/>
              </w:rPr>
              <w:t>Active Power, Inc. 2000 Stock Incentive Plan</w:t>
            </w:r>
          </w:p>
        </w:tc>
        <w:tc>
          <w:tcPr>
            <w:tcW w:w="4740" w:type="dxa"/>
            <w:vAlign w:val="bottom"/>
          </w:tcPr>
          <w:p>
            <w:pPr>
              <w:ind w:left="160"/>
              <w:spacing w:after="0"/>
              <w:rPr>
                <w:sz w:val="20"/>
                <w:szCs w:val="20"/>
                <w:color w:val="auto"/>
              </w:rPr>
            </w:pPr>
            <w:r>
              <w:rPr>
                <w:rFonts w:ascii="Arial" w:cs="Arial" w:eastAsia="Arial" w:hAnsi="Arial"/>
                <w:sz w:val="18"/>
                <w:szCs w:val="18"/>
                <w:color w:val="auto"/>
                <w:w w:val="93"/>
              </w:rPr>
              <w:t>Incorporated by reference to the IPO Registration Statement.</w:t>
            </w:r>
          </w:p>
        </w:tc>
      </w:tr>
      <w:tr>
        <w:trPr>
          <w:trHeight w:val="426"/>
        </w:trPr>
        <w:tc>
          <w:tcPr>
            <w:tcW w:w="560" w:type="dxa"/>
            <w:vAlign w:val="bottom"/>
          </w:tcPr>
          <w:p>
            <w:pPr>
              <w:spacing w:after="0"/>
              <w:rPr>
                <w:sz w:val="20"/>
                <w:szCs w:val="20"/>
                <w:color w:val="auto"/>
              </w:rPr>
            </w:pPr>
            <w:r>
              <w:rPr>
                <w:rFonts w:ascii="Arial" w:cs="Arial" w:eastAsia="Arial" w:hAnsi="Arial"/>
                <w:sz w:val="18"/>
                <w:szCs w:val="18"/>
                <w:color w:val="auto"/>
              </w:rPr>
              <w:t>10.3</w:t>
            </w:r>
          </w:p>
        </w:tc>
        <w:tc>
          <w:tcPr>
            <w:tcW w:w="5560" w:type="dxa"/>
            <w:vAlign w:val="bottom"/>
          </w:tcPr>
          <w:p>
            <w:pPr>
              <w:ind w:left="260"/>
              <w:spacing w:after="0"/>
              <w:rPr>
                <w:sz w:val="20"/>
                <w:szCs w:val="20"/>
                <w:color w:val="auto"/>
              </w:rPr>
            </w:pPr>
            <w:r>
              <w:rPr>
                <w:rFonts w:ascii="Arial" w:cs="Arial" w:eastAsia="Arial" w:hAnsi="Arial"/>
                <w:sz w:val="18"/>
                <w:szCs w:val="18"/>
                <w:color w:val="auto"/>
                <w:w w:val="90"/>
              </w:rPr>
              <w:t>Second Amended and Restated Investors’ Rights Agreement dated as of</w:t>
            </w:r>
          </w:p>
        </w:tc>
        <w:tc>
          <w:tcPr>
            <w:tcW w:w="4740" w:type="dxa"/>
            <w:vAlign w:val="bottom"/>
          </w:tcPr>
          <w:p>
            <w:pPr>
              <w:ind w:left="160"/>
              <w:spacing w:after="0"/>
              <w:rPr>
                <w:sz w:val="20"/>
                <w:szCs w:val="20"/>
                <w:color w:val="auto"/>
              </w:rPr>
            </w:pPr>
            <w:r>
              <w:rPr>
                <w:rFonts w:ascii="Arial" w:cs="Arial" w:eastAsia="Arial" w:hAnsi="Arial"/>
                <w:sz w:val="18"/>
                <w:szCs w:val="18"/>
                <w:color w:val="auto"/>
                <w:w w:val="89"/>
              </w:rPr>
              <w:t>Incorporated by reference to Exhibit 10.4 to the IPO Registration</w:t>
            </w:r>
          </w:p>
        </w:tc>
      </w:tr>
      <w:tr>
        <w:trPr>
          <w:trHeight w:val="216"/>
        </w:trPr>
        <w:tc>
          <w:tcPr>
            <w:tcW w:w="560" w:type="dxa"/>
            <w:vAlign w:val="bottom"/>
          </w:tcPr>
          <w:p>
            <w:pPr>
              <w:spacing w:after="0"/>
              <w:rPr>
                <w:sz w:val="18"/>
                <w:szCs w:val="18"/>
                <w:color w:val="auto"/>
              </w:rPr>
            </w:pPr>
          </w:p>
        </w:tc>
        <w:tc>
          <w:tcPr>
            <w:tcW w:w="5560" w:type="dxa"/>
            <w:vAlign w:val="bottom"/>
          </w:tcPr>
          <w:p>
            <w:pPr>
              <w:ind w:left="260"/>
              <w:spacing w:after="0"/>
              <w:rPr>
                <w:sz w:val="20"/>
                <w:szCs w:val="20"/>
                <w:color w:val="auto"/>
              </w:rPr>
            </w:pPr>
            <w:r>
              <w:rPr>
                <w:rFonts w:ascii="Arial" w:cs="Arial" w:eastAsia="Arial" w:hAnsi="Arial"/>
                <w:sz w:val="18"/>
                <w:szCs w:val="18"/>
                <w:color w:val="auto"/>
                <w:w w:val="90"/>
              </w:rPr>
              <w:t>dated November 23, 1999 by and between Active Power, Inc. and certain</w:t>
            </w:r>
          </w:p>
        </w:tc>
        <w:tc>
          <w:tcPr>
            <w:tcW w:w="4740" w:type="dxa"/>
            <w:vAlign w:val="bottom"/>
          </w:tcPr>
          <w:p>
            <w:pPr>
              <w:ind w:left="160"/>
              <w:spacing w:after="0"/>
              <w:rPr>
                <w:sz w:val="20"/>
                <w:szCs w:val="20"/>
                <w:color w:val="auto"/>
              </w:rPr>
            </w:pPr>
            <w:r>
              <w:rPr>
                <w:rFonts w:ascii="Arial" w:cs="Arial" w:eastAsia="Arial" w:hAnsi="Arial"/>
                <w:sz w:val="18"/>
                <w:szCs w:val="18"/>
                <w:color w:val="auto"/>
              </w:rPr>
              <w:t>Statement.</w:t>
            </w:r>
          </w:p>
        </w:tc>
      </w:tr>
      <w:tr>
        <w:trPr>
          <w:trHeight w:val="222"/>
        </w:trPr>
        <w:tc>
          <w:tcPr>
            <w:tcW w:w="560" w:type="dxa"/>
            <w:vAlign w:val="bottom"/>
          </w:tcPr>
          <w:p>
            <w:pPr>
              <w:spacing w:after="0"/>
              <w:rPr>
                <w:sz w:val="19"/>
                <w:szCs w:val="19"/>
                <w:color w:val="auto"/>
              </w:rPr>
            </w:pPr>
          </w:p>
        </w:tc>
        <w:tc>
          <w:tcPr>
            <w:tcW w:w="5560" w:type="dxa"/>
            <w:vAlign w:val="bottom"/>
          </w:tcPr>
          <w:p>
            <w:pPr>
              <w:ind w:left="260"/>
              <w:spacing w:after="0"/>
              <w:rPr>
                <w:sz w:val="20"/>
                <w:szCs w:val="20"/>
                <w:color w:val="auto"/>
              </w:rPr>
            </w:pPr>
            <w:r>
              <w:rPr>
                <w:rFonts w:ascii="Arial" w:cs="Arial" w:eastAsia="Arial" w:hAnsi="Arial"/>
                <w:sz w:val="18"/>
                <w:szCs w:val="18"/>
                <w:color w:val="auto"/>
              </w:rPr>
              <w:t>of its stockholders</w:t>
            </w:r>
          </w:p>
        </w:tc>
        <w:tc>
          <w:tcPr>
            <w:tcW w:w="4740" w:type="dxa"/>
            <w:vAlign w:val="bottom"/>
          </w:tcPr>
          <w:p>
            <w:pPr>
              <w:spacing w:after="0"/>
              <w:rPr>
                <w:sz w:val="19"/>
                <w:szCs w:val="19"/>
                <w:color w:val="auto"/>
              </w:rPr>
            </w:pPr>
          </w:p>
        </w:tc>
      </w:tr>
      <w:tr>
        <w:trPr>
          <w:trHeight w:val="426"/>
        </w:trPr>
        <w:tc>
          <w:tcPr>
            <w:tcW w:w="560" w:type="dxa"/>
            <w:vAlign w:val="bottom"/>
          </w:tcPr>
          <w:p>
            <w:pPr>
              <w:spacing w:after="0"/>
              <w:rPr>
                <w:sz w:val="20"/>
                <w:szCs w:val="20"/>
                <w:color w:val="auto"/>
              </w:rPr>
            </w:pPr>
            <w:r>
              <w:rPr>
                <w:rFonts w:ascii="Arial" w:cs="Arial" w:eastAsia="Arial" w:hAnsi="Arial"/>
                <w:sz w:val="18"/>
                <w:szCs w:val="18"/>
                <w:color w:val="auto"/>
              </w:rPr>
              <w:t>10.4</w:t>
            </w:r>
          </w:p>
        </w:tc>
        <w:tc>
          <w:tcPr>
            <w:tcW w:w="5560" w:type="dxa"/>
            <w:vAlign w:val="bottom"/>
          </w:tcPr>
          <w:p>
            <w:pPr>
              <w:ind w:left="260"/>
              <w:spacing w:after="0"/>
              <w:rPr>
                <w:sz w:val="20"/>
                <w:szCs w:val="20"/>
                <w:color w:val="auto"/>
              </w:rPr>
            </w:pPr>
            <w:r>
              <w:rPr>
                <w:rFonts w:ascii="Arial" w:cs="Arial" w:eastAsia="Arial" w:hAnsi="Arial"/>
                <w:sz w:val="18"/>
                <w:szCs w:val="18"/>
                <w:color w:val="auto"/>
                <w:w w:val="92"/>
              </w:rPr>
              <w:t>Lease Agreement by and between Active Power, Inc. and Braker Phase</w:t>
            </w:r>
          </w:p>
        </w:tc>
        <w:tc>
          <w:tcPr>
            <w:tcW w:w="4740" w:type="dxa"/>
            <w:vAlign w:val="bottom"/>
          </w:tcPr>
          <w:p>
            <w:pPr>
              <w:ind w:left="160"/>
              <w:spacing w:after="0"/>
              <w:rPr>
                <w:sz w:val="20"/>
                <w:szCs w:val="20"/>
                <w:color w:val="auto"/>
              </w:rPr>
            </w:pPr>
            <w:r>
              <w:rPr>
                <w:rFonts w:ascii="Arial" w:cs="Arial" w:eastAsia="Arial" w:hAnsi="Arial"/>
                <w:sz w:val="18"/>
                <w:szCs w:val="18"/>
                <w:color w:val="auto"/>
                <w:w w:val="89"/>
              </w:rPr>
              <w:t>Incorporated by reference to Exhibit 10.9 to the IPO Registration</w:t>
            </w:r>
          </w:p>
        </w:tc>
      </w:tr>
      <w:tr>
        <w:trPr>
          <w:trHeight w:val="222"/>
        </w:trPr>
        <w:tc>
          <w:tcPr>
            <w:tcW w:w="560" w:type="dxa"/>
            <w:vAlign w:val="bottom"/>
          </w:tcPr>
          <w:p>
            <w:pPr>
              <w:spacing w:after="0"/>
              <w:rPr>
                <w:sz w:val="19"/>
                <w:szCs w:val="19"/>
                <w:color w:val="auto"/>
              </w:rPr>
            </w:pPr>
          </w:p>
        </w:tc>
        <w:tc>
          <w:tcPr>
            <w:tcW w:w="5560" w:type="dxa"/>
            <w:vAlign w:val="bottom"/>
          </w:tcPr>
          <w:p>
            <w:pPr>
              <w:ind w:left="260"/>
              <w:spacing w:after="0"/>
              <w:rPr>
                <w:sz w:val="20"/>
                <w:szCs w:val="20"/>
                <w:color w:val="auto"/>
              </w:rPr>
            </w:pPr>
            <w:r>
              <w:rPr>
                <w:rFonts w:ascii="Arial" w:cs="Arial" w:eastAsia="Arial" w:hAnsi="Arial"/>
                <w:sz w:val="18"/>
                <w:szCs w:val="18"/>
                <w:color w:val="auto"/>
              </w:rPr>
              <w:t>III, Ltd.</w:t>
            </w:r>
          </w:p>
        </w:tc>
        <w:tc>
          <w:tcPr>
            <w:tcW w:w="4740" w:type="dxa"/>
            <w:vAlign w:val="bottom"/>
          </w:tcPr>
          <w:p>
            <w:pPr>
              <w:ind w:left="160"/>
              <w:spacing w:after="0"/>
              <w:rPr>
                <w:sz w:val="20"/>
                <w:szCs w:val="20"/>
                <w:color w:val="auto"/>
              </w:rPr>
            </w:pPr>
            <w:r>
              <w:rPr>
                <w:rFonts w:ascii="Arial" w:cs="Arial" w:eastAsia="Arial" w:hAnsi="Arial"/>
                <w:sz w:val="18"/>
                <w:szCs w:val="18"/>
                <w:color w:val="auto"/>
              </w:rPr>
              <w:t>Statement.</w:t>
            </w: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type w:val="continuous"/>
        </w:sectPr>
      </w:pPr>
    </w:p>
    <w:p>
      <w:pPr>
        <w:spacing w:after="0" w:line="1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l0.5</w:t>
      </w:r>
      <w:r>
        <w:rPr>
          <w:sz w:val="20"/>
          <w:szCs w:val="20"/>
          <w:color w:val="auto"/>
        </w:rPr>
        <w:tab/>
      </w:r>
      <w:r>
        <w:rPr>
          <w:rFonts w:ascii="Arial" w:cs="Arial" w:eastAsia="Arial" w:hAnsi="Arial"/>
          <w:sz w:val="15"/>
          <w:szCs w:val="15"/>
          <w:color w:val="auto"/>
        </w:rPr>
        <w:t>First Amendment to Lease Agreement by and between Active Power, Inc.</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and Braker Phase III, Ltd.</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Index-I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80"/>
        <w:spacing w:after="0" w:line="268" w:lineRule="auto"/>
        <w:rPr>
          <w:sz w:val="20"/>
          <w:szCs w:val="20"/>
          <w:color w:val="auto"/>
        </w:rPr>
      </w:pPr>
      <w:r>
        <w:rPr>
          <w:rFonts w:ascii="Arial" w:cs="Arial" w:eastAsia="Arial" w:hAnsi="Arial"/>
          <w:sz w:val="18"/>
          <w:szCs w:val="18"/>
          <w:color w:val="auto"/>
        </w:rPr>
        <w:t>Incorporated by reference to Exhibit 10.10 to the IPO Registration Statement.</w:t>
      </w:r>
    </w:p>
    <w:p>
      <w:pPr>
        <w:sectPr>
          <w:pgSz w:w="11900" w:h="16838" w:orient="portrait"/>
          <w:cols w:equalWidth="0" w:num="2">
            <w:col w:w="6260" w:space="20"/>
            <w:col w:w="5140"/>
          </w:cols>
          <w:pgMar w:left="240" w:top="459"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2780" w:val="left"/>
          <w:tab w:leader="none" w:pos="83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 of Exhibit</w:t>
      </w:r>
      <w:r>
        <w:rPr>
          <w:sz w:val="20"/>
          <w:szCs w:val="20"/>
          <w:color w:val="auto"/>
        </w:rPr>
        <w:tab/>
      </w:r>
      <w:r>
        <w:rPr>
          <w:rFonts w:ascii="Arial" w:cs="Arial" w:eastAsia="Arial" w:hAnsi="Arial"/>
          <w:sz w:val="12"/>
          <w:szCs w:val="12"/>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sectPr>
      </w:pPr>
    </w:p>
    <w:p>
      <w:pPr>
        <w:spacing w:after="0" w:line="19" w:lineRule="exact"/>
        <w:rPr>
          <w:sz w:val="20"/>
          <w:szCs w:val="20"/>
          <w:color w:val="auto"/>
        </w:rPr>
      </w:pPr>
    </w:p>
    <w:p>
      <w:pPr>
        <w:ind w:left="820" w:right="160" w:hanging="809"/>
        <w:spacing w:after="0" w:line="268" w:lineRule="auto"/>
        <w:tabs>
          <w:tab w:leader="none" w:pos="8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Second Amendment to Lease Agreement by and between Active Power, Inc. and Braker Phase III, Ltd.</w:t>
      </w:r>
    </w:p>
    <w:p>
      <w:pPr>
        <w:spacing w:after="0" w:line="186" w:lineRule="exact"/>
        <w:rPr>
          <w:sz w:val="20"/>
          <w:szCs w:val="20"/>
          <w:color w:val="auto"/>
        </w:rPr>
      </w:pPr>
    </w:p>
    <w:p>
      <w:pPr>
        <w:ind w:left="820" w:right="300" w:hanging="809"/>
        <w:spacing w:after="0" w:line="268" w:lineRule="auto"/>
        <w:tabs>
          <w:tab w:leader="none" w:pos="8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Third Amendment to Lease Agreement by and between Active Power, Inc. and Braker Phase III, Ltd.</w:t>
      </w:r>
    </w:p>
    <w:p>
      <w:pPr>
        <w:spacing w:after="0" w:line="186" w:lineRule="exact"/>
        <w:rPr>
          <w:sz w:val="20"/>
          <w:szCs w:val="20"/>
          <w:color w:val="auto"/>
        </w:rPr>
      </w:pPr>
    </w:p>
    <w:p>
      <w:pPr>
        <w:ind w:left="820" w:right="220" w:hanging="809"/>
        <w:spacing w:after="0" w:line="268" w:lineRule="auto"/>
        <w:tabs>
          <w:tab w:leader="none" w:pos="8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Fourth Amendment to Lease Agreement by and between Active Power, Inc. and Metropolitan Life Insurance Company</w:t>
      </w:r>
    </w:p>
    <w:p>
      <w:pPr>
        <w:spacing w:after="0" w:line="186" w:lineRule="exact"/>
        <w:rPr>
          <w:sz w:val="20"/>
          <w:szCs w:val="20"/>
          <w:color w:val="auto"/>
        </w:rPr>
      </w:pPr>
    </w:p>
    <w:p>
      <w:pPr>
        <w:ind w:left="820" w:right="40" w:hanging="809"/>
        <w:spacing w:after="0" w:line="268" w:lineRule="auto"/>
        <w:tabs>
          <w:tab w:leader="none" w:pos="8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Fifth Amendment to Lease Agreement by and between Active Power, Inc. and Metropolitan Life Insurance Company</w:t>
      </w:r>
    </w:p>
    <w:p>
      <w:pPr>
        <w:spacing w:after="0" w:line="186" w:lineRule="exact"/>
        <w:rPr>
          <w:sz w:val="20"/>
          <w:szCs w:val="20"/>
          <w:color w:val="auto"/>
        </w:rPr>
      </w:pPr>
    </w:p>
    <w:p>
      <w:pPr>
        <w:ind w:left="820" w:hanging="809"/>
        <w:spacing w:after="0" w:line="268" w:lineRule="auto"/>
        <w:tabs>
          <w:tab w:leader="none" w:pos="80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Sixth Amendment to Lease Agreement by and between Active Power, Inc. and Metropolitan Life Insurance Company</w:t>
      </w:r>
    </w:p>
    <w:p>
      <w:pPr>
        <w:spacing w:after="0" w:line="186" w:lineRule="exact"/>
        <w:rPr>
          <w:sz w:val="20"/>
          <w:szCs w:val="20"/>
          <w:color w:val="auto"/>
        </w:rPr>
      </w:pPr>
    </w:p>
    <w:p>
      <w:pPr>
        <w:ind w:left="820" w:right="120" w:hanging="809"/>
        <w:spacing w:after="0" w:line="268" w:lineRule="auto"/>
        <w:tabs>
          <w:tab w:leader="none" w:pos="8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Seventh Amendment to Lease Agreement by and between Active Power, Inc. and Metropolitan Life Insurance Company</w:t>
      </w:r>
    </w:p>
    <w:p>
      <w:pPr>
        <w:spacing w:after="0" w:line="18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5"/>
          <w:szCs w:val="15"/>
          <w:color w:val="auto"/>
        </w:rPr>
        <w:t>Lease Agreement by and between Active Power, Inc. and BC12 99, Ltd.</w:t>
      </w:r>
    </w:p>
    <w:p>
      <w:pPr>
        <w:spacing w:after="0" w:line="200" w:lineRule="exact"/>
        <w:rPr>
          <w:sz w:val="20"/>
          <w:szCs w:val="20"/>
          <w:color w:val="auto"/>
        </w:rPr>
      </w:pPr>
    </w:p>
    <w:p>
      <w:pPr>
        <w:spacing w:after="0" w:line="241" w:lineRule="exact"/>
        <w:rPr>
          <w:sz w:val="20"/>
          <w:szCs w:val="20"/>
          <w:color w:val="auto"/>
        </w:rPr>
      </w:pPr>
    </w:p>
    <w:p>
      <w:pPr>
        <w:ind w:left="820" w:right="740" w:hanging="809"/>
        <w:spacing w:after="0" w:line="268" w:lineRule="auto"/>
        <w:tabs>
          <w:tab w:leader="none" w:pos="80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Distributor Agreement by and between Active Power and Eaton Electrical, Inc. dated May 22, 2006</w:t>
      </w:r>
    </w:p>
    <w:p>
      <w:pPr>
        <w:spacing w:after="0" w:line="186" w:lineRule="exact"/>
        <w:rPr>
          <w:sz w:val="20"/>
          <w:szCs w:val="20"/>
          <w:color w:val="auto"/>
        </w:rPr>
      </w:pPr>
    </w:p>
    <w:p>
      <w:pPr>
        <w:ind w:left="820" w:right="540" w:hanging="809"/>
        <w:spacing w:after="0" w:line="268" w:lineRule="auto"/>
        <w:tabs>
          <w:tab w:leader="none" w:pos="80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Purchase and Sale Agreement between Active Power, Inc. and Fuji Electric Co., Ltd. dated July 23, 2003</w:t>
      </w:r>
    </w:p>
    <w:p>
      <w:pPr>
        <w:spacing w:after="0" w:line="20" w:lineRule="exact"/>
        <w:rPr>
          <w:sz w:val="20"/>
          <w:szCs w:val="20"/>
          <w:color w:val="auto"/>
        </w:rPr>
      </w:pPr>
      <w:r>
        <w:rPr>
          <w:sz w:val="20"/>
          <w:szCs w:val="20"/>
          <w:color w:val="auto"/>
        </w:rPr>
        <w:br w:type="column"/>
      </w:r>
    </w:p>
    <w:p>
      <w:pPr>
        <w:ind w:right="420"/>
        <w:spacing w:after="0" w:line="268" w:lineRule="auto"/>
        <w:rPr>
          <w:sz w:val="20"/>
          <w:szCs w:val="20"/>
          <w:color w:val="auto"/>
        </w:rPr>
      </w:pPr>
      <w:r>
        <w:rPr>
          <w:rFonts w:ascii="Arial" w:cs="Arial" w:eastAsia="Arial" w:hAnsi="Arial"/>
          <w:sz w:val="18"/>
          <w:szCs w:val="18"/>
          <w:color w:val="auto"/>
        </w:rPr>
        <w:t>Incorporated by reference to Exhibit 10.11 to the IPO Registration Statement.</w:t>
      </w:r>
    </w:p>
    <w:p>
      <w:pPr>
        <w:spacing w:after="0" w:line="18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Incorporated by reference to Exhibit 10.12 to the IPO Registration Statement.</w:t>
      </w:r>
    </w:p>
    <w:p>
      <w:pPr>
        <w:spacing w:after="0" w:line="18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Incorporated by reference to Exhibit 10.13 to the IPO Registration Statement.</w:t>
      </w:r>
    </w:p>
    <w:p>
      <w:pPr>
        <w:spacing w:after="0" w:line="18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Incorporated by reference to Exhibit 10.14 to the IPO Registration Statement.</w:t>
      </w:r>
    </w:p>
    <w:p>
      <w:pPr>
        <w:spacing w:after="0" w:line="186"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Incorporated by reference to Exhibit 10.18 to Active Power’s Annual Report on Form 10-K dated March 16, 2001 (the “2000 10-K”).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to Exhibit 10.19 to the 2000 10-K.</w:t>
      </w:r>
    </w:p>
    <w:p>
      <w:pPr>
        <w:spacing w:after="0" w:line="200" w:lineRule="exact"/>
        <w:rPr>
          <w:sz w:val="20"/>
          <w:szCs w:val="20"/>
          <w:color w:val="auto"/>
        </w:rPr>
      </w:pPr>
    </w:p>
    <w:p>
      <w:pPr>
        <w:spacing w:after="0" w:line="241"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Incorporated by reference to Exhibit 10.17 to Active Power’s Annual Report on Form 10-K for the fiscal year ended December 31, 2000.</w:t>
      </w:r>
    </w:p>
    <w:p>
      <w:pPr>
        <w:spacing w:after="0" w:line="139"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Incorporated by reference to Exhibit 10.1 to Active Power’s Current Report on Form 8-K filed on May 24, 2006.</w:t>
      </w:r>
    </w:p>
    <w:p>
      <w:pPr>
        <w:spacing w:after="0" w:line="18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Incorporated by reference to Exhibit 10.1 to Active Power’s Quarterly Report on Form 10-Q for the quarter ended March 31, 2003.</w:t>
      </w:r>
    </w:p>
    <w:p>
      <w:pPr>
        <w:spacing w:after="0" w:line="139" w:lineRule="exact"/>
        <w:rPr>
          <w:sz w:val="20"/>
          <w:szCs w:val="20"/>
          <w:color w:val="auto"/>
        </w:rPr>
      </w:pPr>
    </w:p>
    <w:p>
      <w:pPr>
        <w:sectPr>
          <w:pgSz w:w="11900" w:h="16838" w:orient="portrait"/>
          <w:cols w:equalWidth="0" w:num="2">
            <w:col w:w="6060" w:space="220"/>
            <w:col w:w="5080"/>
          </w:cols>
          <w:pgMar w:left="240" w:top="459" w:right="29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620" w:type="dxa"/>
            <w:vAlign w:val="bottom"/>
          </w:tcPr>
          <w:p>
            <w:pPr>
              <w:jc w:val="right"/>
              <w:ind w:right="132"/>
              <w:spacing w:after="0"/>
              <w:rPr>
                <w:sz w:val="20"/>
                <w:szCs w:val="20"/>
                <w:color w:val="auto"/>
              </w:rPr>
            </w:pPr>
            <w:r>
              <w:rPr>
                <w:rFonts w:ascii="Arial" w:cs="Arial" w:eastAsia="Arial" w:hAnsi="Arial"/>
                <w:sz w:val="18"/>
                <w:szCs w:val="18"/>
                <w:color w:val="auto"/>
                <w:w w:val="84"/>
              </w:rPr>
              <w:t>10.15</w:t>
            </w:r>
          </w:p>
        </w:tc>
        <w:tc>
          <w:tcPr>
            <w:tcW w:w="5540" w:type="dxa"/>
            <w:vAlign w:val="bottom"/>
          </w:tcPr>
          <w:p>
            <w:pPr>
              <w:ind w:left="200"/>
              <w:spacing w:after="0"/>
              <w:rPr>
                <w:sz w:val="20"/>
                <w:szCs w:val="20"/>
                <w:color w:val="auto"/>
              </w:rPr>
            </w:pPr>
            <w:r>
              <w:rPr>
                <w:rFonts w:ascii="Arial" w:cs="Arial" w:eastAsia="Arial" w:hAnsi="Arial"/>
                <w:sz w:val="18"/>
                <w:szCs w:val="18"/>
                <w:color w:val="auto"/>
                <w:w w:val="91"/>
              </w:rPr>
              <w:t>Long-Term Supply Agreement between Active Power, Inc. and GE Zenith</w:t>
            </w:r>
          </w:p>
        </w:tc>
        <w:tc>
          <w:tcPr>
            <w:tcW w:w="5200" w:type="dxa"/>
            <w:vAlign w:val="bottom"/>
          </w:tcPr>
          <w:p>
            <w:pPr>
              <w:ind w:left="120"/>
              <w:spacing w:after="0"/>
              <w:rPr>
                <w:sz w:val="20"/>
                <w:szCs w:val="20"/>
                <w:color w:val="auto"/>
              </w:rPr>
            </w:pPr>
            <w:r>
              <w:rPr>
                <w:rFonts w:ascii="Arial" w:cs="Arial" w:eastAsia="Arial" w:hAnsi="Arial"/>
                <w:sz w:val="18"/>
                <w:szCs w:val="18"/>
                <w:color w:val="auto"/>
                <w:w w:val="94"/>
              </w:rPr>
              <w:t>Incorporated by reference to Exhibit 10.1 to Active Power’s Current</w:t>
            </w:r>
          </w:p>
        </w:tc>
      </w:tr>
      <w:tr>
        <w:trPr>
          <w:trHeight w:val="222"/>
        </w:trPr>
        <w:tc>
          <w:tcPr>
            <w:tcW w:w="620" w:type="dxa"/>
            <w:vAlign w:val="bottom"/>
          </w:tcPr>
          <w:p>
            <w:pPr>
              <w:spacing w:after="0"/>
              <w:rPr>
                <w:sz w:val="19"/>
                <w:szCs w:val="19"/>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Controls, Inc., dated March 16, 2005</w:t>
            </w:r>
          </w:p>
        </w:tc>
        <w:tc>
          <w:tcPr>
            <w:tcW w:w="5200" w:type="dxa"/>
            <w:vAlign w:val="bottom"/>
          </w:tcPr>
          <w:p>
            <w:pPr>
              <w:ind w:left="120"/>
              <w:spacing w:after="0"/>
              <w:rPr>
                <w:sz w:val="20"/>
                <w:szCs w:val="20"/>
                <w:color w:val="auto"/>
              </w:rPr>
            </w:pPr>
            <w:r>
              <w:rPr>
                <w:rFonts w:ascii="Arial" w:cs="Arial" w:eastAsia="Arial" w:hAnsi="Arial"/>
                <w:sz w:val="18"/>
                <w:szCs w:val="18"/>
                <w:color w:val="auto"/>
              </w:rPr>
              <w:t>Report on Form 8-K dated March 16, 2005.</w:t>
            </w:r>
          </w:p>
        </w:tc>
      </w:tr>
      <w:tr>
        <w:trPr>
          <w:trHeight w:val="426"/>
        </w:trPr>
        <w:tc>
          <w:tcPr>
            <w:tcW w:w="620" w:type="dxa"/>
            <w:vAlign w:val="bottom"/>
          </w:tcPr>
          <w:p>
            <w:pPr>
              <w:jc w:val="right"/>
              <w:ind w:right="132"/>
              <w:spacing w:after="0"/>
              <w:rPr>
                <w:sz w:val="20"/>
                <w:szCs w:val="20"/>
                <w:color w:val="auto"/>
              </w:rPr>
            </w:pPr>
            <w:r>
              <w:rPr>
                <w:rFonts w:ascii="Arial" w:cs="Arial" w:eastAsia="Arial" w:hAnsi="Arial"/>
                <w:sz w:val="18"/>
                <w:szCs w:val="18"/>
                <w:color w:val="auto"/>
                <w:w w:val="84"/>
              </w:rPr>
              <w:t>10.16</w:t>
            </w:r>
          </w:p>
        </w:tc>
        <w:tc>
          <w:tcPr>
            <w:tcW w:w="5540" w:type="dxa"/>
            <w:vAlign w:val="bottom"/>
          </w:tcPr>
          <w:p>
            <w:pPr>
              <w:ind w:left="200"/>
              <w:spacing w:after="0"/>
              <w:rPr>
                <w:sz w:val="20"/>
                <w:szCs w:val="20"/>
                <w:color w:val="auto"/>
              </w:rPr>
            </w:pPr>
            <w:r>
              <w:rPr>
                <w:rFonts w:ascii="Arial" w:cs="Arial" w:eastAsia="Arial" w:hAnsi="Arial"/>
                <w:sz w:val="18"/>
                <w:szCs w:val="18"/>
                <w:color w:val="auto"/>
              </w:rPr>
              <w:t>Letter agreement with Jim Clishem dated November 7, 2005</w:t>
            </w:r>
          </w:p>
        </w:tc>
        <w:tc>
          <w:tcPr>
            <w:tcW w:w="5200" w:type="dxa"/>
            <w:vAlign w:val="bottom"/>
          </w:tcPr>
          <w:p>
            <w:pPr>
              <w:ind w:left="120"/>
              <w:spacing w:after="0"/>
              <w:rPr>
                <w:sz w:val="20"/>
                <w:szCs w:val="20"/>
                <w:color w:val="auto"/>
              </w:rPr>
            </w:pPr>
            <w:r>
              <w:rPr>
                <w:rFonts w:ascii="Arial" w:cs="Arial" w:eastAsia="Arial" w:hAnsi="Arial"/>
                <w:sz w:val="18"/>
                <w:szCs w:val="18"/>
                <w:color w:val="auto"/>
                <w:w w:val="88"/>
              </w:rPr>
              <w:t>Incorporated by reference to Exhibit 99.1 to Registrant’s Current Report</w:t>
            </w:r>
          </w:p>
        </w:tc>
      </w:tr>
      <w:tr>
        <w:trPr>
          <w:trHeight w:val="222"/>
        </w:trPr>
        <w:tc>
          <w:tcPr>
            <w:tcW w:w="6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5200" w:type="dxa"/>
            <w:vAlign w:val="bottom"/>
          </w:tcPr>
          <w:p>
            <w:pPr>
              <w:ind w:left="120"/>
              <w:spacing w:after="0"/>
              <w:rPr>
                <w:sz w:val="20"/>
                <w:szCs w:val="20"/>
                <w:color w:val="auto"/>
              </w:rPr>
            </w:pPr>
            <w:r>
              <w:rPr>
                <w:rFonts w:ascii="Arial" w:cs="Arial" w:eastAsia="Arial" w:hAnsi="Arial"/>
                <w:sz w:val="18"/>
                <w:szCs w:val="18"/>
                <w:color w:val="auto"/>
              </w:rPr>
              <w:t>on Form 8-K filed on November 4, 2005.</w:t>
            </w:r>
          </w:p>
        </w:tc>
      </w:tr>
      <w:tr>
        <w:trPr>
          <w:trHeight w:val="432"/>
        </w:trPr>
        <w:tc>
          <w:tcPr>
            <w:tcW w:w="620" w:type="dxa"/>
            <w:vAlign w:val="bottom"/>
          </w:tcPr>
          <w:p>
            <w:pPr>
              <w:jc w:val="right"/>
              <w:ind w:right="132"/>
              <w:spacing w:after="0"/>
              <w:rPr>
                <w:sz w:val="20"/>
                <w:szCs w:val="20"/>
                <w:color w:val="auto"/>
              </w:rPr>
            </w:pPr>
            <w:r>
              <w:rPr>
                <w:rFonts w:ascii="Arial" w:cs="Arial" w:eastAsia="Arial" w:hAnsi="Arial"/>
                <w:sz w:val="18"/>
                <w:szCs w:val="18"/>
                <w:color w:val="auto"/>
                <w:w w:val="84"/>
              </w:rPr>
              <w:t>10.17</w:t>
            </w:r>
          </w:p>
        </w:tc>
        <w:tc>
          <w:tcPr>
            <w:tcW w:w="5540" w:type="dxa"/>
            <w:vAlign w:val="bottom"/>
          </w:tcPr>
          <w:p>
            <w:pPr>
              <w:ind w:left="200"/>
              <w:spacing w:after="0"/>
              <w:rPr>
                <w:sz w:val="20"/>
                <w:szCs w:val="20"/>
                <w:color w:val="auto"/>
              </w:rPr>
            </w:pPr>
            <w:r>
              <w:rPr>
                <w:rFonts w:ascii="Arial" w:cs="Arial" w:eastAsia="Arial" w:hAnsi="Arial"/>
                <w:sz w:val="18"/>
                <w:szCs w:val="18"/>
                <w:color w:val="auto"/>
              </w:rPr>
              <w:t>Stock Issuance Agreement with Jim Clishem</w:t>
            </w:r>
          </w:p>
        </w:tc>
        <w:tc>
          <w:tcPr>
            <w:tcW w:w="5200" w:type="dxa"/>
            <w:vAlign w:val="bottom"/>
          </w:tcPr>
          <w:p>
            <w:pPr>
              <w:spacing w:after="0"/>
              <w:rPr>
                <w:sz w:val="24"/>
                <w:szCs w:val="24"/>
                <w:color w:val="auto"/>
              </w:rPr>
            </w:pPr>
          </w:p>
        </w:tc>
      </w:tr>
      <w:tr>
        <w:trPr>
          <w:trHeight w:val="426"/>
        </w:trPr>
        <w:tc>
          <w:tcPr>
            <w:tcW w:w="620" w:type="dxa"/>
            <w:vAlign w:val="bottom"/>
          </w:tcPr>
          <w:p>
            <w:pPr>
              <w:jc w:val="right"/>
              <w:ind w:right="132"/>
              <w:spacing w:after="0"/>
              <w:rPr>
                <w:sz w:val="20"/>
                <w:szCs w:val="20"/>
                <w:color w:val="auto"/>
              </w:rPr>
            </w:pPr>
            <w:r>
              <w:rPr>
                <w:rFonts w:ascii="Arial" w:cs="Arial" w:eastAsia="Arial" w:hAnsi="Arial"/>
                <w:sz w:val="18"/>
                <w:szCs w:val="18"/>
                <w:color w:val="auto"/>
                <w:w w:val="84"/>
              </w:rPr>
              <w:t>10.18</w:t>
            </w:r>
          </w:p>
        </w:tc>
        <w:tc>
          <w:tcPr>
            <w:tcW w:w="5540" w:type="dxa"/>
            <w:vAlign w:val="bottom"/>
          </w:tcPr>
          <w:p>
            <w:pPr>
              <w:ind w:left="200"/>
              <w:spacing w:after="0"/>
              <w:rPr>
                <w:sz w:val="20"/>
                <w:szCs w:val="20"/>
                <w:color w:val="auto"/>
              </w:rPr>
            </w:pPr>
            <w:r>
              <w:rPr>
                <w:rFonts w:ascii="Arial" w:cs="Arial" w:eastAsia="Arial" w:hAnsi="Arial"/>
                <w:sz w:val="18"/>
                <w:szCs w:val="18"/>
                <w:color w:val="auto"/>
                <w:w w:val="91"/>
              </w:rPr>
              <w:t>Oral agreement with Jim Clishem dated May 10, 2006, as summarized in</w:t>
            </w:r>
          </w:p>
        </w:tc>
        <w:tc>
          <w:tcPr>
            <w:tcW w:w="5200" w:type="dxa"/>
            <w:vAlign w:val="bottom"/>
          </w:tcPr>
          <w:p>
            <w:pPr>
              <w:ind w:left="120"/>
              <w:spacing w:after="0"/>
              <w:rPr>
                <w:sz w:val="20"/>
                <w:szCs w:val="20"/>
                <w:color w:val="auto"/>
              </w:rPr>
            </w:pPr>
            <w:r>
              <w:rPr>
                <w:rFonts w:ascii="Arial" w:cs="Arial" w:eastAsia="Arial" w:hAnsi="Arial"/>
                <w:sz w:val="18"/>
                <w:szCs w:val="18"/>
                <w:color w:val="auto"/>
                <w:w w:val="91"/>
              </w:rPr>
              <w:t>Incorporated by reference to Registrant’s Current Report on Form 8-K</w:t>
            </w:r>
          </w:p>
        </w:tc>
      </w:tr>
      <w:tr>
        <w:trPr>
          <w:trHeight w:val="222"/>
        </w:trPr>
        <w:tc>
          <w:tcPr>
            <w:tcW w:w="620" w:type="dxa"/>
            <w:vAlign w:val="bottom"/>
          </w:tcPr>
          <w:p>
            <w:pPr>
              <w:spacing w:after="0"/>
              <w:rPr>
                <w:sz w:val="19"/>
                <w:szCs w:val="19"/>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Registrant’s Current Report on Form 8-K filed on May 16, 2006</w:t>
            </w:r>
          </w:p>
        </w:tc>
        <w:tc>
          <w:tcPr>
            <w:tcW w:w="5200" w:type="dxa"/>
            <w:vAlign w:val="bottom"/>
          </w:tcPr>
          <w:p>
            <w:pPr>
              <w:ind w:left="120"/>
              <w:spacing w:after="0"/>
              <w:rPr>
                <w:sz w:val="20"/>
                <w:szCs w:val="20"/>
                <w:color w:val="auto"/>
              </w:rPr>
            </w:pPr>
            <w:r>
              <w:rPr>
                <w:rFonts w:ascii="Arial" w:cs="Arial" w:eastAsia="Arial" w:hAnsi="Arial"/>
                <w:sz w:val="18"/>
                <w:szCs w:val="18"/>
                <w:color w:val="auto"/>
              </w:rPr>
              <w:t>filed on May 16, 2006.</w:t>
            </w:r>
          </w:p>
        </w:tc>
      </w:tr>
      <w:tr>
        <w:trPr>
          <w:trHeight w:val="432"/>
        </w:trPr>
        <w:tc>
          <w:tcPr>
            <w:tcW w:w="620" w:type="dxa"/>
            <w:vAlign w:val="bottom"/>
          </w:tcPr>
          <w:p>
            <w:pPr>
              <w:jc w:val="right"/>
              <w:ind w:right="132"/>
              <w:spacing w:after="0"/>
              <w:rPr>
                <w:sz w:val="20"/>
                <w:szCs w:val="20"/>
                <w:color w:val="auto"/>
              </w:rPr>
            </w:pPr>
            <w:r>
              <w:rPr>
                <w:rFonts w:ascii="Arial" w:cs="Arial" w:eastAsia="Arial" w:hAnsi="Arial"/>
                <w:sz w:val="18"/>
                <w:szCs w:val="18"/>
                <w:color w:val="auto"/>
                <w:w w:val="84"/>
              </w:rPr>
              <w:t>10.19</w:t>
            </w:r>
          </w:p>
        </w:tc>
        <w:tc>
          <w:tcPr>
            <w:tcW w:w="5540" w:type="dxa"/>
            <w:vAlign w:val="bottom"/>
          </w:tcPr>
          <w:p>
            <w:pPr>
              <w:ind w:left="200"/>
              <w:spacing w:after="0"/>
              <w:rPr>
                <w:sz w:val="20"/>
                <w:szCs w:val="20"/>
                <w:color w:val="auto"/>
              </w:rPr>
            </w:pPr>
            <w:r>
              <w:rPr>
                <w:rFonts w:ascii="Arial" w:cs="Arial" w:eastAsia="Arial" w:hAnsi="Arial"/>
                <w:sz w:val="18"/>
                <w:szCs w:val="18"/>
                <w:color w:val="auto"/>
              </w:rPr>
              <w:t>Securities Purchase Agreement (as corrected)</w:t>
            </w:r>
          </w:p>
        </w:tc>
        <w:tc>
          <w:tcPr>
            <w:tcW w:w="5200" w:type="dxa"/>
            <w:vAlign w:val="bottom"/>
          </w:tcPr>
          <w:p>
            <w:pPr>
              <w:ind w:left="120"/>
              <w:spacing w:after="0"/>
              <w:rPr>
                <w:sz w:val="20"/>
                <w:szCs w:val="20"/>
                <w:color w:val="auto"/>
              </w:rPr>
            </w:pPr>
            <w:r>
              <w:rPr>
                <w:rFonts w:ascii="Arial" w:cs="Arial" w:eastAsia="Arial" w:hAnsi="Arial"/>
                <w:sz w:val="18"/>
                <w:szCs w:val="18"/>
                <w:color w:val="auto"/>
              </w:rPr>
              <w:t>Filed herewith.</w:t>
            </w:r>
          </w:p>
        </w:tc>
      </w:tr>
      <w:tr>
        <w:trPr>
          <w:trHeight w:val="426"/>
        </w:trPr>
        <w:tc>
          <w:tcPr>
            <w:tcW w:w="620" w:type="dxa"/>
            <w:vAlign w:val="bottom"/>
          </w:tcPr>
          <w:p>
            <w:pPr>
              <w:jc w:val="right"/>
              <w:ind w:right="132"/>
              <w:spacing w:after="0"/>
              <w:rPr>
                <w:sz w:val="20"/>
                <w:szCs w:val="20"/>
                <w:color w:val="auto"/>
              </w:rPr>
            </w:pPr>
            <w:r>
              <w:rPr>
                <w:rFonts w:ascii="Arial" w:cs="Arial" w:eastAsia="Arial" w:hAnsi="Arial"/>
                <w:sz w:val="18"/>
                <w:szCs w:val="18"/>
                <w:color w:val="auto"/>
                <w:w w:val="84"/>
              </w:rPr>
              <w:t>10.20</w:t>
            </w:r>
          </w:p>
        </w:tc>
        <w:tc>
          <w:tcPr>
            <w:tcW w:w="5540" w:type="dxa"/>
            <w:vAlign w:val="bottom"/>
          </w:tcPr>
          <w:p>
            <w:pPr>
              <w:ind w:left="200"/>
              <w:spacing w:after="0"/>
              <w:rPr>
                <w:sz w:val="20"/>
                <w:szCs w:val="20"/>
                <w:color w:val="auto"/>
              </w:rPr>
            </w:pPr>
            <w:r>
              <w:rPr>
                <w:rFonts w:ascii="Arial" w:cs="Arial" w:eastAsia="Arial" w:hAnsi="Arial"/>
                <w:sz w:val="18"/>
                <w:szCs w:val="18"/>
                <w:color w:val="auto"/>
              </w:rPr>
              <w:t>Registration Rights Agreement</w:t>
            </w:r>
          </w:p>
        </w:tc>
        <w:tc>
          <w:tcPr>
            <w:tcW w:w="5200" w:type="dxa"/>
            <w:vAlign w:val="bottom"/>
          </w:tcPr>
          <w:p>
            <w:pPr>
              <w:ind w:left="120"/>
              <w:spacing w:after="0"/>
              <w:rPr>
                <w:sz w:val="20"/>
                <w:szCs w:val="20"/>
                <w:color w:val="auto"/>
              </w:rPr>
            </w:pPr>
            <w:r>
              <w:rPr>
                <w:rFonts w:ascii="Arial" w:cs="Arial" w:eastAsia="Arial" w:hAnsi="Arial"/>
                <w:sz w:val="18"/>
                <w:szCs w:val="18"/>
                <w:color w:val="auto"/>
                <w:w w:val="93"/>
              </w:rPr>
              <w:t>Incorporated by reference to Exhibit 10.2 to the Registrant’s Current</w:t>
            </w:r>
          </w:p>
        </w:tc>
      </w:tr>
      <w:tr>
        <w:trPr>
          <w:trHeight w:val="222"/>
        </w:trPr>
        <w:tc>
          <w:tcPr>
            <w:tcW w:w="6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5200" w:type="dxa"/>
            <w:vAlign w:val="bottom"/>
          </w:tcPr>
          <w:p>
            <w:pPr>
              <w:ind w:left="120"/>
              <w:spacing w:after="0"/>
              <w:rPr>
                <w:sz w:val="20"/>
                <w:szCs w:val="20"/>
                <w:color w:val="auto"/>
              </w:rPr>
            </w:pPr>
            <w:r>
              <w:rPr>
                <w:rFonts w:ascii="Arial" w:cs="Arial" w:eastAsia="Arial" w:hAnsi="Arial"/>
                <w:sz w:val="18"/>
                <w:szCs w:val="18"/>
                <w:color w:val="auto"/>
              </w:rPr>
              <w:t>Report on Form 8-K dated August 13, 2007</w:t>
            </w:r>
          </w:p>
        </w:tc>
      </w:tr>
    </w:tbl>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Index-II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5"/>
                <w:szCs w:val="15"/>
                <w:color w:val="auto"/>
              </w:rPr>
            </w:pPr>
          </w:p>
        </w:tc>
        <w:tc>
          <w:tcPr>
            <w:tcW w:w="5260" w:type="dxa"/>
            <w:vAlign w:val="bottom"/>
            <w:tcBorders>
              <w:bottom w:val="single" w:sz="8" w:color="auto"/>
            </w:tcBorders>
          </w:tcPr>
          <w:p>
            <w:pPr>
              <w:ind w:left="1980"/>
              <w:spacing w:after="0"/>
              <w:rPr>
                <w:sz w:val="20"/>
                <w:szCs w:val="20"/>
                <w:color w:val="auto"/>
              </w:rPr>
            </w:pPr>
            <w:r>
              <w:rPr>
                <w:rFonts w:ascii="Arial" w:cs="Arial" w:eastAsia="Arial" w:hAnsi="Arial"/>
                <w:sz w:val="14"/>
                <w:szCs w:val="14"/>
                <w:b w:val="1"/>
                <w:bCs w:val="1"/>
                <w:color w:val="auto"/>
              </w:rPr>
              <w:t>Description of Exhibit</w:t>
            </w:r>
          </w:p>
        </w:tc>
        <w:tc>
          <w:tcPr>
            <w:tcW w:w="200" w:type="dxa"/>
            <w:vAlign w:val="bottom"/>
          </w:tcPr>
          <w:p>
            <w:pPr>
              <w:spacing w:after="0"/>
              <w:rPr>
                <w:sz w:val="15"/>
                <w:szCs w:val="15"/>
                <w:color w:val="auto"/>
              </w:rPr>
            </w:pPr>
          </w:p>
        </w:tc>
        <w:tc>
          <w:tcPr>
            <w:tcW w:w="5140" w:type="dxa"/>
            <w:vAlign w:val="bottom"/>
            <w:tcBorders>
              <w:bottom w:val="single" w:sz="8" w:color="auto"/>
            </w:tcBorders>
          </w:tcPr>
          <w:p>
            <w:pPr>
              <w:ind w:left="2100"/>
              <w:spacing w:after="0"/>
              <w:rPr>
                <w:sz w:val="20"/>
                <w:szCs w:val="20"/>
                <w:color w:val="auto"/>
              </w:rPr>
            </w:pPr>
            <w:r>
              <w:rPr>
                <w:rFonts w:ascii="Arial" w:cs="Arial" w:eastAsia="Arial" w:hAnsi="Arial"/>
                <w:sz w:val="14"/>
                <w:szCs w:val="14"/>
                <w:b w:val="1"/>
                <w:bCs w:val="1"/>
                <w:color w:val="auto"/>
              </w:rPr>
              <w:t>Method of Filing</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21.1</w:t>
            </w:r>
          </w:p>
        </w:tc>
        <w:tc>
          <w:tcPr>
            <w:tcW w:w="240" w:type="dxa"/>
            <w:vAlign w:val="bottom"/>
          </w:tcPr>
          <w:p>
            <w:pPr>
              <w:spacing w:after="0"/>
              <w:rPr>
                <w:sz w:val="16"/>
                <w:szCs w:val="16"/>
                <w:color w:val="auto"/>
              </w:rPr>
            </w:pPr>
          </w:p>
        </w:tc>
        <w:tc>
          <w:tcPr>
            <w:tcW w:w="5260" w:type="dxa"/>
            <w:vAlign w:val="bottom"/>
          </w:tcPr>
          <w:p>
            <w:pPr>
              <w:spacing w:after="0" w:line="195" w:lineRule="exact"/>
              <w:rPr>
                <w:sz w:val="20"/>
                <w:szCs w:val="20"/>
                <w:color w:val="auto"/>
              </w:rPr>
            </w:pPr>
            <w:r>
              <w:rPr>
                <w:rFonts w:ascii="Arial" w:cs="Arial" w:eastAsia="Arial" w:hAnsi="Arial"/>
                <w:sz w:val="18"/>
                <w:szCs w:val="18"/>
                <w:color w:val="auto"/>
              </w:rPr>
              <w:t>Subsidiaries of the Registrant</w:t>
            </w:r>
          </w:p>
        </w:tc>
        <w:tc>
          <w:tcPr>
            <w:tcW w:w="20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w w:val="96"/>
              </w:rPr>
              <w:t>Incorporated by reference to Exhibit 21.1 to Active Power’s Annual</w:t>
            </w:r>
          </w:p>
        </w:tc>
      </w:tr>
      <w:tr>
        <w:trPr>
          <w:trHeight w:val="216"/>
        </w:trPr>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0"/>
              </w:rPr>
              <w:t>Report on Form 10-K for the fiscal year ended December 31, 2006 filed</w:t>
            </w:r>
          </w:p>
        </w:tc>
      </w:tr>
      <w:tr>
        <w:trPr>
          <w:trHeight w:val="222"/>
        </w:trPr>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on May 11, 2007</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Consent of Ernst &amp; Young LLP</w:t>
            </w:r>
          </w:p>
        </w:tc>
        <w:tc>
          <w:tcPr>
            <w:tcW w:w="20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ind w:left="5120" w:right="4100" w:hanging="5112"/>
        <w:spacing w:after="0" w:line="543" w:lineRule="auto"/>
        <w:tabs>
          <w:tab w:leader="none" w:pos="457" w:val="left"/>
        </w:tabs>
        <w:numPr>
          <w:ilvl w:val="0"/>
          <w:numId w:val="14"/>
        </w:numPr>
        <w:rPr>
          <w:rFonts w:ascii="Arial" w:cs="Arial" w:eastAsia="Arial" w:hAnsi="Arial"/>
          <w:sz w:val="16"/>
          <w:szCs w:val="16"/>
          <w:color w:val="auto"/>
        </w:rPr>
      </w:pPr>
      <w:r>
        <w:rPr>
          <w:rFonts w:ascii="Arial" w:cs="Arial" w:eastAsia="Arial" w:hAnsi="Arial"/>
          <w:sz w:val="16"/>
          <w:szCs w:val="16"/>
          <w:color w:val="auto"/>
        </w:rPr>
        <w:t>Portions of this exhibit have been omitted pursuant to a confidential treatment previously granted. Exhibit Index-III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5.1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OPINION OF ANDREWS KURTH LLP</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September 12, 2007</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2128 W. Braker Lane, BK 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Austin, Texas 78758</w:t>
      </w:r>
    </w:p>
    <w:p>
      <w:pPr>
        <w:spacing w:after="0" w:line="20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5"/>
          <w:szCs w:val="15"/>
          <w:color w:val="auto"/>
        </w:rPr>
        <w:t>Active Power, Inc. Registration Statement on Form S-1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have acted as counsel to Active Power,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the preparation and filing of its Registration Statement on Form S-1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filed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pursuant to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in connection with the resale of up to 10,000,000 shares (the “</w:t>
      </w:r>
      <w:r>
        <w:rPr>
          <w:rFonts w:ascii="Arial" w:cs="Arial" w:eastAsia="Arial" w:hAnsi="Arial"/>
          <w:sz w:val="16"/>
          <w:szCs w:val="16"/>
          <w:u w:val="single" w:color="auto"/>
          <w:color w:val="auto"/>
        </w:rPr>
        <w:t>Shares</w:t>
      </w:r>
      <w:r>
        <w:rPr>
          <w:rFonts w:ascii="Arial" w:cs="Arial" w:eastAsia="Arial" w:hAnsi="Arial"/>
          <w:sz w:val="16"/>
          <w:szCs w:val="16"/>
          <w:color w:val="auto"/>
        </w:rPr>
        <w:t>”) of the Company’s common stock, par value $0.001 per share (“</w:t>
      </w:r>
      <w:r>
        <w:rPr>
          <w:rFonts w:ascii="Arial" w:cs="Arial" w:eastAsia="Arial" w:hAnsi="Arial"/>
          <w:sz w:val="16"/>
          <w:szCs w:val="16"/>
          <w:u w:val="single" w:color="auto"/>
          <w:color w:val="auto"/>
        </w:rPr>
        <w:t>Common Stock</w:t>
      </w:r>
      <w:r>
        <w:rPr>
          <w:rFonts w:ascii="Arial" w:cs="Arial" w:eastAsia="Arial" w:hAnsi="Arial"/>
          <w:sz w:val="16"/>
          <w:szCs w:val="16"/>
          <w:color w:val="auto"/>
        </w:rPr>
        <w:t>”), proposed to be offered by the selling stockholders named therein.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opinion is being furnished in accordance with the requirements of Item 601(b)(5) of Regulation S-K under the Securities Act.</w:t>
      </w:r>
    </w:p>
    <w:p>
      <w:pPr>
        <w:spacing w:after="0" w:line="171"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In connection with this opinion, we have examined originals or copies, certified or otherwise identified to our satisfaction, of (i) the Restated Certificate of Incorporation of the Company on file with the Secretary of State of the State of Delaware (the “</w:t>
      </w:r>
      <w:r>
        <w:rPr>
          <w:rFonts w:ascii="Arial" w:cs="Arial" w:eastAsia="Arial" w:hAnsi="Arial"/>
          <w:sz w:val="15"/>
          <w:szCs w:val="15"/>
          <w:u w:val="single" w:color="auto"/>
          <w:color w:val="auto"/>
        </w:rPr>
        <w:t>Certificate of Incorporation</w:t>
      </w:r>
      <w:r>
        <w:rPr>
          <w:rFonts w:ascii="Arial" w:cs="Arial" w:eastAsia="Arial" w:hAnsi="Arial"/>
          <w:sz w:val="15"/>
          <w:szCs w:val="15"/>
          <w:color w:val="auto"/>
        </w:rPr>
        <w:t>”), (ii) the Second Amended and Restated Bylaws of the Company as in effect on the date hereof and at the time of the adoption of the resolutions by the Board of Directors approving the issuance of the Shares, as certified to us by a Company officer, (iii) certain resolutions of the Board of Directors of the Company, as certified to us by a Company officer,</w:t>
      </w:r>
    </w:p>
    <w:p>
      <w:pPr>
        <w:spacing w:after="0" w:line="3" w:lineRule="exact"/>
        <w:rPr>
          <w:sz w:val="20"/>
          <w:szCs w:val="20"/>
          <w:color w:val="auto"/>
        </w:rPr>
      </w:pPr>
    </w:p>
    <w:p>
      <w:pPr>
        <w:ind w:right="220" w:firstLine="8"/>
        <w:spacing w:after="0" w:line="254" w:lineRule="auto"/>
        <w:tabs>
          <w:tab w:leader="none" w:pos="297"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specimen certificate representing the Common Stock, and (v) such other documents and records as we have deemed necessary and relevant for purposes hereof. We have relied upon certificates of public officials and officers of the Company as to certain matters of fact relating to this opinion and have made such investigations of law as we have deemed necessary and relevant as a basis hereof. As to all matters of fact material to such opinion, we have relied upon representations of officers of the Company.</w:t>
      </w:r>
    </w:p>
    <w:p>
      <w:pPr>
        <w:spacing w:after="0" w:line="14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our examination, we have assumed and have not independently established or verified (i) the genuineness of all signatures, (ii) the legal capacity of all natural persons, (iii) the authenticity of all documents submitted to us as originals, and (iv) the conformity to the authentic originals of all documents supplied to us as certified, conformed, photostatic or faxed copies. In rendering the opinion set forth below, we have assumed that the certificate or certificates evidencing the Shares will be manually signed by one of the authorized officers of</w:t>
      </w:r>
    </w:p>
    <w:p>
      <w:pPr>
        <w:sectPr>
          <w:pgSz w:w="11900" w:h="16838" w:orient="portrait"/>
          <w:cols w:equalWidth="0" w:num="1">
            <w:col w:w="11420"/>
          </w:cols>
          <w:pgMar w:left="240" w:top="12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September 12, 2007</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transfer agent and registrar for the Shares and registered by such transfer agent and will conform to the specimen stock certificate examined by us evidencing the Common Stock. Our opinion below assumes that with respect to all Shares to be issued, all requisite steps will be taken to comply with applicable requirements of state laws regulating the offer and sale of securities.</w:t>
      </w:r>
    </w:p>
    <w:p>
      <w:pPr>
        <w:spacing w:after="0" w:line="14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Based upon the foregoing, and subject to the limitations and assumptions set forth herein, and having due regard for such legal considerations as we deem relevant, we are of the opinion that the Shares have been duly authorized and will be, upon issuance, validly issued, fully paid and non-assessable.</w:t>
      </w:r>
    </w:p>
    <w:p>
      <w:pPr>
        <w:spacing w:after="0" w:line="8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foregoing opinion is based on and is limited to the General Corporation Law of the State of Delaware, and we render no opinion with respect to the laws of any other jurisdiction.</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hereby consent to the filing of this opinion as an exhibit to the Registration Statement. We also consent to the reference to our firm under the caption “Legal Matters” in the Registration Statement and the prospectus which forms a part thereof. In giving these consents, we do not thereby admit that we are within the category of persons whose consent is required under Section 7 of the Securities Act or the rules and regulations issued thereunder.</w:t>
      </w:r>
    </w:p>
    <w:p>
      <w:pPr>
        <w:spacing w:after="0" w:line="10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This opinion is expressed as of the date hereof, and we disclaim any undertaking to advise you of any subsequent changes in the facts stated or assumed herein, or of any subsequent changes in applicable law. This opinion is intended solely for your use as an exhibit to the Registration Statement for the purpose of the above-referenced registered re-sale of Shares and is not intended to be relied upon by any other person or for any other purpose.</w:t>
      </w:r>
    </w:p>
    <w:p>
      <w:pPr>
        <w:spacing w:after="0" w:line="10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33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Andrews Kurth LLP</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ANDREWS KURTH LLP</w:t>
      </w:r>
    </w:p>
    <w:p>
      <w:pPr>
        <w:sectPr>
          <w:pgSz w:w="11900" w:h="16838" w:orient="portrait"/>
          <w:cols w:equalWidth="0" w:num="1">
            <w:col w:w="11360"/>
          </w:cols>
          <w:pgMar w:left="240" w:top="280" w:right="29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10.19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PURCHASE AGREEMENT</w:t>
      </w:r>
    </w:p>
    <w:p>
      <w:pPr>
        <w:spacing w:after="0" w:line="177" w:lineRule="exact"/>
        <w:rPr>
          <w:sz w:val="20"/>
          <w:szCs w:val="20"/>
          <w:color w:val="auto"/>
        </w:rPr>
      </w:pPr>
    </w:p>
    <w:p>
      <w:pPr>
        <w:jc w:val="both"/>
        <w:ind w:right="760" w:firstLine="456"/>
        <w:spacing w:after="0" w:line="259" w:lineRule="auto"/>
        <w:rPr>
          <w:sz w:val="20"/>
          <w:szCs w:val="20"/>
          <w:color w:val="auto"/>
        </w:rPr>
      </w:pPr>
      <w:r>
        <w:rPr>
          <w:rFonts w:ascii="Arial" w:cs="Arial" w:eastAsia="Arial" w:hAnsi="Arial"/>
          <w:sz w:val="18"/>
          <w:szCs w:val="18"/>
          <w:color w:val="auto"/>
        </w:rPr>
        <w:t>This Securities Purchase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as of August 13, 2007, between Active Power,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each purchaser identified on the signature pages hereto (each, including its successors and assigns, a “</w:t>
      </w:r>
      <w:r>
        <w:rPr>
          <w:rFonts w:ascii="Arial" w:cs="Arial" w:eastAsia="Arial" w:hAnsi="Arial"/>
          <w:sz w:val="18"/>
          <w:szCs w:val="18"/>
          <w:u w:val="single" w:color="auto"/>
          <w:color w:val="auto"/>
        </w:rPr>
        <w:t>Purchaser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Purchasers</w:t>
      </w:r>
      <w:r>
        <w:rPr>
          <w:rFonts w:ascii="Arial" w:cs="Arial" w:eastAsia="Arial" w:hAnsi="Arial"/>
          <w:sz w:val="18"/>
          <w:szCs w:val="18"/>
          <w:color w:val="auto"/>
        </w:rPr>
        <w:t>”).</w:t>
      </w:r>
    </w:p>
    <w:p>
      <w:pPr>
        <w:spacing w:after="0" w:line="14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WHEREAS, subject to the terms and conditions set forth in this Agreement and pursuant to Section 4(2) of the Securities Act (as defined below) and Rule 506 promulgated thereunder, the Company desires to issue and sell to each Purchaser, and each Purchaser, severally and not jointly, desires to purchase from the Company, securities of the Company as more fully described in this Agreement.</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16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In addition to the terms defined elsewhere in this Agreement, for all purposes of this Agreement, the following terms have the meanings set forth in this Section 1.1:</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shall have the meaning ascribed to such term in Section 3.1(j).</w:t>
      </w:r>
    </w:p>
    <w:p>
      <w:pPr>
        <w:spacing w:after="0" w:line="90" w:lineRule="exact"/>
        <w:rPr>
          <w:sz w:val="20"/>
          <w:szCs w:val="20"/>
          <w:color w:val="auto"/>
        </w:rPr>
      </w:pPr>
    </w:p>
    <w:p>
      <w:pPr>
        <w:ind w:left="460" w:right="12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 With respect to a Purchaser, any investment fund or managed account that is managed on a discretionary basis by the same investment manager as such Purchaser will be deemed to be an Affiliate of such Purchaser.</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pacing w:after="0" w:line="90" w:lineRule="exact"/>
        <w:rPr>
          <w:sz w:val="20"/>
          <w:szCs w:val="20"/>
          <w:color w:val="auto"/>
        </w:rPr>
      </w:pPr>
    </w:p>
    <w:p>
      <w:pPr>
        <w:ind w:left="460" w:right="1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means the closing of the purchase and sale of the Shares pursuant to Section 2.1.</w:t>
      </w:r>
    </w:p>
    <w:p>
      <w:pPr>
        <w:spacing w:after="0" w:line="90" w:lineRule="exact"/>
        <w:rPr>
          <w:sz w:val="20"/>
          <w:szCs w:val="20"/>
          <w:color w:val="auto"/>
        </w:rPr>
      </w:pPr>
    </w:p>
    <w:p>
      <w:pPr>
        <w:ind w:left="460" w:right="2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Trading Day when all of the Transaction Documents have been executed and delivered by the applicable parties thereto, and all conditions precedent to (i) the Purchasers’ obligations to pay the Subscription Amount and (ii) the Company’s obligations to deliver the Shares have been satisfied or waived.</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Securities and Exchange Commission.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26" w:name="page27"/>
    <w:bookmarkEnd w:id="26"/>
    <w:p>
      <w:pPr>
        <w:ind w:right="16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 par value $0.001 per share, together with the associated Rights, and any other class of securities into which such securities may hereafter be reclassified or changed into.</w:t>
      </w:r>
    </w:p>
    <w:p>
      <w:pPr>
        <w:spacing w:after="0" w:line="51" w:lineRule="exact"/>
        <w:rPr>
          <w:sz w:val="20"/>
          <w:szCs w:val="20"/>
          <w:color w:val="auto"/>
        </w:rPr>
      </w:pPr>
    </w:p>
    <w:p>
      <w:pPr>
        <w:jc w:val="both"/>
        <w:ind w:right="8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 Equivalents</w:t>
      </w:r>
      <w:r>
        <w:rPr>
          <w:rFonts w:ascii="Arial" w:cs="Arial" w:eastAsia="Arial" w:hAnsi="Arial"/>
          <w:sz w:val="18"/>
          <w:szCs w:val="18"/>
          <w:color w:val="auto"/>
        </w:rPr>
        <w:t>” means any securities of the Company or the Subsidiaries which would entitle the holder thereof to acquire at any time Common Stock, including, without limitation, any debt, preferred stock, rights, options, warrants or other instrument that is at any time convertible into or exercisable or exchangeable for, or otherwise entitles the holder thereof to receive, Common Stock.</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Counsel</w:t>
      </w:r>
      <w:r>
        <w:rPr>
          <w:rFonts w:ascii="Arial" w:cs="Arial" w:eastAsia="Arial" w:hAnsi="Arial"/>
          <w:sz w:val="18"/>
          <w:szCs w:val="18"/>
          <w:color w:val="auto"/>
        </w:rPr>
        <w:t>” means Andrews Kurth LLP, with offices located at 111 Congress Avenue, Suite 1700, Austin, TX 78701.</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Schedules</w:t>
      </w:r>
      <w:r>
        <w:rPr>
          <w:rFonts w:ascii="Arial" w:cs="Arial" w:eastAsia="Arial" w:hAnsi="Arial"/>
          <w:sz w:val="18"/>
          <w:szCs w:val="18"/>
          <w:color w:val="auto"/>
        </w:rPr>
        <w:t>” means the Disclosure Schedules of the Company delivered concurrently herewith.</w:t>
      </w:r>
    </w:p>
    <w:p>
      <w:pPr>
        <w:spacing w:after="0" w:line="90" w:lineRule="exact"/>
        <w:rPr>
          <w:sz w:val="20"/>
          <w:szCs w:val="20"/>
          <w:color w:val="auto"/>
        </w:rPr>
      </w:pPr>
    </w:p>
    <w:p>
      <w:pPr>
        <w:ind w:right="2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date that the initial Registration Statement filed by the Company pursuant to the Registration Rights Agreement is first declared effective by the Commission.</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Evaluation Date</w:t>
      </w:r>
      <w:r>
        <w:rPr>
          <w:rFonts w:ascii="Arial" w:cs="Arial" w:eastAsia="Arial" w:hAnsi="Arial"/>
          <w:sz w:val="18"/>
          <w:szCs w:val="18"/>
          <w:color w:val="auto"/>
        </w:rPr>
        <w:t>” shall have the meaning ascribed to such term in Section 3.1(r).</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90" w:lineRule="exact"/>
        <w:rPr>
          <w:sz w:val="20"/>
          <w:szCs w:val="20"/>
          <w:color w:val="auto"/>
        </w:rPr>
      </w:pPr>
    </w:p>
    <w:p>
      <w:pPr>
        <w:ind w:firstLine="438"/>
        <w:spacing w:after="0" w:line="286" w:lineRule="auto"/>
        <w:rPr>
          <w:sz w:val="20"/>
          <w:szCs w:val="20"/>
          <w:color w:val="auto"/>
        </w:rPr>
      </w:pPr>
      <w:r>
        <w:rPr>
          <w:rFonts w:ascii="Arial" w:cs="Arial" w:eastAsia="Arial" w:hAnsi="Arial"/>
          <w:sz w:val="16"/>
          <w:szCs w:val="16"/>
          <w:color w:val="auto"/>
        </w:rPr>
        <w:t>“Exempt Issuance” means the issuance of (a) shares of Common Stock or options to employees, officers, directors of the Company or others providing services to the Company pursuant to the Company’s 2000 Stock Incentive Plan, as amended (the “Stock Incentive Plan”), or pursuant to any stock or option plan or agreement duly adopted for such purpose, by a majority of the non-employee members of the Board of Directors or a majority of the members of a committee of non-employee directors established for such purpose, (b) securities upon the exercise or exchange of or conversion of any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exchange or conversion price of such securities, and (c) securities issued pursuant to acquisitions or strategic transactions approved by a majority of the disinterested directors of the Company, provided that any such issuance shall only be to a Person which is, itself or through its subsidiaries, and in good faith judgment of the Board of Directors, an operating company in a business synergistic with the business of the Company and in which the Company receives benefits in addition to the investment of funds, but shall not include a transaction in which the Company is issuing securities primarily for the purpose of raising capital or to an entity whose primary business is investing in securities.</w:t>
      </w:r>
    </w:p>
    <w:p>
      <w:pPr>
        <w:spacing w:after="0" w:line="46" w:lineRule="exact"/>
        <w:rPr>
          <w:sz w:val="20"/>
          <w:szCs w:val="20"/>
          <w:color w:val="auto"/>
        </w:rPr>
      </w:pPr>
    </w:p>
    <w:p>
      <w:pPr>
        <w:jc w:val="center"/>
        <w:ind w:right="40"/>
        <w:spacing w:after="0" w:line="44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FWS</w:t>
      </w:r>
      <w:r>
        <w:rPr>
          <w:rFonts w:ascii="Arial" w:cs="Arial" w:eastAsia="Arial" w:hAnsi="Arial"/>
          <w:sz w:val="18"/>
          <w:szCs w:val="18"/>
          <w:color w:val="auto"/>
        </w:rPr>
        <w:t>” means Feldman Weinstein &amp; Smith LLP with offices located at 420 Lexington Avenue, Suite 2620, New York, New York 10170-0002. 2</w:t>
      </w:r>
    </w:p>
    <w:p>
      <w:pPr>
        <w:sectPr>
          <w:pgSz w:w="11900" w:h="16838" w:orient="portrait"/>
          <w:cols w:equalWidth="0" w:num="1">
            <w:col w:w="10960"/>
          </w:cols>
          <w:pgMar w:left="700" w:top="280" w:right="239" w:bottom="1440" w:gutter="0" w:footer="0" w:header="0"/>
        </w:sectPr>
      </w:pPr>
    </w:p>
    <w:bookmarkStart w:id="27" w:name="page28"/>
    <w:bookmarkEnd w:id="2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GAAP</w:t>
      </w:r>
      <w:r>
        <w:rPr>
          <w:rFonts w:ascii="Arial" w:cs="Arial" w:eastAsia="Arial" w:hAnsi="Arial"/>
          <w:sz w:val="18"/>
          <w:szCs w:val="18"/>
          <w:color w:val="auto"/>
        </w:rPr>
        <w:t>” shall have the meaning ascribed to such term in Section 3.1(h).</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shall have the meaning ascribed to such term in Section 3.1(aa).</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 shall have the meaning ascribed to such term in Section 3.1(o).</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Legend Removal Date</w:t>
      </w:r>
      <w:r>
        <w:rPr>
          <w:rFonts w:ascii="Arial" w:cs="Arial" w:eastAsia="Arial" w:hAnsi="Arial"/>
          <w:sz w:val="18"/>
          <w:szCs w:val="18"/>
          <w:color w:val="auto"/>
        </w:rPr>
        <w:t>” shall have the meaning ascribed to such term in Section 4.1(c).</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Liens</w:t>
      </w:r>
      <w:r>
        <w:rPr>
          <w:rFonts w:ascii="Arial" w:cs="Arial" w:eastAsia="Arial" w:hAnsi="Arial"/>
          <w:sz w:val="18"/>
          <w:szCs w:val="18"/>
          <w:color w:val="auto"/>
        </w:rPr>
        <w:t>” means a lien, charge, security interest, encumbrance, right of first refusal, preemptive right or other restriction.</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shall have the meaning assigned to such term in Section 3.1(b).</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Permits</w:t>
      </w:r>
      <w:r>
        <w:rPr>
          <w:rFonts w:ascii="Arial" w:cs="Arial" w:eastAsia="Arial" w:hAnsi="Arial"/>
          <w:sz w:val="18"/>
          <w:szCs w:val="18"/>
          <w:color w:val="auto"/>
        </w:rPr>
        <w:t>” shall have the meaning ascribed to such term in Section 3.1(m).</w:t>
      </w:r>
    </w:p>
    <w:p>
      <w:pPr>
        <w:spacing w:after="0" w:line="90" w:lineRule="exact"/>
        <w:rPr>
          <w:sz w:val="20"/>
          <w:szCs w:val="20"/>
          <w:color w:val="auto"/>
        </w:rPr>
      </w:pPr>
    </w:p>
    <w:p>
      <w:pPr>
        <w:ind w:right="1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Share Purchase Price</w:t>
      </w:r>
      <w:r>
        <w:rPr>
          <w:rFonts w:ascii="Arial" w:cs="Arial" w:eastAsia="Arial" w:hAnsi="Arial"/>
          <w:sz w:val="18"/>
          <w:szCs w:val="18"/>
          <w:color w:val="auto"/>
        </w:rPr>
        <w:t>” equals $1.40, subject to adjustment for reverse and forward stock splits, stock dividends, stock combinations and other similar transactions of the Common Stock that occur after the date of this Agreement.</w:t>
      </w:r>
    </w:p>
    <w:p>
      <w:pPr>
        <w:spacing w:after="0" w:line="51" w:lineRule="exact"/>
        <w:rPr>
          <w:sz w:val="20"/>
          <w:szCs w:val="20"/>
          <w:color w:val="auto"/>
        </w:rPr>
      </w:pPr>
    </w:p>
    <w:p>
      <w:pPr>
        <w:ind w:right="180" w:firstLine="43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w:t>
      </w:r>
      <w:r>
        <w:rPr>
          <w:rFonts w:ascii="Arial" w:cs="Arial" w:eastAsia="Arial" w:hAnsi="Arial"/>
          <w:sz w:val="16"/>
          <w:szCs w:val="16"/>
          <w:color w:val="auto"/>
        </w:rPr>
        <w:t>” means (i) any Lien for taxes not yet due or delinquent or being contested in good faith by appropriate proceedings for which adequate reserves have been established in accordance with GAAP; (ii) any statutory Lien arising in the ordinary course of business by operation of law with respect to a liability that is not yet due or delinquent; (iii) any minor imperfection of title or similar Lien which individually or in the aggregate with other such Liens does not materially impair the value of the property subject to such Lien or the use of such property in the conduct of the Company’s business; and (iv) a security interest in all the Company’s properties’ assets given in favor of Silicon Valley Bank.</w:t>
      </w:r>
    </w:p>
    <w:p>
      <w:pPr>
        <w:spacing w:after="0" w:line="35" w:lineRule="exact"/>
        <w:rPr>
          <w:sz w:val="20"/>
          <w:szCs w:val="20"/>
          <w:color w:val="auto"/>
        </w:rPr>
      </w:pPr>
    </w:p>
    <w:p>
      <w:pPr>
        <w:ind w:right="1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51"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 action, claim, suit, investigation or proceeding (including, without limitation, an informal investigation or partial proceeding, such as a deposition), whether commenced or threatened.</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Party</w:t>
      </w:r>
      <w:r>
        <w:rPr>
          <w:rFonts w:ascii="Arial" w:cs="Arial" w:eastAsia="Arial" w:hAnsi="Arial"/>
          <w:sz w:val="18"/>
          <w:szCs w:val="18"/>
          <w:color w:val="auto"/>
        </w:rPr>
        <w:t>” shall have the meaning ascribed to such term in Section 4.8.</w:t>
      </w:r>
    </w:p>
    <w:p>
      <w:pPr>
        <w:spacing w:after="0" w:line="90" w:lineRule="exact"/>
        <w:rPr>
          <w:sz w:val="20"/>
          <w:szCs w:val="20"/>
          <w:color w:val="auto"/>
        </w:rPr>
      </w:pPr>
    </w:p>
    <w:p>
      <w:pPr>
        <w:ind w:right="2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xml:space="preserve">” means the Registration Rights Agreement, dated the date hereof, among the Company and the Purchasers,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700" w:top="280" w:right="279" w:bottom="1440" w:gutter="0" w:footer="0" w:header="0"/>
        </w:sectPr>
      </w:pPr>
    </w:p>
    <w:bookmarkStart w:id="28" w:name="page29"/>
    <w:bookmarkEnd w:id="28"/>
    <w:p>
      <w:pPr>
        <w:ind w:right="20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a registration statement meeting the requirements set forth in the Registration Rights Agreement and covering the resale by the Purchasers of the Shares.</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Approvals</w:t>
      </w:r>
      <w:r>
        <w:rPr>
          <w:rFonts w:ascii="Arial" w:cs="Arial" w:eastAsia="Arial" w:hAnsi="Arial"/>
          <w:sz w:val="18"/>
          <w:szCs w:val="18"/>
          <w:color w:val="auto"/>
        </w:rPr>
        <w:t>” shall have the meaning ascribed to such term in Section 3.1(e).</w:t>
      </w:r>
    </w:p>
    <w:p>
      <w:pPr>
        <w:spacing w:after="0" w:line="90"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Rights</w:t>
      </w:r>
      <w:r>
        <w:rPr>
          <w:rFonts w:ascii="Arial" w:cs="Arial" w:eastAsia="Arial" w:hAnsi="Arial"/>
          <w:sz w:val="18"/>
          <w:szCs w:val="18"/>
          <w:color w:val="auto"/>
        </w:rPr>
        <w:t>” shall mean the Company’s preferred share purchase rights pursuant to that certain Rights Agreement dated December 13, 2001, as amended or restated from time to time.</w:t>
      </w:r>
    </w:p>
    <w:p>
      <w:pPr>
        <w:spacing w:after="0" w:line="51" w:lineRule="exact"/>
        <w:rPr>
          <w:sz w:val="20"/>
          <w:szCs w:val="20"/>
          <w:color w:val="auto"/>
        </w:rPr>
      </w:pPr>
    </w:p>
    <w:p>
      <w:pPr>
        <w:ind w:right="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means Rule 144 promulgated by the Commission pursuant to the Securities Act, as such Rule may be amended from time to time, or any similar rule or regulation hereafter adopted by the Commission having substantially the same effect as such Rule.</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Reports</w:t>
      </w:r>
      <w:r>
        <w:rPr>
          <w:rFonts w:ascii="Arial" w:cs="Arial" w:eastAsia="Arial" w:hAnsi="Arial"/>
          <w:sz w:val="18"/>
          <w:szCs w:val="18"/>
          <w:color w:val="auto"/>
        </w:rPr>
        <w:t>” shall have the meaning ascribed to such term in Section 3.1(h).</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the shares of Common Stock issued or issuable to each Purchaser pursuant to this Agreement.</w:t>
      </w:r>
    </w:p>
    <w:p>
      <w:pPr>
        <w:spacing w:after="0" w:line="90" w:lineRule="exact"/>
        <w:rPr>
          <w:sz w:val="20"/>
          <w:szCs w:val="20"/>
          <w:color w:val="auto"/>
        </w:rPr>
      </w:pPr>
    </w:p>
    <w:p>
      <w:pPr>
        <w:ind w:right="3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Short Sales</w:t>
      </w:r>
      <w:r>
        <w:rPr>
          <w:rFonts w:ascii="Arial" w:cs="Arial" w:eastAsia="Arial" w:hAnsi="Arial"/>
          <w:sz w:val="18"/>
          <w:szCs w:val="18"/>
          <w:color w:val="auto"/>
        </w:rPr>
        <w:t>” means all “short sales” as defined in Rule 200 of Regulation SHO under the Exchange Act (but shall not be deemed to include the location and/or reservation of borrowable shares of Common Stock).</w:t>
      </w:r>
    </w:p>
    <w:p>
      <w:pPr>
        <w:spacing w:after="0" w:line="51" w:lineRule="exact"/>
        <w:rPr>
          <w:sz w:val="20"/>
          <w:szCs w:val="20"/>
          <w:color w:val="auto"/>
        </w:rPr>
      </w:pPr>
    </w:p>
    <w:p>
      <w:pPr>
        <w:ind w:right="30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Subscription Amount</w:t>
      </w:r>
      <w:r>
        <w:rPr>
          <w:rFonts w:ascii="Arial" w:cs="Arial" w:eastAsia="Arial" w:hAnsi="Arial"/>
          <w:sz w:val="18"/>
          <w:szCs w:val="18"/>
          <w:color w:val="auto"/>
        </w:rPr>
        <w:t>” means, as to each Purchaser, the aggregate amount to be paid for Shares purchased hereunder as specified below such Purchaser’s name on the signature page of this Agreement and next to the heading “Subscription Amount,” in United States dollars and in immediately available funds.</w:t>
      </w:r>
    </w:p>
    <w:p>
      <w:pPr>
        <w:spacing w:after="0" w:line="59" w:lineRule="exact"/>
        <w:rPr>
          <w:sz w:val="20"/>
          <w:szCs w:val="20"/>
          <w:color w:val="auto"/>
        </w:rPr>
      </w:pPr>
    </w:p>
    <w:p>
      <w:pPr>
        <w:ind w:right="5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xml:space="preserve">” means any subsidiary of the Company as set forth on </w:t>
      </w:r>
      <w:r>
        <w:rPr>
          <w:rFonts w:ascii="Arial" w:cs="Arial" w:eastAsia="Arial" w:hAnsi="Arial"/>
          <w:sz w:val="18"/>
          <w:szCs w:val="18"/>
          <w:u w:val="single" w:color="auto"/>
          <w:color w:val="auto"/>
        </w:rPr>
        <w:t>Schedule 3.1(a)</w:t>
      </w:r>
      <w:r>
        <w:rPr>
          <w:rFonts w:ascii="Arial" w:cs="Arial" w:eastAsia="Arial" w:hAnsi="Arial"/>
          <w:sz w:val="18"/>
          <w:szCs w:val="18"/>
          <w:color w:val="auto"/>
        </w:rPr>
        <w:t>, and shall, where applicable, include any subsidiary of the Company formed or acquired after the date hereof.</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New York Stock Exchange is open for trading.</w:t>
      </w:r>
    </w:p>
    <w:p>
      <w:pPr>
        <w:spacing w:after="0" w:line="90" w:lineRule="exact"/>
        <w:rPr>
          <w:sz w:val="20"/>
          <w:szCs w:val="20"/>
          <w:color w:val="auto"/>
        </w:rPr>
      </w:pPr>
    </w:p>
    <w:p>
      <w:pPr>
        <w:ind w:right="6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Trading Market</w:t>
      </w:r>
      <w:r>
        <w:rPr>
          <w:rFonts w:ascii="Arial" w:cs="Arial" w:eastAsia="Arial" w:hAnsi="Arial"/>
          <w:sz w:val="16"/>
          <w:szCs w:val="16"/>
          <w:color w:val="auto"/>
        </w:rPr>
        <w:t>” means the following markets or exchanges on which the Common Stock is listed or quoted for trading on the date in question: the American Stock Exchange, the Nasdaq Capital Market, the Nasdaq Global Market, the Nasdaq Global Select Market, or the New York Stock Exchange.</w:t>
      </w:r>
    </w:p>
    <w:p>
      <w:pPr>
        <w:spacing w:after="0" w:line="4" w:lineRule="exact"/>
        <w:rPr>
          <w:sz w:val="20"/>
          <w:szCs w:val="20"/>
          <w:color w:val="auto"/>
        </w:rPr>
      </w:pPr>
    </w:p>
    <w:p>
      <w:pPr>
        <w:ind w:right="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this Agreement, the Registration Rights Agreement and any other documents or agreements executed in connection with the transactions contemplated hereunder.</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700" w:top="280" w:right="279" w:bottom="1440" w:gutter="0" w:footer="0" w:header="0"/>
        </w:sectPr>
      </w:pPr>
    </w:p>
    <w:bookmarkStart w:id="29" w:name="page30"/>
    <w:bookmarkEnd w:id="29"/>
    <w:p>
      <w:pPr>
        <w:ind w:left="460" w:right="20" w:firstLine="438"/>
        <w:spacing w:after="0" w:line="33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7"/>
          <w:szCs w:val="17"/>
          <w:u w:val="single" w:color="auto"/>
          <w:color w:val="auto"/>
        </w:rPr>
        <w:t>Transfer Agent</w:t>
      </w:r>
      <w:r>
        <w:rPr>
          <w:rFonts w:ascii="Arial" w:cs="Arial" w:eastAsia="Arial" w:hAnsi="Arial"/>
          <w:sz w:val="17"/>
          <w:szCs w:val="17"/>
          <w:color w:val="auto"/>
        </w:rPr>
        <w:t>” means American Stock Transfer &amp; Trust Company, the current transfer agent of the Company, with a mailing address of 6201 15</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Avenue, 3</w:t>
      </w:r>
      <w:r>
        <w:rPr>
          <w:rFonts w:ascii="Arial" w:cs="Arial" w:eastAsia="Arial" w:hAnsi="Arial"/>
          <w:sz w:val="21"/>
          <w:szCs w:val="21"/>
          <w:color w:val="auto"/>
          <w:vertAlign w:val="superscript"/>
        </w:rPr>
        <w:t>rd</w:t>
      </w:r>
      <w:r>
        <w:rPr>
          <w:rFonts w:ascii="Arial" w:cs="Arial" w:eastAsia="Arial" w:hAnsi="Arial"/>
          <w:sz w:val="17"/>
          <w:szCs w:val="17"/>
          <w:color w:val="auto"/>
        </w:rPr>
        <w:t xml:space="preserve"> Floor, Brooklyn, NY 11219 and a facsimile number of 718-921-8327, and any successor transfer agent of the Company.</w:t>
      </w:r>
    </w:p>
    <w:p>
      <w:pPr>
        <w:spacing w:after="0" w:line="1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II.</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PURCHASE AND SALE</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Closing</w:t>
      </w:r>
      <w:r>
        <w:rPr>
          <w:rFonts w:ascii="Arial" w:cs="Arial" w:eastAsia="Arial" w:hAnsi="Arial"/>
          <w:sz w:val="16"/>
          <w:szCs w:val="16"/>
          <w:color w:val="auto"/>
        </w:rPr>
        <w:t>. On the Closing Date, upon the terms and subject to the conditions set forth herein, substantially concurrent with the execution and delivery of this Agreement by the parties hereto, the Company agrees to sell, and the Purchasers, severally and not jointly, agree to purchase, up to an aggregate number of 10,000,000 of Shares (equal to $14,000,000.00 divided by the Per Share Purchase Price), in the individual amounts specified on each Purchaser’s signature page. Each Purchaser shall deliver to the Company, via wire transfer or a certified check, immediately available funds equal to its Subscription Amount and the Company shall deliver to each Purchaser its respective Shares, and the Company and each Purchaser shall deliver the other items set forth in Section 2.2 deliverable at the Closing. Upon satisfaction of the covenants and conditions set forth in Sections 2.2 and 2.3, the Closing shall occur at the offices of FWS or such other location as the parties shall mutually agree.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Deliveries</w:t>
      </w:r>
      <w:r>
        <w:rPr>
          <w:rFonts w:ascii="Arial" w:cs="Arial" w:eastAsia="Arial" w:hAnsi="Arial"/>
          <w:sz w:val="18"/>
          <w:szCs w:val="18"/>
          <w:color w:val="auto"/>
        </w:rPr>
        <w:t>.</w:t>
      </w:r>
    </w:p>
    <w:p>
      <w:pPr>
        <w:spacing w:after="0" w:line="90" w:lineRule="exact"/>
        <w:rPr>
          <w:sz w:val="20"/>
          <w:szCs w:val="20"/>
          <w:color w:val="auto"/>
        </w:rPr>
      </w:pPr>
    </w:p>
    <w:p>
      <w:pPr>
        <w:ind w:left="1140" w:hanging="237"/>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or prior to the Closing Date, the Company shall deliver or cause to be delivered to each Purchaser the following:</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this Agreement duly executed by the Company;</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 xml:space="preserve">a legal opinion of Company Counsel,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w:t>
      </w:r>
    </w:p>
    <w:p>
      <w:pPr>
        <w:spacing w:after="0" w:line="90" w:lineRule="exact"/>
        <w:rPr>
          <w:rFonts w:ascii="Arial" w:cs="Arial" w:eastAsia="Arial" w:hAnsi="Arial"/>
          <w:sz w:val="18"/>
          <w:szCs w:val="18"/>
          <w:color w:val="auto"/>
        </w:rPr>
      </w:pPr>
    </w:p>
    <w:p>
      <w:pPr>
        <w:jc w:val="both"/>
        <w:ind w:left="920" w:right="160" w:firstLine="421"/>
        <w:spacing w:after="0" w:line="259" w:lineRule="auto"/>
        <w:tabs>
          <w:tab w:leader="none" w:pos="1647"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copy of the irrevocable instructions to the Transfer Agent instructing the Transfer Agent to deliver, on an expedited basis, a certificate evidencing a number of Shares equal to such Purchaser’s Subscription Amount divided by the Per Share Purchase Price, registered in the name of such Purchaser;</w:t>
      </w:r>
    </w:p>
    <w:p>
      <w:pPr>
        <w:spacing w:after="0" w:line="59" w:lineRule="exact"/>
        <w:rPr>
          <w:rFonts w:ascii="Arial" w:cs="Arial" w:eastAsia="Arial" w:hAnsi="Arial"/>
          <w:sz w:val="18"/>
          <w:szCs w:val="18"/>
          <w:color w:val="auto"/>
        </w:rPr>
      </w:pPr>
    </w:p>
    <w:p>
      <w:pPr>
        <w:ind w:left="1640" w:hanging="299"/>
        <w:spacing w:after="0"/>
        <w:tabs>
          <w:tab w:leader="none" w:pos="16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Registration Rights Agreement duly executed by the Company;</w:t>
      </w:r>
    </w:p>
    <w:p>
      <w:pPr>
        <w:spacing w:after="0" w:line="90" w:lineRule="exact"/>
        <w:rPr>
          <w:rFonts w:ascii="Arial" w:cs="Arial" w:eastAsia="Arial" w:hAnsi="Arial"/>
          <w:sz w:val="18"/>
          <w:szCs w:val="18"/>
          <w:color w:val="auto"/>
        </w:rPr>
      </w:pPr>
    </w:p>
    <w:p>
      <w:pPr>
        <w:ind w:left="920" w:right="240" w:firstLine="421"/>
        <w:spacing w:after="0" w:line="268" w:lineRule="auto"/>
        <w:tabs>
          <w:tab w:leader="none" w:pos="1588" w:val="left"/>
        </w:tabs>
        <w:numPr>
          <w:ilvl w:val="1"/>
          <w:numId w:val="16"/>
        </w:numPr>
        <w:rPr>
          <w:rFonts w:ascii="Arial" w:cs="Arial" w:eastAsia="Arial" w:hAnsi="Arial"/>
          <w:sz w:val="18"/>
          <w:szCs w:val="18"/>
          <w:color w:val="auto"/>
        </w:rPr>
      </w:pPr>
      <w:r>
        <w:rPr>
          <w:rFonts w:ascii="Arial" w:cs="Arial" w:eastAsia="Arial" w:hAnsi="Arial"/>
          <w:sz w:val="18"/>
          <w:szCs w:val="18"/>
          <w:color w:val="auto"/>
        </w:rPr>
        <w:t>copies of good standing certificates for the Company as of a recent date and certificates of qualification as a foreign corporation for the Company in the State of Texas as of a recent date; and</w:t>
      </w:r>
    </w:p>
    <w:p>
      <w:pPr>
        <w:spacing w:after="0" w:line="50" w:lineRule="exact"/>
        <w:rPr>
          <w:rFonts w:ascii="Arial" w:cs="Arial" w:eastAsia="Arial" w:hAnsi="Arial"/>
          <w:sz w:val="18"/>
          <w:szCs w:val="18"/>
          <w:color w:val="auto"/>
        </w:rPr>
      </w:pPr>
    </w:p>
    <w:p>
      <w:pPr>
        <w:ind w:left="1640" w:hanging="299"/>
        <w:spacing w:after="0"/>
        <w:tabs>
          <w:tab w:leader="none" w:pos="164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 certificate from the Company’s transfer agent as of a recent date certifying the number of shares of Common Stock outstanding.</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or prior to the Closing Date, each Purchaser shall deliver or cause to be delivered to the Company the following:</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this Agreement duly executed by such Purchaser;</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240" w:top="307" w:right="339" w:bottom="1440" w:gutter="0" w:footer="0" w:header="0"/>
        </w:sectPr>
      </w:pPr>
    </w:p>
    <w:bookmarkStart w:id="30" w:name="page31"/>
    <w:bookmarkEnd w:id="30"/>
    <w:p>
      <w:pPr>
        <w:ind w:left="1140" w:hanging="259"/>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Purchaser’s Subscription Amount by wire transfer to the account as specified in writing by the Company; and</w:t>
      </w:r>
    </w:p>
    <w:p>
      <w:pPr>
        <w:spacing w:after="0" w:line="90" w:lineRule="exact"/>
        <w:rPr>
          <w:rFonts w:ascii="Arial" w:cs="Arial" w:eastAsia="Arial" w:hAnsi="Arial"/>
          <w:sz w:val="18"/>
          <w:szCs w:val="18"/>
          <w:color w:val="auto"/>
        </w:rPr>
      </w:pPr>
    </w:p>
    <w:p>
      <w:pPr>
        <w:ind w:left="1180" w:hanging="299"/>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Registration Rights Agreement duly executed by such Purchaser.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Closing Conditions</w:t>
      </w:r>
      <w:r>
        <w:rPr>
          <w:rFonts w:ascii="Arial" w:cs="Arial" w:eastAsia="Arial" w:hAnsi="Arial"/>
          <w:sz w:val="18"/>
          <w:szCs w:val="18"/>
          <w:color w:val="auto"/>
        </w:rPr>
        <w:t>.</w:t>
      </w:r>
    </w:p>
    <w:p>
      <w:pPr>
        <w:spacing w:after="0" w:line="90" w:lineRule="exact"/>
        <w:rPr>
          <w:sz w:val="20"/>
          <w:szCs w:val="20"/>
          <w:color w:val="auto"/>
        </w:rPr>
      </w:pPr>
    </w:p>
    <w:p>
      <w:pPr>
        <w:ind w:left="680" w:hanging="237"/>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obligations of the Company hereunder in connection with the Closing are subject to the following conditions being met:</w:t>
      </w:r>
    </w:p>
    <w:p>
      <w:pPr>
        <w:spacing w:after="0" w:line="90" w:lineRule="exact"/>
        <w:rPr>
          <w:rFonts w:ascii="Arial" w:cs="Arial" w:eastAsia="Arial" w:hAnsi="Arial"/>
          <w:sz w:val="18"/>
          <w:szCs w:val="18"/>
          <w:color w:val="auto"/>
        </w:rPr>
      </w:pPr>
    </w:p>
    <w:p>
      <w:pPr>
        <w:ind w:left="1100" w:hanging="219"/>
        <w:spacing w:after="0"/>
        <w:tabs>
          <w:tab w:leader="none" w:pos="11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the accuracy when made and on the Closing Date of the representations and warranties of the Purchasers contained herein;</w:t>
      </w:r>
    </w:p>
    <w:p>
      <w:pPr>
        <w:spacing w:after="0" w:line="113" w:lineRule="exact"/>
        <w:rPr>
          <w:rFonts w:ascii="Arial" w:cs="Arial" w:eastAsia="Arial" w:hAnsi="Arial"/>
          <w:sz w:val="16"/>
          <w:szCs w:val="16"/>
          <w:color w:val="auto"/>
        </w:rPr>
      </w:pPr>
    </w:p>
    <w:p>
      <w:pPr>
        <w:ind w:left="460" w:right="440" w:firstLine="421"/>
        <w:spacing w:after="0" w:line="268" w:lineRule="auto"/>
        <w:tabs>
          <w:tab w:leader="none" w:pos="113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obligations, covenants and agreements of each Purchaser required to be performed at or prior to the Closing Date shall have been performed; and</w:t>
      </w:r>
    </w:p>
    <w:p>
      <w:pPr>
        <w:spacing w:after="0" w:line="50" w:lineRule="exact"/>
        <w:rPr>
          <w:rFonts w:ascii="Arial" w:cs="Arial" w:eastAsia="Arial" w:hAnsi="Arial"/>
          <w:sz w:val="18"/>
          <w:szCs w:val="18"/>
          <w:color w:val="auto"/>
        </w:rPr>
      </w:pPr>
    </w:p>
    <w:p>
      <w:pPr>
        <w:ind w:left="1180" w:hanging="299"/>
        <w:spacing w:after="0"/>
        <w:tabs>
          <w:tab w:leader="none" w:pos="11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delivery by each Purchaser of the items set forth in Section 2.2(b) of this Agreement.</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respective obligations of the Purchasers hereunder in connection with the Closing are subject to the following conditions being met:</w:t>
      </w:r>
    </w:p>
    <w:p>
      <w:pPr>
        <w:spacing w:after="0" w:line="113" w:lineRule="exact"/>
        <w:rPr>
          <w:rFonts w:ascii="Arial" w:cs="Arial" w:eastAsia="Arial" w:hAnsi="Arial"/>
          <w:sz w:val="16"/>
          <w:szCs w:val="16"/>
          <w:color w:val="auto"/>
        </w:rPr>
      </w:pPr>
    </w:p>
    <w:p>
      <w:pPr>
        <w:ind w:left="1100" w:hanging="219"/>
        <w:spacing w:after="0"/>
        <w:tabs>
          <w:tab w:leader="none" w:pos="11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accuracy when made and on the Closing Date of the representations and warranties of the Company contained herein;</w:t>
      </w:r>
    </w:p>
    <w:p>
      <w:pPr>
        <w:spacing w:after="0" w:line="90" w:lineRule="exact"/>
        <w:rPr>
          <w:rFonts w:ascii="Arial" w:cs="Arial" w:eastAsia="Arial" w:hAnsi="Arial"/>
          <w:sz w:val="18"/>
          <w:szCs w:val="18"/>
          <w:color w:val="auto"/>
        </w:rPr>
      </w:pPr>
    </w:p>
    <w:p>
      <w:pPr>
        <w:ind w:left="460" w:right="560" w:firstLine="421"/>
        <w:spacing w:after="0" w:line="268" w:lineRule="auto"/>
        <w:tabs>
          <w:tab w:leader="none" w:pos="113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obligations, covenants and agreements of the Company required to be performed at or prior to the Closing Date shall have been performed;</w:t>
      </w:r>
    </w:p>
    <w:p>
      <w:pPr>
        <w:spacing w:after="0" w:line="50" w:lineRule="exact"/>
        <w:rPr>
          <w:rFonts w:ascii="Arial" w:cs="Arial" w:eastAsia="Arial" w:hAnsi="Arial"/>
          <w:sz w:val="18"/>
          <w:szCs w:val="18"/>
          <w:color w:val="auto"/>
        </w:rPr>
      </w:pPr>
    </w:p>
    <w:p>
      <w:pPr>
        <w:ind w:left="1180" w:hanging="299"/>
        <w:spacing w:after="0"/>
        <w:tabs>
          <w:tab w:leader="none" w:pos="11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delivery by the Company of the items set forth in Section 2.2(a) of this Agreement;</w:t>
      </w:r>
    </w:p>
    <w:p>
      <w:pPr>
        <w:spacing w:after="0" w:line="90" w:lineRule="exact"/>
        <w:rPr>
          <w:rFonts w:ascii="Arial" w:cs="Arial" w:eastAsia="Arial" w:hAnsi="Arial"/>
          <w:sz w:val="18"/>
          <w:szCs w:val="18"/>
          <w:color w:val="auto"/>
        </w:rPr>
      </w:pPr>
    </w:p>
    <w:p>
      <w:pPr>
        <w:ind w:left="1180" w:hanging="299"/>
        <w:spacing w:after="0"/>
        <w:tabs>
          <w:tab w:leader="none" w:pos="11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there shall have been no Material Adverse Effect with respect to the Company since the date hereof; and</w:t>
      </w:r>
    </w:p>
    <w:p>
      <w:pPr>
        <w:spacing w:after="0" w:line="90" w:lineRule="exact"/>
        <w:rPr>
          <w:rFonts w:ascii="Arial" w:cs="Arial" w:eastAsia="Arial" w:hAnsi="Arial"/>
          <w:sz w:val="18"/>
          <w:szCs w:val="18"/>
          <w:color w:val="auto"/>
        </w:rPr>
      </w:pPr>
    </w:p>
    <w:p>
      <w:pPr>
        <w:ind w:left="460" w:firstLine="421"/>
        <w:spacing w:after="0" w:line="289" w:lineRule="auto"/>
        <w:tabs>
          <w:tab w:leader="none" w:pos="1128" w:val="left"/>
        </w:tabs>
        <w:numPr>
          <w:ilvl w:val="1"/>
          <w:numId w:val="18"/>
        </w:numPr>
        <w:rPr>
          <w:rFonts w:ascii="Arial" w:cs="Arial" w:eastAsia="Arial" w:hAnsi="Arial"/>
          <w:sz w:val="16"/>
          <w:szCs w:val="16"/>
          <w:color w:val="auto"/>
        </w:rPr>
      </w:pPr>
      <w:r>
        <w:rPr>
          <w:rFonts w:ascii="Arial" w:cs="Arial" w:eastAsia="Arial" w:hAnsi="Arial"/>
          <w:sz w:val="16"/>
          <w:szCs w:val="16"/>
          <w:color w:val="auto"/>
        </w:rPr>
        <w:t>from the date hereof to the Closing Date, trading in the Common Stock shall not have been suspended by the Commission or the Company’s principal Trading Market (except for any suspension of trading of limited duration agreed to by the Company, which suspension shall be terminated prior to the Closing),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each Purchaser, makes it impracticable or inadvisable to purchase the Shares at the Closing.</w:t>
      </w:r>
    </w:p>
    <w:p>
      <w:pPr>
        <w:spacing w:after="0" w:line="105"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80"/>
          </w:cols>
          <w:pgMar w:left="700" w:top="280" w:right="31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REPRESENTATIONS AND WARRANTIES</w:t>
      </w:r>
    </w:p>
    <w:p>
      <w:pPr>
        <w:spacing w:after="0" w:line="165"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Except as set forth in the Disclosure Schedules, which Disclosure Schedules shall be deemed a part hereof and shall qualify any representation or otherwise made herein to the extent of the disclosure contained in the corresponding section of the Disclosure Schedules, the Company hereby makes the following representations and warranties to each Purchaser:</w:t>
      </w:r>
    </w:p>
    <w:p>
      <w:pPr>
        <w:spacing w:after="0" w:line="26" w:lineRule="exact"/>
        <w:rPr>
          <w:sz w:val="20"/>
          <w:szCs w:val="20"/>
          <w:color w:val="auto"/>
        </w:rPr>
      </w:pPr>
    </w:p>
    <w:p>
      <w:pPr>
        <w:ind w:left="460" w:firstLine="443"/>
        <w:spacing w:after="0" w:line="255" w:lineRule="auto"/>
        <w:tabs>
          <w:tab w:leader="none" w:pos="1137"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All of the direct and indirect subsidiaries of the Company are set forth on </w:t>
      </w:r>
      <w:r>
        <w:rPr>
          <w:rFonts w:ascii="Arial" w:cs="Arial" w:eastAsia="Arial" w:hAnsi="Arial"/>
          <w:sz w:val="18"/>
          <w:szCs w:val="18"/>
          <w:u w:val="single" w:color="auto"/>
          <w:color w:val="auto"/>
        </w:rPr>
        <w:t>Schedule 3.1(a)</w:t>
      </w:r>
      <w:r>
        <w:rPr>
          <w:rFonts w:ascii="Arial" w:cs="Arial" w:eastAsia="Arial" w:hAnsi="Arial"/>
          <w:sz w:val="18"/>
          <w:szCs w:val="18"/>
          <w:color w:val="auto"/>
        </w:rPr>
        <w:t xml:space="preserve"> of the Disclosure Schedules. The Company owns, directly or indirectly, all of the capital stock or other equity interests of each Subsidiary free and clear of any Liens other than Permitted Liens, and all of the issued and outstanding shares of capital stock of each Subsidiary are validly issued and are fully paid, non-assessable and free of preemptive and similar rights to subscribe for or purchase securities. If the Company has no subsidiaries, then all other references to the Subsidiaries or any of them in the Transaction Documents shall be disregarded.</w:t>
      </w:r>
    </w:p>
    <w:p>
      <w:pPr>
        <w:spacing w:after="0" w:line="61" w:lineRule="exact"/>
        <w:rPr>
          <w:rFonts w:ascii="Arial" w:cs="Arial" w:eastAsia="Arial" w:hAnsi="Arial"/>
          <w:sz w:val="18"/>
          <w:szCs w:val="18"/>
          <w:color w:val="auto"/>
        </w:rPr>
      </w:pPr>
    </w:p>
    <w:p>
      <w:pPr>
        <w:ind w:left="460" w:right="40" w:firstLine="443"/>
        <w:spacing w:after="0" w:line="286" w:lineRule="auto"/>
        <w:tabs>
          <w:tab w:leader="none" w:pos="1147"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Organization and Qualification</w:t>
      </w:r>
      <w:r>
        <w:rPr>
          <w:rFonts w:ascii="Arial" w:cs="Arial" w:eastAsia="Arial" w:hAnsi="Arial"/>
          <w:sz w:val="16"/>
          <w:szCs w:val="16"/>
          <w:color w:val="auto"/>
        </w:rPr>
        <w:t>. The Company and each of the Subsidiaries is an entity duly incorporated or otherwise organized, validly existing and in good standing under the laws of the jurisdiction of its incorporation or organization (as applicable), with the requisite power and authority to own and use its properties and assets and to carry on its business as currently conducted. Neither the Company nor any Subsidiary is in violation 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and no Proceeding has been instituted in any such jurisdiction revoking, limiting or curtailing or seeking to revoke, limit or curtail such power and authority or qualification.</w:t>
      </w:r>
    </w:p>
    <w:p>
      <w:pPr>
        <w:spacing w:after="0" w:line="46" w:lineRule="exact"/>
        <w:rPr>
          <w:rFonts w:ascii="Arial" w:cs="Arial" w:eastAsia="Arial" w:hAnsi="Arial"/>
          <w:sz w:val="16"/>
          <w:szCs w:val="16"/>
          <w:color w:val="auto"/>
        </w:rPr>
      </w:pPr>
    </w:p>
    <w:p>
      <w:pPr>
        <w:ind w:left="460" w:right="320" w:firstLine="443"/>
        <w:spacing w:after="0" w:line="306" w:lineRule="auto"/>
        <w:tabs>
          <w:tab w:leader="none" w:pos="1137"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Authorization; Enforcement</w:t>
      </w:r>
      <w:r>
        <w:rPr>
          <w:rFonts w:ascii="Arial" w:cs="Arial" w:eastAsia="Arial" w:hAnsi="Arial"/>
          <w:sz w:val="16"/>
          <w:szCs w:val="16"/>
          <w:color w:val="auto"/>
        </w:rPr>
        <w:t>. The Company has the requisite corporate power and authority to enter into and to consummate the transactions contemplated by each of the Transaction Documents and otherwise to carry out its obligations hereunder and thereunder. The execution and delivery of each of the Transaction Documents by the Company and the consummation by it of the transactions contemplated hereby and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32" w:name="page33"/>
    <w:bookmarkEnd w:id="32"/>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thereby have been duly authorized by all necessary action on the part of the Company and no further action is required by the Company, the Board of Directors or the Company’s stockholders in connection therewith other than in connection with the Required Approvals. Each Transaction Document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37" w:lineRule="exact"/>
        <w:rPr>
          <w:sz w:val="20"/>
          <w:szCs w:val="20"/>
          <w:color w:val="auto"/>
        </w:rPr>
      </w:pPr>
    </w:p>
    <w:p>
      <w:pPr>
        <w:ind w:right="20" w:firstLine="443"/>
        <w:spacing w:after="0" w:line="286" w:lineRule="auto"/>
        <w:tabs>
          <w:tab w:leader="none" w:pos="687"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of the Transaction Documents by the Company, the issuance and sale of the Shares and the consummation by the Company of the other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46" w:lineRule="exact"/>
        <w:rPr>
          <w:rFonts w:ascii="Arial" w:cs="Arial" w:eastAsia="Arial" w:hAnsi="Arial"/>
          <w:sz w:val="16"/>
          <w:szCs w:val="16"/>
          <w:color w:val="auto"/>
        </w:rPr>
      </w:pPr>
    </w:p>
    <w:p>
      <w:pPr>
        <w:ind w:firstLine="443"/>
        <w:spacing w:after="0" w:line="291" w:lineRule="auto"/>
        <w:tabs>
          <w:tab w:leader="none" w:pos="677"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Filings, Consents and Approvals</w:t>
      </w:r>
      <w:r>
        <w:rPr>
          <w:rFonts w:ascii="Arial" w:cs="Arial" w:eastAsia="Arial" w:hAnsi="Arial"/>
          <w:sz w:val="16"/>
          <w:szCs w:val="16"/>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filings required pursuant to Section 4.4 of this Agreement, (ii) the filing with the Commission of the Registration Statement, (iii) application(s) to each applicable Trading Market for the listing of the Shares for trading thereon in the time and manner required thereby, and (iv) the filing of Form D with the Commission and such filings as are required to be made under applicable state securities laws (collectively, the “</w:t>
      </w:r>
      <w:r>
        <w:rPr>
          <w:rFonts w:ascii="Arial" w:cs="Arial" w:eastAsia="Arial" w:hAnsi="Arial"/>
          <w:sz w:val="16"/>
          <w:szCs w:val="16"/>
          <w:u w:val="single" w:color="auto"/>
          <w:color w:val="auto"/>
        </w:rPr>
        <w:t>Required Approvals</w:t>
      </w:r>
      <w:r>
        <w:rPr>
          <w:rFonts w:ascii="Arial" w:cs="Arial" w:eastAsia="Arial" w:hAnsi="Arial"/>
          <w:sz w:val="16"/>
          <w:szCs w:val="16"/>
          <w:color w:val="auto"/>
        </w:rPr>
        <w:t>”).</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80" w:right="239" w:bottom="1440" w:gutter="0" w:footer="0" w:header="0"/>
        </w:sectPr>
      </w:pPr>
    </w:p>
    <w:bookmarkStart w:id="33" w:name="page34"/>
    <w:bookmarkEnd w:id="33"/>
    <w:p>
      <w:pPr>
        <w:ind w:right="160" w:firstLine="443"/>
        <w:spacing w:after="0" w:line="259" w:lineRule="auto"/>
        <w:tabs>
          <w:tab w:leader="none" w:pos="657"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Issuance of the Shares</w:t>
      </w:r>
      <w:r>
        <w:rPr>
          <w:rFonts w:ascii="Arial" w:cs="Arial" w:eastAsia="Arial" w:hAnsi="Arial"/>
          <w:sz w:val="18"/>
          <w:szCs w:val="18"/>
          <w:color w:val="auto"/>
        </w:rPr>
        <w:t>. The Shares are duly authorized and, when issued and paid for in accordance with the applicable Transaction Documents, will be duly and validly issued, fully paid and nonassessable, free and clear of all Liens imposed by the Company other than restrictions on transfer provided for in the Transaction Documents.</w:t>
      </w:r>
    </w:p>
    <w:p>
      <w:pPr>
        <w:spacing w:after="0" w:line="59" w:lineRule="exact"/>
        <w:rPr>
          <w:rFonts w:ascii="Arial" w:cs="Arial" w:eastAsia="Arial" w:hAnsi="Arial"/>
          <w:sz w:val="18"/>
          <w:szCs w:val="18"/>
          <w:color w:val="auto"/>
        </w:rPr>
      </w:pPr>
    </w:p>
    <w:p>
      <w:pPr>
        <w:ind w:right="20" w:firstLine="443"/>
        <w:spacing w:after="0" w:line="284" w:lineRule="auto"/>
        <w:tabs>
          <w:tab w:leader="none" w:pos="687"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xml:space="preserve">. The capitalization of the Company is as set forth on </w:t>
      </w:r>
      <w:r>
        <w:rPr>
          <w:rFonts w:ascii="Arial" w:cs="Arial" w:eastAsia="Arial" w:hAnsi="Arial"/>
          <w:sz w:val="16"/>
          <w:szCs w:val="16"/>
          <w:u w:val="single" w:color="auto"/>
          <w:color w:val="auto"/>
        </w:rPr>
        <w:t>Schedule 3.1(g)</w:t>
      </w:r>
      <w:r>
        <w:rPr>
          <w:rFonts w:ascii="Arial" w:cs="Arial" w:eastAsia="Arial" w:hAnsi="Arial"/>
          <w:sz w:val="16"/>
          <w:szCs w:val="16"/>
          <w:color w:val="auto"/>
        </w:rPr>
        <w:t xml:space="preserve"> of the Disclosure Schedules, which </w:t>
      </w:r>
      <w:r>
        <w:rPr>
          <w:rFonts w:ascii="Arial" w:cs="Arial" w:eastAsia="Arial" w:hAnsi="Arial"/>
          <w:sz w:val="16"/>
          <w:szCs w:val="16"/>
          <w:u w:val="single" w:color="auto"/>
          <w:color w:val="auto"/>
        </w:rPr>
        <w:t>Schedule 3.1(g)</w:t>
      </w:r>
      <w:r>
        <w:rPr>
          <w:rFonts w:ascii="Arial" w:cs="Arial" w:eastAsia="Arial" w:hAnsi="Arial"/>
          <w:sz w:val="16"/>
          <w:szCs w:val="16"/>
          <w:color w:val="auto"/>
        </w:rPr>
        <w:t xml:space="preserve"> shall also include the number of shares of Common Stock owned beneficially, and of record, by Affiliates of the Company as of the date hereof. The Company has not issued any capital stock since its most recently filed periodic report under the Exchange Act, other than pursuant to the exercise of employee stock options or issuance of restricted stock under the Company’s Stock Incentive Plan and pursuant to the conversion 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a result of the purchase and sale of the Shares,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contracts, commitments, understandings or arrangements by which the Company or any Subsidiary is or may become bound to issue additional shares of Common Stock or Common Stock Equivalents. The issuance and sale of the Shares will not obligate the Company to issue shares of Common Stock or other securities to any Person (other than the Purchasers) and will not result in a right of any holder of Company securities to adjust the exercise, conversion, exchange or reset price under any of such securities. All of the outstanding shares of capital stock of the Company are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Shares. Other than that certain Second Amended and Restated Investors’ Right dated November 23, 1999 (filed as Exhibit 10.4 to the Company’s Registration Statement on Form S-1 with respect to its initial public offering),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51" w:lineRule="exact"/>
        <w:rPr>
          <w:rFonts w:ascii="Arial" w:cs="Arial" w:eastAsia="Arial" w:hAnsi="Arial"/>
          <w:sz w:val="16"/>
          <w:szCs w:val="16"/>
          <w:color w:val="auto"/>
        </w:rPr>
      </w:pPr>
    </w:p>
    <w:p>
      <w:pPr>
        <w:ind w:left="700" w:hanging="257"/>
        <w:spacing w:after="0"/>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SEC Reports; Financial Statements</w:t>
      </w:r>
      <w:r>
        <w:rPr>
          <w:rFonts w:ascii="Arial" w:cs="Arial" w:eastAsia="Arial" w:hAnsi="Arial"/>
          <w:sz w:val="16"/>
          <w:szCs w:val="16"/>
          <w:color w:val="auto"/>
        </w:rPr>
        <w:t>. Other than the Company’s Annual Report on Form 10-K for the fiscal year ended December 31, 2006 (the</w:t>
      </w:r>
    </w:p>
    <w:p>
      <w:pPr>
        <w:spacing w:after="0" w:line="3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2006 10-K</w:t>
      </w:r>
      <w:r>
        <w:rPr>
          <w:rFonts w:ascii="Arial" w:cs="Arial" w:eastAsia="Arial" w:hAnsi="Arial"/>
          <w:sz w:val="18"/>
          <w:szCs w:val="18"/>
          <w:color w:val="auto"/>
        </w:rPr>
        <w:t>”), which was not timely filed,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Arial" w:cs="Arial" w:eastAsia="Arial" w:hAnsi="Arial"/>
          <w:sz w:val="18"/>
          <w:szCs w:val="18"/>
          <w:u w:val="single" w:color="auto"/>
          <w:color w:val="auto"/>
        </w:rPr>
        <w:t>SEC Reports</w:t>
      </w:r>
      <w:r>
        <w:rPr>
          <w:rFonts w:ascii="Arial" w:cs="Arial" w:eastAsia="Arial" w:hAnsi="Arial"/>
          <w:sz w:val="18"/>
          <w:szCs w:val="18"/>
          <w:color w:val="auto"/>
        </w:rPr>
        <w:t>”) on a timely basis or has received a valid extension of such time of filing and has filed any such SEC Reports prior to the expiration of any such extension. Except to the extent corrected by subsequent SEC Reports or amendments to</w:t>
      </w:r>
    </w:p>
    <w:p>
      <w:pPr>
        <w:spacing w:after="0" w:line="13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700" w:top="280" w:right="259" w:bottom="1440" w:gutter="0" w:footer="0" w:header="0"/>
        </w:sectPr>
      </w:pPr>
    </w:p>
    <w:bookmarkStart w:id="34" w:name="page35"/>
    <w:bookmarkEnd w:id="34"/>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prior SEC Report, including the restatement of certain prior year financial information as set forth in the 2006 10-K,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As corrected and restated in the 2006 10-K, the financial statements of the Company included in the SEC Reports comply in all material respects with applicable accounting requirements and the rules and regulations of the Commission with respect thereto as in effect at the time of filing. As corrected and restated by the 2006 10-K, such financial statements have been prepared in accordance with United States generally accepted accounting principles applied on a consistent basis during the periods involved (“</w:t>
      </w:r>
      <w:r>
        <w:rPr>
          <w:rFonts w:ascii="Arial" w:cs="Arial" w:eastAsia="Arial" w:hAnsi="Arial"/>
          <w:sz w:val="16"/>
          <w:szCs w:val="16"/>
          <w:u w:val="single" w:color="auto"/>
          <w:color w:val="auto"/>
        </w:rPr>
        <w:t>GAAP</w:t>
      </w:r>
      <w:r>
        <w:rPr>
          <w:rFonts w:ascii="Arial" w:cs="Arial" w:eastAsia="Arial" w:hAnsi="Arial"/>
          <w:sz w:val="16"/>
          <w:szCs w:val="16"/>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46" w:lineRule="exact"/>
        <w:rPr>
          <w:sz w:val="20"/>
          <w:szCs w:val="20"/>
          <w:color w:val="auto"/>
        </w:rPr>
      </w:pPr>
    </w:p>
    <w:p>
      <w:pPr>
        <w:ind w:right="20" w:firstLine="443"/>
        <w:spacing w:after="0" w:line="286" w:lineRule="auto"/>
        <w:tabs>
          <w:tab w:leader="none" w:pos="648"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Material Changes; Undisclosed Events, Liabilities or Developments</w:t>
      </w:r>
      <w:r>
        <w:rPr>
          <w:rFonts w:ascii="Arial" w:cs="Arial" w:eastAsia="Arial" w:hAnsi="Arial"/>
          <w:sz w:val="16"/>
          <w:szCs w:val="16"/>
          <w:color w:val="auto"/>
        </w:rPr>
        <w:t xml:space="preserve">. Since the date of the latest audited financial statements included within the SEC Reports, except as specifically disclosed except as disclosed on Schedule 3.1(i) hereto,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Shares contemplated by this Agreement or as set forth on </w:t>
      </w:r>
      <w:r>
        <w:rPr>
          <w:rFonts w:ascii="Arial" w:cs="Arial" w:eastAsia="Arial" w:hAnsi="Arial"/>
          <w:sz w:val="16"/>
          <w:szCs w:val="16"/>
          <w:u w:val="single" w:color="auto"/>
          <w:color w:val="auto"/>
        </w:rPr>
        <w:t>Schedule 3.1(i)</w:t>
      </w:r>
      <w:r>
        <w:rPr>
          <w:rFonts w:ascii="Arial" w:cs="Arial" w:eastAsia="Arial" w:hAnsi="Arial"/>
          <w:sz w:val="16"/>
          <w:szCs w:val="16"/>
          <w:color w:val="auto"/>
        </w:rPr>
        <w:t>, no event, liability or development has occurred or exists with respect to the Company or its Subsidiaries or their respective business, properties, operations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spacing w:after="0" w:line="43" w:lineRule="exact"/>
        <w:rPr>
          <w:rFonts w:ascii="Arial" w:cs="Arial" w:eastAsia="Arial" w:hAnsi="Arial"/>
          <w:sz w:val="16"/>
          <w:szCs w:val="16"/>
          <w:color w:val="auto"/>
        </w:rPr>
      </w:pPr>
    </w:p>
    <w:p>
      <w:pPr>
        <w:ind w:right="600" w:firstLine="443"/>
        <w:spacing w:after="0" w:line="259" w:lineRule="auto"/>
        <w:tabs>
          <w:tab w:leader="none" w:pos="648"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Litigation</w:t>
      </w:r>
      <w:r>
        <w:rPr>
          <w:rFonts w:ascii="Arial" w:cs="Arial" w:eastAsia="Arial" w:hAnsi="Arial"/>
          <w:sz w:val="18"/>
          <w:szCs w:val="18"/>
          <w:color w:val="auto"/>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80" w:right="239" w:bottom="1440" w:gutter="0" w:footer="0" w:header="0"/>
        </w:sectPr>
      </w:pPr>
    </w:p>
    <w:bookmarkStart w:id="35" w:name="page36"/>
    <w:bookmarkEnd w:id="35"/>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state, county, local or foreign) (collectively, an “</w:t>
      </w:r>
      <w:r>
        <w:rPr>
          <w:rFonts w:ascii="Arial" w:cs="Arial" w:eastAsia="Arial" w:hAnsi="Arial"/>
          <w:sz w:val="16"/>
          <w:szCs w:val="16"/>
          <w:u w:val="single" w:color="auto"/>
          <w:color w:val="auto"/>
        </w:rPr>
        <w:t>Action</w:t>
      </w:r>
      <w:r>
        <w:rPr>
          <w:rFonts w:ascii="Arial" w:cs="Arial" w:eastAsia="Arial" w:hAnsi="Arial"/>
          <w:sz w:val="16"/>
          <w:szCs w:val="16"/>
          <w:color w:val="auto"/>
        </w:rPr>
        <w:t>”) not already disclosed in the SEC Reports which (i) adversely affects or challenges the legality, validity or enforceability of any of the Transaction Documents or the Shares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Except as disclosed in the SEC Reports,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37" w:lineRule="exact"/>
        <w:rPr>
          <w:sz w:val="20"/>
          <w:szCs w:val="20"/>
          <w:color w:val="auto"/>
        </w:rPr>
      </w:pPr>
    </w:p>
    <w:p>
      <w:pPr>
        <w:ind w:right="40" w:firstLine="443"/>
        <w:spacing w:after="0" w:line="289" w:lineRule="auto"/>
        <w:tabs>
          <w:tab w:leader="none" w:pos="687"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Labor Relations</w:t>
      </w:r>
      <w:r>
        <w:rPr>
          <w:rFonts w:ascii="Arial" w:cs="Arial" w:eastAsia="Arial" w:hAnsi="Arial"/>
          <w:sz w:val="16"/>
          <w:szCs w:val="16"/>
          <w:color w:val="auto"/>
        </w:rPr>
        <w:t>. No material labor dispute exists or, to the knowledge of the Company, is imminent with respect to any of the employees of the Company which could reasonably be expected to result in a Material Adverse Effect. No executive officer, to the knowledge of the Company,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37" w:lineRule="exact"/>
        <w:rPr>
          <w:rFonts w:ascii="Arial" w:cs="Arial" w:eastAsia="Arial" w:hAnsi="Arial"/>
          <w:sz w:val="16"/>
          <w:szCs w:val="16"/>
          <w:color w:val="auto"/>
        </w:rPr>
      </w:pPr>
    </w:p>
    <w:p>
      <w:pPr>
        <w:ind w:right="20" w:firstLine="443"/>
        <w:spacing w:after="0" w:line="290" w:lineRule="auto"/>
        <w:tabs>
          <w:tab w:leader="none" w:pos="648"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Compliance</w:t>
      </w:r>
      <w:r>
        <w:rPr>
          <w:rFonts w:ascii="Arial" w:cs="Arial" w:eastAsia="Arial" w:hAnsi="Arial"/>
          <w:sz w:val="16"/>
          <w:szCs w:val="16"/>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order of any court, arbitrator or governmental body, or (iii) is or has been in violation of any statute, rule or regulation of any governmental authority, including without limitation all foreign, federal, state and local laws applicable to its business and all such laws that affect the environment, except in each case as could not have or reasonably be expected to result in a Material Adverse Effect.</w:t>
      </w:r>
    </w:p>
    <w:p>
      <w:pPr>
        <w:spacing w:after="0" w:line="37" w:lineRule="exact"/>
        <w:rPr>
          <w:rFonts w:ascii="Arial" w:cs="Arial" w:eastAsia="Arial" w:hAnsi="Arial"/>
          <w:sz w:val="16"/>
          <w:szCs w:val="16"/>
          <w:color w:val="auto"/>
        </w:rPr>
      </w:pPr>
    </w:p>
    <w:p>
      <w:pPr>
        <w:ind w:right="240" w:firstLine="443"/>
        <w:spacing w:after="0" w:line="298" w:lineRule="auto"/>
        <w:tabs>
          <w:tab w:leader="none" w:pos="735"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Regulatory Permits</w:t>
      </w:r>
      <w:r>
        <w:rPr>
          <w:rFonts w:ascii="Arial" w:cs="Arial" w:eastAsia="Arial" w:hAnsi="Arial"/>
          <w:sz w:val="16"/>
          <w:szCs w:val="16"/>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Arial" w:cs="Arial" w:eastAsia="Arial" w:hAnsi="Arial"/>
          <w:sz w:val="16"/>
          <w:szCs w:val="16"/>
          <w:u w:val="single" w:color="auto"/>
          <w:color w:val="auto"/>
        </w:rPr>
        <w:t>Material Permits</w:t>
      </w:r>
      <w:r>
        <w:rPr>
          <w:rFonts w:ascii="Arial" w:cs="Arial" w:eastAsia="Arial" w:hAnsi="Arial"/>
          <w:sz w:val="16"/>
          <w:szCs w:val="16"/>
          <w:color w:val="auto"/>
        </w:rPr>
        <w:t>”), and neither the Company nor any Subsidiary has received any notice of proceedings relating to the revocation or modification of any Material Permit.</w:t>
      </w:r>
    </w:p>
    <w:p>
      <w:pPr>
        <w:spacing w:after="0" w:line="9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700" w:top="280" w:right="239" w:bottom="1440" w:gutter="0" w:footer="0" w:header="0"/>
        </w:sectPr>
      </w:pPr>
    </w:p>
    <w:bookmarkStart w:id="36" w:name="page37"/>
    <w:bookmarkEnd w:id="36"/>
    <w:p>
      <w:pPr>
        <w:jc w:val="both"/>
        <w:ind w:right="40" w:firstLine="443"/>
        <w:spacing w:after="0" w:line="298" w:lineRule="auto"/>
        <w:tabs>
          <w:tab w:leader="none" w:pos="687"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Title to Assets</w:t>
      </w:r>
      <w:r>
        <w:rPr>
          <w:rFonts w:ascii="Arial" w:cs="Arial" w:eastAsia="Arial" w:hAnsi="Arial"/>
          <w:sz w:val="16"/>
          <w:szCs w:val="16"/>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Permitted Liens. Any real property and facilities held under lease by the Company and the Subsidiaries are held by them under valid, subsisting and enforceable leases with which the Company and the Subsidiaries are in compliance.</w:t>
      </w:r>
    </w:p>
    <w:p>
      <w:pPr>
        <w:spacing w:after="0" w:line="31" w:lineRule="exact"/>
        <w:rPr>
          <w:rFonts w:ascii="Arial" w:cs="Arial" w:eastAsia="Arial" w:hAnsi="Arial"/>
          <w:sz w:val="16"/>
          <w:szCs w:val="16"/>
          <w:color w:val="auto"/>
        </w:rPr>
      </w:pPr>
    </w:p>
    <w:p>
      <w:pPr>
        <w:ind w:firstLine="443"/>
        <w:spacing w:after="0" w:line="289" w:lineRule="auto"/>
        <w:tabs>
          <w:tab w:leader="none" w:pos="687"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Patents and Trademarks</w:t>
      </w:r>
      <w:r>
        <w:rPr>
          <w:rFonts w:ascii="Arial" w:cs="Arial" w:eastAsia="Arial" w:hAnsi="Arial"/>
          <w:sz w:val="16"/>
          <w:szCs w:val="16"/>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material for use in connection with their respective businesses as described in the SEC Reports and which the failure to so have could have a Material Adverse Effect (collectively, the “</w:t>
      </w: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Neither the Company nor any Subsidiary has received a notice (written or otherwise) that any of the Intellectual Property Rights used by the Company or any Subsidiary violates or infringes upon the rights of any Person.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37" w:lineRule="exact"/>
        <w:rPr>
          <w:rFonts w:ascii="Arial" w:cs="Arial" w:eastAsia="Arial" w:hAnsi="Arial"/>
          <w:sz w:val="16"/>
          <w:szCs w:val="16"/>
          <w:color w:val="auto"/>
        </w:rPr>
      </w:pPr>
    </w:p>
    <w:p>
      <w:pPr>
        <w:ind w:right="160" w:firstLine="443"/>
        <w:spacing w:after="0" w:line="255" w:lineRule="auto"/>
        <w:tabs>
          <w:tab w:leader="none" w:pos="687"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61" w:lineRule="exact"/>
        <w:rPr>
          <w:rFonts w:ascii="Arial" w:cs="Arial" w:eastAsia="Arial" w:hAnsi="Arial"/>
          <w:sz w:val="18"/>
          <w:szCs w:val="18"/>
          <w:color w:val="auto"/>
        </w:rPr>
      </w:pPr>
    </w:p>
    <w:p>
      <w:pPr>
        <w:ind w:right="20" w:firstLine="443"/>
        <w:spacing w:after="0" w:line="253" w:lineRule="auto"/>
        <w:tabs>
          <w:tab w:leader="none" w:pos="687"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Transactions With Affiliates and Employees</w:t>
      </w:r>
      <w:r>
        <w:rPr>
          <w:rFonts w:ascii="Arial" w:cs="Arial" w:eastAsia="Arial" w:hAnsi="Arial"/>
          <w:sz w:val="18"/>
          <w:szCs w:val="18"/>
          <w:color w:val="auto"/>
        </w:rPr>
        <w:t>. Except as set forth in the SEC Reports, none of the officers or directors of the Company and, to the knowledge of the Company, none of the employees of the Company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Company, any entity in which any officer, director, or any such employee has a substantial interest or is an officer, director, trustee or partner, in each case in excess of $120,000 other than for (i) payment of salary or consulting fees for services rendered, (ii) reimbursement for expenses incurred on behalf</w:t>
      </w:r>
    </w:p>
    <w:p>
      <w:pPr>
        <w:spacing w:after="0" w:line="13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00"/>
          </w:cols>
          <w:pgMar w:left="700" w:top="280" w:right="299" w:bottom="1440" w:gutter="0" w:footer="0" w:header="0"/>
        </w:sectPr>
      </w:pPr>
    </w:p>
    <w:bookmarkStart w:id="37" w:name="page38"/>
    <w:bookmarkEnd w:id="37"/>
    <w:p>
      <w:pPr>
        <w:ind w:right="5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the Company and (iii) other employee benefits, including stock option agreements under any stock option plan of the Company or the issuance of Common Stock under the Company’s employee stock purchase plan.</w:t>
      </w:r>
    </w:p>
    <w:p>
      <w:pPr>
        <w:spacing w:after="0" w:line="51" w:lineRule="exact"/>
        <w:rPr>
          <w:sz w:val="20"/>
          <w:szCs w:val="20"/>
          <w:color w:val="auto"/>
        </w:rPr>
      </w:pPr>
    </w:p>
    <w:p>
      <w:pPr>
        <w:ind w:right="40" w:firstLine="443"/>
        <w:spacing w:after="0" w:line="306" w:lineRule="auto"/>
        <w:tabs>
          <w:tab w:leader="none" w:pos="657" w:val="left"/>
        </w:tabs>
        <w:numPr>
          <w:ilvl w:val="0"/>
          <w:numId w:val="25"/>
        </w:numPr>
        <w:rPr>
          <w:rFonts w:ascii="Arial" w:cs="Arial" w:eastAsia="Arial" w:hAnsi="Arial"/>
          <w:sz w:val="15"/>
          <w:szCs w:val="15"/>
          <w:color w:val="auto"/>
        </w:rPr>
      </w:pPr>
      <w:r>
        <w:rPr>
          <w:rFonts w:ascii="Arial" w:cs="Arial" w:eastAsia="Arial" w:hAnsi="Arial"/>
          <w:sz w:val="15"/>
          <w:szCs w:val="15"/>
          <w:u w:val="single" w:color="auto"/>
          <w:color w:val="auto"/>
        </w:rPr>
        <w:t>Sarbanes-Oxley; Internal Accounting Controls</w:t>
      </w:r>
      <w:r>
        <w:rPr>
          <w:rFonts w:ascii="Arial" w:cs="Arial" w:eastAsia="Arial" w:hAnsi="Arial"/>
          <w:sz w:val="15"/>
          <w:szCs w:val="15"/>
          <w:color w:val="auto"/>
        </w:rPr>
        <w:t>. The Company is in material compliance with all provisions of the Sarbanes-Oxley Act of 2002 which are applicable to it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has established disclosure controls and procedures (as defined in Exchange Act Rules 13a-15(e) and 15d-15(e)) for the Company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Company’s disclosure controls and procedures as of the end of the period covered by the Company’s most recently filed periodic report under the Exchange Act (such date, the “</w:t>
      </w:r>
      <w:r>
        <w:rPr>
          <w:rFonts w:ascii="Arial" w:cs="Arial" w:eastAsia="Arial" w:hAnsi="Arial"/>
          <w:sz w:val="15"/>
          <w:szCs w:val="15"/>
          <w:u w:val="single" w:color="auto"/>
          <w:color w:val="auto"/>
        </w:rPr>
        <w:t>Evaluation Date</w:t>
      </w:r>
      <w:r>
        <w:rPr>
          <w:rFonts w:ascii="Arial" w:cs="Arial" w:eastAsia="Arial" w:hAnsi="Arial"/>
          <w:sz w:val="15"/>
          <w:szCs w:val="15"/>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Company’s internal control over financial reporting (as such term is defined in the Exchange Act) that has materially affected, or is reasonably likely to materially affect, the Company’s internal control over financial reporting.</w:t>
      </w:r>
    </w:p>
    <w:p>
      <w:pPr>
        <w:spacing w:after="0" w:line="27" w:lineRule="exact"/>
        <w:rPr>
          <w:rFonts w:ascii="Arial" w:cs="Arial" w:eastAsia="Arial" w:hAnsi="Arial"/>
          <w:sz w:val="15"/>
          <w:szCs w:val="15"/>
          <w:color w:val="auto"/>
        </w:rPr>
      </w:pPr>
    </w:p>
    <w:p>
      <w:pPr>
        <w:ind w:right="80" w:firstLine="443"/>
        <w:spacing w:after="0" w:line="255" w:lineRule="auto"/>
        <w:tabs>
          <w:tab w:leader="none" w:pos="667"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 Except for fees payable to RBC Capital Markets, no brokerage or finder’s fees or commissions are or will be payable by the Company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61" w:lineRule="exact"/>
        <w:rPr>
          <w:rFonts w:ascii="Arial" w:cs="Arial" w:eastAsia="Arial" w:hAnsi="Arial"/>
          <w:sz w:val="18"/>
          <w:szCs w:val="18"/>
          <w:color w:val="auto"/>
        </w:rPr>
      </w:pPr>
    </w:p>
    <w:p>
      <w:pPr>
        <w:ind w:firstLine="443"/>
        <w:spacing w:after="0" w:line="259" w:lineRule="auto"/>
        <w:tabs>
          <w:tab w:leader="none" w:pos="648"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Private Placement</w:t>
      </w:r>
      <w:r>
        <w:rPr>
          <w:rFonts w:ascii="Arial" w:cs="Arial" w:eastAsia="Arial" w:hAnsi="Arial"/>
          <w:sz w:val="18"/>
          <w:szCs w:val="18"/>
          <w:color w:val="auto"/>
        </w:rPr>
        <w:t>. Assuming the accuracy of the Purchasers representations and warranties set forth in Section 3.2, no registration under the Securities Act is required for the offer and sale of the Shares by the Company to the Purchasers as contemplated hereby. The issuance and sale of the Shares hereunder does not contravene the rules and regulations of the Trading Market.</w:t>
      </w:r>
    </w:p>
    <w:p>
      <w:pPr>
        <w:spacing w:after="0" w:line="59" w:lineRule="exact"/>
        <w:rPr>
          <w:rFonts w:ascii="Arial" w:cs="Arial" w:eastAsia="Arial" w:hAnsi="Arial"/>
          <w:sz w:val="18"/>
          <w:szCs w:val="18"/>
          <w:color w:val="auto"/>
        </w:rPr>
      </w:pPr>
    </w:p>
    <w:p>
      <w:pPr>
        <w:ind w:right="200" w:firstLine="443"/>
        <w:spacing w:after="0" w:line="268" w:lineRule="auto"/>
        <w:tabs>
          <w:tab w:leader="none" w:pos="687"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Investment Company</w:t>
      </w:r>
      <w:r>
        <w:rPr>
          <w:rFonts w:ascii="Arial" w:cs="Arial" w:eastAsia="Arial" w:hAnsi="Arial"/>
          <w:sz w:val="18"/>
          <w:szCs w:val="18"/>
          <w:color w:val="auto"/>
        </w:rPr>
        <w:t>. The Company is not, and is not an Affiliate of, and immediately after receipt of payment for the Shares, will not be or be an Affiliate of, an</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700" w:top="280" w:right="239" w:bottom="1440" w:gutter="0" w:footer="0" w:header="0"/>
        </w:sectPr>
      </w:pPr>
    </w:p>
    <w:bookmarkStart w:id="38" w:name="page39"/>
    <w:bookmarkEnd w:id="38"/>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“investment company” within the meaning of the Investment Company Act of 1940, as amended. The Company shall conduct its business in a manner so that it will not become subject to the Investment Company Act of 1940, as amended.</w:t>
      </w:r>
    </w:p>
    <w:p>
      <w:pPr>
        <w:spacing w:after="0" w:line="51" w:lineRule="exact"/>
        <w:rPr>
          <w:sz w:val="20"/>
          <w:szCs w:val="20"/>
          <w:color w:val="auto"/>
        </w:rPr>
      </w:pPr>
    </w:p>
    <w:p>
      <w:pPr>
        <w:ind w:right="660" w:firstLine="443"/>
        <w:spacing w:after="0" w:line="268" w:lineRule="auto"/>
        <w:tabs>
          <w:tab w:leader="none" w:pos="687"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Other than each of the Purchasers, no Person has any right to cause the Company to effect the registration under the Securities Act of any securities of the Company.</w:t>
      </w:r>
    </w:p>
    <w:p>
      <w:pPr>
        <w:spacing w:after="0" w:line="50" w:lineRule="exact"/>
        <w:rPr>
          <w:rFonts w:ascii="Arial" w:cs="Arial" w:eastAsia="Arial" w:hAnsi="Arial"/>
          <w:sz w:val="18"/>
          <w:szCs w:val="18"/>
          <w:color w:val="auto"/>
        </w:rPr>
      </w:pPr>
    </w:p>
    <w:p>
      <w:pPr>
        <w:ind w:firstLine="443"/>
        <w:spacing w:after="0" w:line="291" w:lineRule="auto"/>
        <w:tabs>
          <w:tab w:leader="none" w:pos="726"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Listing and Maintenance Requirements</w:t>
      </w:r>
      <w:r>
        <w:rPr>
          <w:rFonts w:ascii="Arial" w:cs="Arial" w:eastAsia="Arial" w:hAnsi="Arial"/>
          <w:sz w:val="16"/>
          <w:szCs w:val="16"/>
          <w:color w:val="auto"/>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w:t>
      </w:r>
    </w:p>
    <w:p>
      <w:pPr>
        <w:spacing w:after="0" w:line="39" w:lineRule="exact"/>
        <w:rPr>
          <w:rFonts w:ascii="Arial" w:cs="Arial" w:eastAsia="Arial" w:hAnsi="Arial"/>
          <w:sz w:val="16"/>
          <w:szCs w:val="16"/>
          <w:color w:val="auto"/>
        </w:rPr>
      </w:pPr>
    </w:p>
    <w:p>
      <w:pPr>
        <w:ind w:right="100" w:firstLine="443"/>
        <w:spacing w:after="0" w:line="294" w:lineRule="auto"/>
        <w:tabs>
          <w:tab w:leader="none" w:pos="687"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Application of Takeover Protections</w:t>
      </w:r>
      <w:r>
        <w:rPr>
          <w:rFonts w:ascii="Arial" w:cs="Arial" w:eastAsia="Arial" w:hAnsi="Arial"/>
          <w:sz w:val="16"/>
          <w:szCs w:val="16"/>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Shares and the Purchasers’ ownership of the Shares.</w:t>
      </w:r>
    </w:p>
    <w:p>
      <w:pPr>
        <w:spacing w:after="0" w:line="34" w:lineRule="exact"/>
        <w:rPr>
          <w:rFonts w:ascii="Arial" w:cs="Arial" w:eastAsia="Arial" w:hAnsi="Arial"/>
          <w:sz w:val="16"/>
          <w:szCs w:val="16"/>
          <w:color w:val="auto"/>
        </w:rPr>
      </w:pPr>
    </w:p>
    <w:p>
      <w:pPr>
        <w:ind w:firstLine="443"/>
        <w:spacing w:after="0" w:line="286" w:lineRule="auto"/>
        <w:tabs>
          <w:tab w:leader="none" w:pos="687"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Disclosure</w:t>
      </w:r>
      <w:r>
        <w:rPr>
          <w:rFonts w:ascii="Arial" w:cs="Arial" w:eastAsia="Arial" w:hAnsi="Arial"/>
          <w:sz w:val="16"/>
          <w:szCs w:val="16"/>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The Company understands and confirms that the Purchasers will rely on the foregoing representation in effecting transactions in securities of the Company. All disclosure furnished by or on behalf of the Company to the Purchasers regarding the Company, its business and the transactions contemplated hereby, including the Disclosure Schedules to this Agreement, is true and correct in all material respects and does not contain any untrue statement of a material fact or omit to state any material fact necessary in order to make the statements made therein, in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700" w:top="280" w:right="279" w:bottom="1440" w:gutter="0" w:footer="0" w:header="0"/>
        </w:sectPr>
      </w:pPr>
    </w:p>
    <w:bookmarkStart w:id="39" w:name="page40"/>
    <w:bookmarkEnd w:id="39"/>
    <w:p>
      <w:pPr>
        <w:ind w:right="220" w:firstLine="443"/>
        <w:spacing w:after="0" w:line="294" w:lineRule="auto"/>
        <w:tabs>
          <w:tab w:leader="none" w:pos="677"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Integrated Offering</w:t>
      </w:r>
      <w:r>
        <w:rPr>
          <w:rFonts w:ascii="Arial" w:cs="Arial" w:eastAsia="Arial" w:hAnsi="Arial"/>
          <w:sz w:val="16"/>
          <w:szCs w:val="16"/>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Shares to be integrated with prior offerings by the Company for purposes of (i) the Securities Act which would require the registration of any such securities under the Securities Act, or (ii) any applicable shareholder approval provisions of any Trading Market on which any of the securities of the Company are listed or designated.</w:t>
      </w:r>
    </w:p>
    <w:p>
      <w:pPr>
        <w:spacing w:after="0" w:line="35" w:lineRule="exact"/>
        <w:rPr>
          <w:sz w:val="20"/>
          <w:szCs w:val="20"/>
          <w:color w:val="auto"/>
        </w:rPr>
      </w:pPr>
    </w:p>
    <w:p>
      <w:pPr>
        <w:ind w:firstLine="443"/>
        <w:spacing w:after="0" w:line="285" w:lineRule="auto"/>
        <w:tabs>
          <w:tab w:leader="none" w:pos="755"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Solvency</w:t>
      </w:r>
      <w:r>
        <w:rPr>
          <w:rFonts w:ascii="Arial" w:cs="Arial" w:eastAsia="Arial" w:hAnsi="Arial"/>
          <w:sz w:val="16"/>
          <w:szCs w:val="16"/>
          <w:color w:val="auto"/>
        </w:rPr>
        <w:t xml:space="preserve">. Based on the consolidated financial condition of the Company as of the Closing Date, after giving effect to the receipt by the Company of the proceeds from the sale of the Shares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for at least the next 12 months, as now conducted and as proposed to be conducted, including its capital needs taking into account the particular capital requirements of the business conducted by the Company,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w:t>
      </w:r>
      <w:r>
        <w:rPr>
          <w:rFonts w:ascii="Arial" w:cs="Arial" w:eastAsia="Arial" w:hAnsi="Arial"/>
          <w:sz w:val="16"/>
          <w:szCs w:val="16"/>
          <w:u w:val="single" w:color="auto"/>
          <w:color w:val="auto"/>
        </w:rPr>
        <w:t>Schedule 3.1(aa)</w:t>
      </w:r>
      <w:r>
        <w:rPr>
          <w:rFonts w:ascii="Arial" w:cs="Arial" w:eastAsia="Arial" w:hAnsi="Arial"/>
          <w:sz w:val="16"/>
          <w:szCs w:val="16"/>
          <w:color w:val="auto"/>
        </w:rPr>
        <w:t xml:space="preserve"> of the Disclosure Schedules sets forth as of the date thereof all outstanding secured and unsecured Indebtedness of the Company or any Subsidiary, or for which the Company or any Subsidiary has commitments. For the purposes of this Agreement, “</w:t>
      </w:r>
      <w:r>
        <w:rPr>
          <w:rFonts w:ascii="Arial" w:cs="Arial" w:eastAsia="Arial" w:hAnsi="Arial"/>
          <w:sz w:val="16"/>
          <w:szCs w:val="16"/>
          <w:u w:val="single" w:color="auto"/>
          <w:color w:val="auto"/>
        </w:rPr>
        <w:t>Indebtedness</w:t>
      </w:r>
      <w:r>
        <w:rPr>
          <w:rFonts w:ascii="Arial" w:cs="Arial" w:eastAsia="Arial" w:hAnsi="Arial"/>
          <w:sz w:val="16"/>
          <w:szCs w:val="16"/>
          <w:color w:val="auto"/>
        </w:rPr>
        <w:t>” means (a) any liabilities for borrowed money or amounts owed in excess of $50,000 (other than trade accounts payable incurred in the ordinary course of business), (b) all guaranties, endorsements and other contingent obligations in respect of indebtedness of others, whether or not the same are or should be reflected in the Company’s balance sheet (or the notes thereto), except guaranties by endorsement of negotiable instruments for deposit or collection or similar transactions in the ordinary course of business; and (c) the present value of any lease payments in excess of $50,000 due under leases required to be capitalized in accordance with GAAP. Neither the Company nor any Subsidiary is in default with respect to any Indebtedness.</w:t>
      </w:r>
    </w:p>
    <w:p>
      <w:pPr>
        <w:spacing w:after="0" w:line="40" w:lineRule="exact"/>
        <w:rPr>
          <w:rFonts w:ascii="Arial" w:cs="Arial" w:eastAsia="Arial" w:hAnsi="Arial"/>
          <w:sz w:val="16"/>
          <w:szCs w:val="16"/>
          <w:color w:val="auto"/>
        </w:rPr>
      </w:pPr>
    </w:p>
    <w:p>
      <w:pPr>
        <w:ind w:right="240" w:firstLine="443"/>
        <w:spacing w:after="0" w:line="268" w:lineRule="auto"/>
        <w:tabs>
          <w:tab w:leader="none" w:pos="775"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Tax Status</w:t>
      </w:r>
      <w:r>
        <w:rPr>
          <w:rFonts w:ascii="Arial" w:cs="Arial" w:eastAsia="Arial" w:hAnsi="Arial"/>
          <w:sz w:val="18"/>
          <w:szCs w:val="18"/>
          <w:color w:val="auto"/>
        </w:rPr>
        <w:t>. Except for matters that would not, individually or in the aggregate, have or reasonably be expected to result in a Material Adverse Effect, the Company and each Subsidiary has filed all necessary federal, state and foreign income</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700" w:top="280" w:right="239" w:bottom="1440" w:gutter="0" w:footer="0" w:header="0"/>
        </w:sectPr>
      </w:pPr>
    </w:p>
    <w:bookmarkStart w:id="40" w:name="page41"/>
    <w:bookmarkEnd w:id="40"/>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franchise tax returns and has paid or accrued all taxes shown as due thereon, and the Company has no knowledge of a tax deficiency which has been asserted or threatened against the Company or any Subsidiary.</w:t>
      </w:r>
    </w:p>
    <w:p>
      <w:pPr>
        <w:spacing w:after="0" w:line="51" w:lineRule="exact"/>
        <w:rPr>
          <w:sz w:val="20"/>
          <w:szCs w:val="20"/>
          <w:color w:val="auto"/>
        </w:rPr>
      </w:pPr>
    </w:p>
    <w:p>
      <w:pPr>
        <w:ind w:right="360" w:firstLine="443"/>
        <w:spacing w:after="0" w:line="259" w:lineRule="auto"/>
        <w:tabs>
          <w:tab w:leader="none" w:pos="755"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No General Solicitation</w:t>
      </w:r>
      <w:r>
        <w:rPr>
          <w:rFonts w:ascii="Arial" w:cs="Arial" w:eastAsia="Arial" w:hAnsi="Arial"/>
          <w:sz w:val="18"/>
          <w:szCs w:val="18"/>
          <w:color w:val="auto"/>
        </w:rPr>
        <w:t>. Neither the Company nor any person acting on behalf of the Company has offered or sold any of the Shares by any form of general solicitation or general advertising. The Company has offered the Shares for sale only to the Purchasers and certain other “accredited investors” within the meaning of Rule 501 under the Securities Act.</w:t>
      </w:r>
    </w:p>
    <w:p>
      <w:pPr>
        <w:spacing w:after="0" w:line="59" w:lineRule="exact"/>
        <w:rPr>
          <w:rFonts w:ascii="Arial" w:cs="Arial" w:eastAsia="Arial" w:hAnsi="Arial"/>
          <w:sz w:val="18"/>
          <w:szCs w:val="18"/>
          <w:color w:val="auto"/>
        </w:rPr>
      </w:pPr>
    </w:p>
    <w:p>
      <w:pPr>
        <w:ind w:firstLine="443"/>
        <w:spacing w:after="0" w:line="254" w:lineRule="auto"/>
        <w:tabs>
          <w:tab w:leader="none" w:pos="775"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Foreign Corrupt Practices</w:t>
      </w:r>
      <w:r>
        <w:rPr>
          <w:rFonts w:ascii="Arial" w:cs="Arial" w:eastAsia="Arial" w:hAnsi="Arial"/>
          <w:sz w:val="18"/>
          <w:szCs w:val="18"/>
          <w:color w:val="auto"/>
        </w:rPr>
        <w:t>. Neither the Company, nor to the knowledge of the Company, any agent or other person acting on behalf of the Company,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made by any person acting on its behalf of which the Company is aware) which is in violation of law, or (iv) violated in any material respect any provision of the Foreign Corrupt Practices Act of 1977, as amended.</w:t>
      </w:r>
    </w:p>
    <w:p>
      <w:pPr>
        <w:spacing w:after="0" w:line="63" w:lineRule="exact"/>
        <w:rPr>
          <w:rFonts w:ascii="Arial" w:cs="Arial" w:eastAsia="Arial" w:hAnsi="Arial"/>
          <w:sz w:val="18"/>
          <w:szCs w:val="18"/>
          <w:color w:val="auto"/>
        </w:rPr>
      </w:pPr>
    </w:p>
    <w:p>
      <w:pPr>
        <w:ind w:right="120" w:firstLine="443"/>
        <w:spacing w:after="0" w:line="306" w:lineRule="auto"/>
        <w:tabs>
          <w:tab w:leader="none" w:pos="755"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Accountants</w:t>
      </w:r>
      <w:r>
        <w:rPr>
          <w:rFonts w:ascii="Arial" w:cs="Arial" w:eastAsia="Arial" w:hAnsi="Arial"/>
          <w:sz w:val="16"/>
          <w:szCs w:val="16"/>
          <w:color w:val="auto"/>
        </w:rPr>
        <w:t xml:space="preserve">. The Company’s accounting firm is set forth on </w:t>
      </w:r>
      <w:r>
        <w:rPr>
          <w:rFonts w:ascii="Arial" w:cs="Arial" w:eastAsia="Arial" w:hAnsi="Arial"/>
          <w:sz w:val="16"/>
          <w:szCs w:val="16"/>
          <w:u w:val="single" w:color="auto"/>
          <w:color w:val="auto"/>
        </w:rPr>
        <w:t>Schedule 3.1(ee)</w:t>
      </w:r>
      <w:r>
        <w:rPr>
          <w:rFonts w:ascii="Arial" w:cs="Arial" w:eastAsia="Arial" w:hAnsi="Arial"/>
          <w:sz w:val="16"/>
          <w:szCs w:val="16"/>
          <w:color w:val="auto"/>
        </w:rPr>
        <w:t xml:space="preserve"> of the Disclosure Schedule. To the knowledge and belief of the Company, such accounting firm (i) is a registered public accounting firm as required by the Exchange Act and (ii) shall express its opinion with respect to the financial statements to be included in the Company’s Annual Report on Form 10-K for the year ending December 31, 2007.</w:t>
      </w:r>
    </w:p>
    <w:p>
      <w:pPr>
        <w:spacing w:after="0" w:line="25" w:lineRule="exact"/>
        <w:rPr>
          <w:rFonts w:ascii="Arial" w:cs="Arial" w:eastAsia="Arial" w:hAnsi="Arial"/>
          <w:sz w:val="16"/>
          <w:szCs w:val="16"/>
          <w:color w:val="auto"/>
        </w:rPr>
      </w:pPr>
    </w:p>
    <w:p>
      <w:pPr>
        <w:jc w:val="both"/>
        <w:ind w:right="160" w:firstLine="443"/>
        <w:spacing w:after="0" w:line="298" w:lineRule="auto"/>
        <w:tabs>
          <w:tab w:leader="none" w:pos="713"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No Disagreements with Accountants and Lawyers</w:t>
      </w:r>
      <w:r>
        <w:rPr>
          <w:rFonts w:ascii="Arial" w:cs="Arial" w:eastAsia="Arial" w:hAnsi="Arial"/>
          <w:sz w:val="16"/>
          <w:szCs w:val="16"/>
          <w:color w:val="auto"/>
        </w:rPr>
        <w:t>. There are no disagreements of any kind presently existing, or reasonably anticipated by the Company to arise, between the Company and the independent auditing firms and outside counsel formerly or presently employed by the Company which could affect the Company’s ability to perform any of its obligations under any of the Transaction Documents, and the Company is current with respect to any fees owed to its independent auditing firm and outside counsel.</w:t>
      </w:r>
    </w:p>
    <w:p>
      <w:pPr>
        <w:spacing w:after="0" w:line="31" w:lineRule="exact"/>
        <w:rPr>
          <w:rFonts w:ascii="Arial" w:cs="Arial" w:eastAsia="Arial" w:hAnsi="Arial"/>
          <w:sz w:val="16"/>
          <w:szCs w:val="16"/>
          <w:color w:val="auto"/>
        </w:rPr>
      </w:pPr>
    </w:p>
    <w:p>
      <w:pPr>
        <w:ind w:right="100" w:firstLine="443"/>
        <w:spacing w:after="0" w:line="290" w:lineRule="auto"/>
        <w:tabs>
          <w:tab w:leader="none" w:pos="775"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Acknowledgment Regarding Purchasers’ Purchase of Shares</w:t>
      </w:r>
      <w:r>
        <w:rPr>
          <w:rFonts w:ascii="Arial" w:cs="Arial" w:eastAsia="Arial" w:hAnsi="Arial"/>
          <w:sz w:val="16"/>
          <w:szCs w:val="16"/>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Shares.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700" w:top="280" w:right="259" w:bottom="1440" w:gutter="0" w:footer="0" w:header="0"/>
        </w:sectPr>
      </w:pPr>
    </w:p>
    <w:bookmarkStart w:id="41" w:name="page42"/>
    <w:bookmarkEnd w:id="41"/>
    <w:p>
      <w:pPr>
        <w:ind w:right="40" w:firstLine="443"/>
        <w:spacing w:after="0" w:line="301" w:lineRule="auto"/>
        <w:tabs>
          <w:tab w:leader="none" w:pos="775" w:val="left"/>
        </w:tabs>
        <w:numPr>
          <w:ilvl w:val="1"/>
          <w:numId w:val="30"/>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Acknowledgement Regarding Purchaser’s Trading Activity</w:t>
      </w:r>
      <w:r>
        <w:rPr>
          <w:rFonts w:ascii="Arial" w:cs="Arial" w:eastAsia="Arial" w:hAnsi="Arial"/>
          <w:sz w:val="15"/>
          <w:szCs w:val="15"/>
          <w:color w:val="auto"/>
        </w:rPr>
        <w:t>. Anything in this Agreement or elsewhere herein to the contrary notwithstanding (except for Sections 3.2(f) and 4.12 hereof), it is understood and acknowledged by the Company (i) that none of the Purchasers have been asked by the Company to agree, nor has any Purchaser agreed, to desist from purchasing or selling, long and/or short, securities of the Company, or “derivative” securities based on securities issued by the Company or to hold the Shares for any specified term; (ii) that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that any Purchaser, and counter-parties in “derivative” transactions to which any such Purchaser is a party, directly or indirectly, presently may have a “short” position in the Common Stock; and</w:t>
      </w:r>
    </w:p>
    <w:p>
      <w:pPr>
        <w:spacing w:after="0" w:line="4" w:lineRule="exact"/>
        <w:rPr>
          <w:rFonts w:ascii="Arial" w:cs="Arial" w:eastAsia="Arial" w:hAnsi="Arial"/>
          <w:sz w:val="15"/>
          <w:szCs w:val="15"/>
          <w:color w:val="auto"/>
        </w:rPr>
      </w:pPr>
    </w:p>
    <w:p>
      <w:pPr>
        <w:ind w:right="40" w:firstLine="4"/>
        <w:spacing w:after="0" w:line="253" w:lineRule="auto"/>
        <w:tabs>
          <w:tab w:leader="none" w:pos="297"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each Purchaser shall not be deemed to have any affiliation with or control over any arm’s length counter-party in any “derivative” transaction. The Company further understands and acknowledges that (a) one or more Purchasers may engage in hedging activities at various times during the period that the Shares are outstanding, and (b)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64" w:lineRule="exact"/>
        <w:rPr>
          <w:rFonts w:ascii="Arial" w:cs="Arial" w:eastAsia="Arial" w:hAnsi="Arial"/>
          <w:sz w:val="18"/>
          <w:szCs w:val="18"/>
          <w:color w:val="auto"/>
        </w:rPr>
      </w:pPr>
    </w:p>
    <w:p>
      <w:pPr>
        <w:ind w:firstLine="443"/>
        <w:spacing w:after="0" w:line="294" w:lineRule="auto"/>
        <w:tabs>
          <w:tab w:leader="none" w:pos="696" w:val="left"/>
        </w:tabs>
        <w:numPr>
          <w:ilvl w:val="1"/>
          <w:numId w:val="31"/>
        </w:numPr>
        <w:rPr>
          <w:rFonts w:ascii="Arial" w:cs="Arial" w:eastAsia="Arial" w:hAnsi="Arial"/>
          <w:sz w:val="16"/>
          <w:szCs w:val="16"/>
          <w:color w:val="auto"/>
        </w:rPr>
      </w:pPr>
      <w:r>
        <w:rPr>
          <w:rFonts w:ascii="Arial" w:cs="Arial" w:eastAsia="Arial" w:hAnsi="Arial"/>
          <w:sz w:val="16"/>
          <w:szCs w:val="16"/>
          <w:u w:val="single" w:color="auto"/>
          <w:color w:val="auto"/>
        </w:rPr>
        <w:t>Regulation M Compliance</w:t>
      </w:r>
      <w:r>
        <w:rPr>
          <w:rFonts w:ascii="Arial" w:cs="Arial" w:eastAsia="Arial" w:hAnsi="Arial"/>
          <w:sz w:val="16"/>
          <w:szCs w:val="16"/>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Shares, (ii) sold, bid for, purchased, or, paid any compensation for soliciting purchases of, any of the Shares, or (iii) paid or agreed to pay to any Person any compensation for soliciting another to purchase any other securities of the Company, other than, in the case of clauses (ii) and (iii), compensation paid to the Company’s placement agent in connection with the placement of the Shares.</w:t>
      </w:r>
    </w:p>
    <w:p>
      <w:pPr>
        <w:spacing w:after="0" w:line="34" w:lineRule="exact"/>
        <w:rPr>
          <w:rFonts w:ascii="Arial" w:cs="Arial" w:eastAsia="Arial" w:hAnsi="Arial"/>
          <w:sz w:val="16"/>
          <w:szCs w:val="16"/>
          <w:color w:val="auto"/>
        </w:rPr>
      </w:pPr>
    </w:p>
    <w:p>
      <w:pPr>
        <w:ind w:right="80" w:firstLine="443"/>
        <w:spacing w:after="0" w:line="332" w:lineRule="auto"/>
        <w:tabs>
          <w:tab w:leader="none" w:pos="696" w:val="left"/>
        </w:tabs>
        <w:numPr>
          <w:ilvl w:val="1"/>
          <w:numId w:val="31"/>
        </w:numPr>
        <w:rPr>
          <w:rFonts w:ascii="Arial" w:cs="Arial" w:eastAsia="Arial" w:hAnsi="Arial"/>
          <w:sz w:val="16"/>
          <w:szCs w:val="16"/>
          <w:color w:val="auto"/>
        </w:rPr>
      </w:pPr>
      <w:r>
        <w:rPr>
          <w:rFonts w:ascii="Arial" w:cs="Arial" w:eastAsia="Arial" w:hAnsi="Arial"/>
          <w:sz w:val="16"/>
          <w:szCs w:val="16"/>
          <w:u w:val="single" w:color="auto"/>
          <w:color w:val="auto"/>
        </w:rPr>
        <w:t>U.S. Real Property Holding Corporation</w:t>
      </w:r>
      <w:r>
        <w:rPr>
          <w:rFonts w:ascii="Arial" w:cs="Arial" w:eastAsia="Arial" w:hAnsi="Arial"/>
          <w:sz w:val="16"/>
          <w:szCs w:val="16"/>
          <w:color w:val="auto"/>
        </w:rPr>
        <w:t>. The Company is not, nor has ever been, a U.S. real property holding corporation within the meaning of Section 897 of the Internal Revenue Code of 1986, as amended, and the Company shall so certify upon Purchaser’s request.</w:t>
      </w:r>
    </w:p>
    <w:p>
      <w:pPr>
        <w:spacing w:after="0" w:line="4" w:lineRule="exact"/>
        <w:rPr>
          <w:rFonts w:ascii="Arial" w:cs="Arial" w:eastAsia="Arial" w:hAnsi="Arial"/>
          <w:sz w:val="16"/>
          <w:szCs w:val="16"/>
          <w:color w:val="auto"/>
        </w:rPr>
      </w:pPr>
    </w:p>
    <w:p>
      <w:pPr>
        <w:ind w:right="60" w:firstLine="443"/>
        <w:spacing w:after="0" w:line="259" w:lineRule="auto"/>
        <w:tabs>
          <w:tab w:leader="none" w:pos="775"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Off Balance Sheet Arrangements</w:t>
      </w:r>
      <w:r>
        <w:rPr>
          <w:rFonts w:ascii="Arial" w:cs="Arial" w:eastAsia="Arial" w:hAnsi="Arial"/>
          <w:sz w:val="18"/>
          <w:szCs w:val="18"/>
          <w:color w:val="auto"/>
        </w:rPr>
        <w:t>. There is no transaction, arrangement, or other relationship between the Company and an unconsolidated or other off balance sheet entity that is required to be disclosed by the Company in its Exchange Act filings and is not so disclosed or that otherwise would be reasonably likely to have a Material Adverse Effect.</w:t>
      </w:r>
    </w:p>
    <w:p>
      <w:pPr>
        <w:spacing w:after="0" w:line="59" w:lineRule="exact"/>
        <w:rPr>
          <w:rFonts w:ascii="Arial" w:cs="Arial" w:eastAsia="Arial" w:hAnsi="Arial"/>
          <w:sz w:val="18"/>
          <w:szCs w:val="18"/>
          <w:color w:val="auto"/>
        </w:rPr>
      </w:pPr>
    </w:p>
    <w:p>
      <w:pPr>
        <w:ind w:right="120" w:firstLine="443"/>
        <w:spacing w:after="0" w:line="259" w:lineRule="auto"/>
        <w:tabs>
          <w:tab w:leader="none" w:pos="696"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Investment Company Status</w:t>
      </w:r>
      <w:r>
        <w:rPr>
          <w:rFonts w:ascii="Arial" w:cs="Arial" w:eastAsia="Arial" w:hAnsi="Arial"/>
          <w:sz w:val="18"/>
          <w:szCs w:val="18"/>
          <w:color w:val="auto"/>
        </w:rPr>
        <w:t>. The Company is not, and upon consummation of the sale of the Securities will not be, an “investment company,” a company controlled by an “investment company” or an “affiliated person” of, or “promoter” or “principal underwriter” for, an “investment company” as such terms are defined in the Investment Company Act of 1940, as amended.</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700" w:top="280" w:right="259" w:bottom="1440" w:gutter="0" w:footer="0" w:header="0"/>
        </w:sectPr>
      </w:pPr>
    </w:p>
    <w:bookmarkStart w:id="42" w:name="page43"/>
    <w:bookmarkEnd w:id="42"/>
    <w:p>
      <w:pPr>
        <w:ind w:right="2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3.2 </w:t>
      </w:r>
      <w:r>
        <w:rPr>
          <w:rFonts w:ascii="Arial" w:cs="Arial" w:eastAsia="Arial" w:hAnsi="Arial"/>
          <w:sz w:val="18"/>
          <w:szCs w:val="18"/>
          <w:u w:val="single" w:color="auto"/>
          <w:color w:val="auto"/>
        </w:rPr>
        <w:t>Representations and Warranties of the Purchasers</w:t>
      </w:r>
      <w:r>
        <w:rPr>
          <w:rFonts w:ascii="Arial" w:cs="Arial" w:eastAsia="Arial" w:hAnsi="Arial"/>
          <w:sz w:val="18"/>
          <w:szCs w:val="18"/>
          <w:color w:val="auto"/>
        </w:rPr>
        <w:t>. Each Purchaser, for itself and for no other Purchaser, hereby represents and warrants as of the date hereof and as of the Closing Date to the Company as follows:</w:t>
      </w:r>
    </w:p>
    <w:p>
      <w:pPr>
        <w:spacing w:after="0" w:line="51" w:lineRule="exact"/>
        <w:rPr>
          <w:sz w:val="20"/>
          <w:szCs w:val="20"/>
          <w:color w:val="auto"/>
        </w:rPr>
      </w:pPr>
    </w:p>
    <w:p>
      <w:pPr>
        <w:ind w:left="460" w:right="20" w:firstLine="443"/>
        <w:spacing w:after="0" w:line="309" w:lineRule="auto"/>
        <w:tabs>
          <w:tab w:leader="none" w:pos="1137" w:val="left"/>
        </w:tabs>
        <w:numPr>
          <w:ilvl w:val="0"/>
          <w:numId w:val="32"/>
        </w:numPr>
        <w:rPr>
          <w:rFonts w:ascii="Arial" w:cs="Arial" w:eastAsia="Arial" w:hAnsi="Arial"/>
          <w:sz w:val="15"/>
          <w:szCs w:val="15"/>
          <w:color w:val="auto"/>
        </w:rPr>
      </w:pPr>
      <w:r>
        <w:rPr>
          <w:rFonts w:ascii="Arial" w:cs="Arial" w:eastAsia="Arial" w:hAnsi="Arial"/>
          <w:sz w:val="15"/>
          <w:szCs w:val="15"/>
          <w:u w:val="single" w:color="auto"/>
          <w:color w:val="auto"/>
        </w:rPr>
        <w:t>Organization; Authority</w:t>
      </w:r>
      <w:r>
        <w:rPr>
          <w:rFonts w:ascii="Arial" w:cs="Arial" w:eastAsia="Arial" w:hAnsi="Arial"/>
          <w:sz w:val="15"/>
          <w:szCs w:val="15"/>
          <w:color w:val="auto"/>
        </w:rPr>
        <w:t>. Such Purchaser is an entity duly organized, validly existing and in good standing under the laws of the jurisdiction of its organization with full right, corporate or partnership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or similar action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27" w:lineRule="exact"/>
        <w:rPr>
          <w:rFonts w:ascii="Arial" w:cs="Arial" w:eastAsia="Arial" w:hAnsi="Arial"/>
          <w:sz w:val="15"/>
          <w:szCs w:val="15"/>
          <w:color w:val="auto"/>
        </w:rPr>
      </w:pPr>
    </w:p>
    <w:p>
      <w:pPr>
        <w:ind w:left="460" w:firstLine="443"/>
        <w:spacing w:after="0" w:line="290" w:lineRule="auto"/>
        <w:tabs>
          <w:tab w:leader="none" w:pos="1147"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Own Account</w:t>
      </w:r>
      <w:r>
        <w:rPr>
          <w:rFonts w:ascii="Arial" w:cs="Arial" w:eastAsia="Arial" w:hAnsi="Arial"/>
          <w:sz w:val="16"/>
          <w:szCs w:val="16"/>
          <w:color w:val="auto"/>
        </w:rPr>
        <w:t>. Such Purchaser understands that the Shares are “restricted securities” and have not been registered under the Securities Act or any applicable state securities law and is acquiring the Shares as principal for its own account and not with a view to or for distributing or reselling such Shares or any part thereof in violation of the Securities Act or any applicable state securities law, has no present intention of distributing any of such Shares in violation of the Securities Act or any applicable state securities law and has no direct or indirect arrangement or understandings with any other persons to distribute or regarding the distribution of such Shares (this representation and warranty not limiting such Purchaser’s right to sell the Shares pursuant to the Registration Statement or otherwise in compliance with applicable federal and state securities laws) in violation of the Securities Act or any applicable state securities law. Such Purchaser is acquiring the Shares hereunder in the ordinary course of its business.</w:t>
      </w:r>
    </w:p>
    <w:p>
      <w:pPr>
        <w:spacing w:after="0" w:line="37" w:lineRule="exact"/>
        <w:rPr>
          <w:rFonts w:ascii="Arial" w:cs="Arial" w:eastAsia="Arial" w:hAnsi="Arial"/>
          <w:sz w:val="16"/>
          <w:szCs w:val="16"/>
          <w:color w:val="auto"/>
        </w:rPr>
      </w:pPr>
    </w:p>
    <w:p>
      <w:pPr>
        <w:ind w:left="460" w:right="220" w:firstLine="443"/>
        <w:spacing w:after="0" w:line="306" w:lineRule="auto"/>
        <w:tabs>
          <w:tab w:leader="none" w:pos="1137"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Purchaser Status</w:t>
      </w:r>
      <w:r>
        <w:rPr>
          <w:rFonts w:ascii="Arial" w:cs="Arial" w:eastAsia="Arial" w:hAnsi="Arial"/>
          <w:sz w:val="16"/>
          <w:szCs w:val="16"/>
          <w:color w:val="auto"/>
        </w:rPr>
        <w:t>. At the time such Purchaser was offered the Shares, it was, and at the date hereof it is either: (i) an “accredited investor” as defined in Rule 501(a)(1), (a)(2), (a)(3), (a)(7) or (a)(8) under the Securities Act or (ii) a “qualified institutional buyer” as defined in Rule 144A(a) under the Securities Act. Such Purchaser is not required to be registered as a broker-dealer under Section 15 of the Exchange Act.</w:t>
      </w:r>
    </w:p>
    <w:p>
      <w:pPr>
        <w:spacing w:after="0" w:line="25" w:lineRule="exact"/>
        <w:rPr>
          <w:rFonts w:ascii="Arial" w:cs="Arial" w:eastAsia="Arial" w:hAnsi="Arial"/>
          <w:sz w:val="16"/>
          <w:szCs w:val="16"/>
          <w:color w:val="auto"/>
        </w:rPr>
      </w:pPr>
    </w:p>
    <w:p>
      <w:pPr>
        <w:ind w:left="460" w:right="120" w:firstLine="443"/>
        <w:spacing w:after="0" w:line="256" w:lineRule="auto"/>
        <w:tabs>
          <w:tab w:leader="none" w:pos="1147"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Experience of Such Purchaser</w:t>
      </w:r>
      <w:r>
        <w:rPr>
          <w:rFonts w:ascii="Arial" w:cs="Arial" w:eastAsia="Arial" w:hAnsi="Arial"/>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Shares, and has so evaluated the merits and risks of such investment. Such Purchaser is able to bear the economic risk of an investment in the Shares and, at the present time, is able to afford a complete loss of such investment.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43" w:name="page44"/>
    <w:bookmarkEnd w:id="43"/>
    <w:p>
      <w:pPr>
        <w:ind w:left="460" w:right="80" w:firstLine="443"/>
        <w:spacing w:after="0" w:line="259" w:lineRule="auto"/>
        <w:tabs>
          <w:tab w:leader="none" w:pos="1137"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General Solicitation</w:t>
      </w:r>
      <w:r>
        <w:rPr>
          <w:rFonts w:ascii="Arial" w:cs="Arial" w:eastAsia="Arial" w:hAnsi="Arial"/>
          <w:sz w:val="18"/>
          <w:szCs w:val="18"/>
          <w:color w:val="auto"/>
        </w:rPr>
        <w:t>. Such Purchaser is not purchasing the Shares as a result of any advertisement, article, notice or other communication regarding the Shares published in any newspaper, magazine or similar media or broadcast over television or radio or presented at any seminar or any other general solicitation or general advertisement.</w:t>
      </w:r>
    </w:p>
    <w:p>
      <w:pPr>
        <w:spacing w:after="0" w:line="59" w:lineRule="exact"/>
        <w:rPr>
          <w:rFonts w:ascii="Arial" w:cs="Arial" w:eastAsia="Arial" w:hAnsi="Arial"/>
          <w:sz w:val="18"/>
          <w:szCs w:val="18"/>
          <w:color w:val="auto"/>
        </w:rPr>
      </w:pPr>
    </w:p>
    <w:p>
      <w:pPr>
        <w:ind w:left="460" w:firstLine="443"/>
        <w:spacing w:after="0" w:line="287" w:lineRule="auto"/>
        <w:tabs>
          <w:tab w:leader="none" w:pos="1117"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Short Sales and Confidentiality Prior To The Date Hereof</w:t>
      </w:r>
      <w:r>
        <w:rPr>
          <w:rFonts w:ascii="Arial" w:cs="Arial" w:eastAsia="Arial" w:hAnsi="Arial"/>
          <w:sz w:val="16"/>
          <w:szCs w:val="16"/>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from the time that such Purchaser was first contacted by the Company or any other Person representing the Company concerning the terms of the transactions contemplated hereunder until the date hereof (“</w:t>
      </w:r>
      <w:r>
        <w:rPr>
          <w:rFonts w:ascii="Arial" w:cs="Arial" w:eastAsia="Arial" w:hAnsi="Arial"/>
          <w:sz w:val="16"/>
          <w:szCs w:val="16"/>
          <w:u w:val="single" w:color="auto"/>
          <w:color w:val="auto"/>
        </w:rPr>
        <w:t>Discussion Time</w:t>
      </w:r>
      <w:r>
        <w:rPr>
          <w:rFonts w:ascii="Arial" w:cs="Arial" w:eastAsia="Arial" w:hAnsi="Arial"/>
          <w:sz w:val="16"/>
          <w:szCs w:val="16"/>
          <w:color w:val="auto"/>
        </w:rPr>
        <w:t>”).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Shares covered by this Agreement. Other than to other Persons party to this Agreement, such Purchaser has maintained the confidentiality of all disclosures made to it in connection with this transaction (including the existence and terms of this transaction).</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IV.</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OTHER AGREEMENTS OF THE PARTIES</w:t>
      </w:r>
    </w:p>
    <w:p>
      <w:pPr>
        <w:spacing w:after="0" w:line="16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Transfer Restrictions</w:t>
      </w:r>
      <w:r>
        <w:rPr>
          <w:rFonts w:ascii="Arial" w:cs="Arial" w:eastAsia="Arial" w:hAnsi="Arial"/>
          <w:sz w:val="16"/>
          <w:szCs w:val="16"/>
          <w:color w:val="auto"/>
        </w:rPr>
        <w:t>. The Shares may only be disposed of in compliance with state and federal securities laws. In connection with any transfer of Shares other than pursuant to an effective registration statement or Rule 144, to the Company or to an Affiliate of a Purchaser or in connection with a pledge as contemplated in Section 4.1(b),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Shares under the Securities Act. As a condition of transfer, any such transferee shall agree in writing to be bound by the terms of this Agreement and shall have the rights of a Purchaser under this Agreement and the Registration Rights Agreement.</w:t>
      </w:r>
    </w:p>
    <w:p>
      <w:pPr>
        <w:spacing w:after="0" w:line="39" w:lineRule="exact"/>
        <w:rPr>
          <w:sz w:val="20"/>
          <w:szCs w:val="20"/>
          <w:color w:val="auto"/>
        </w:rPr>
      </w:pPr>
    </w:p>
    <w:p>
      <w:pPr>
        <w:ind w:left="900"/>
        <w:spacing w:after="0"/>
        <w:rPr>
          <w:sz w:val="20"/>
          <w:szCs w:val="20"/>
          <w:color w:val="auto"/>
        </w:rPr>
      </w:pPr>
      <w:r>
        <w:rPr>
          <w:rFonts w:ascii="Arial" w:cs="Arial" w:eastAsia="Arial" w:hAnsi="Arial"/>
          <w:sz w:val="16"/>
          <w:szCs w:val="16"/>
          <w:color w:val="auto"/>
        </w:rPr>
        <w:t>(a) The Purchasers agree to the imprinting, so long as is required by this Section 4.1, of a legend on any of the Shares in the following form:</w:t>
      </w:r>
    </w:p>
    <w:p>
      <w:pPr>
        <w:spacing w:after="0" w:line="113" w:lineRule="exact"/>
        <w:rPr>
          <w:sz w:val="20"/>
          <w:szCs w:val="20"/>
          <w:color w:val="auto"/>
        </w:rPr>
      </w:pPr>
    </w:p>
    <w:p>
      <w:pPr>
        <w:ind w:left="920" w:right="60"/>
        <w:spacing w:after="0" w:line="256" w:lineRule="auto"/>
        <w:rPr>
          <w:sz w:val="20"/>
          <w:szCs w:val="20"/>
          <w:color w:val="auto"/>
        </w:rPr>
      </w:pPr>
      <w:r>
        <w:rPr>
          <w:rFonts w:ascii="Arial" w:cs="Arial" w:eastAsia="Arial" w:hAnsi="Arial"/>
          <w:sz w:val="18"/>
          <w:szCs w:val="18"/>
          <w:color w:val="auto"/>
        </w:rPr>
        <w:t>THIS SECURITY HAS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80" w:right="279" w:bottom="1440" w:gutter="0" w:footer="0" w:header="0"/>
        </w:sectPr>
      </w:pPr>
    </w:p>
    <w:bookmarkStart w:id="44" w:name="page45"/>
    <w:bookmarkEnd w:id="44"/>
    <w:p>
      <w:pPr>
        <w:ind w:left="460" w:right="1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REGISTRATION STATEMENT UNDER THE SECURITIES ACT OR PURSUANT TO AN AVAILABLE EXEMPTION FROM, OR IN A TRANSACTION NOT SUBJECT TO, THE REGISTRATION REQUIREMENTS OF THE SECURITIES ACT AND IN ACCORDANCE WITH APPLICABLE STATE SECURITIES LAWS AS EVIDENCED BY A LEGAL OPINION OF COUNSEL TO THE TRANSFEROR TO SUCH EFFECT, THE SUBSTANCE OF WHICH SHALL BE REASONABLY ACCEPTABLE TO THE COMPANY.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37" w:lineRule="exact"/>
        <w:rPr>
          <w:sz w:val="20"/>
          <w:szCs w:val="20"/>
          <w:color w:val="auto"/>
        </w:rPr>
      </w:pPr>
    </w:p>
    <w:p>
      <w:pPr>
        <w:ind w:right="80" w:firstLine="438"/>
        <w:spacing w:after="0" w:line="287" w:lineRule="auto"/>
        <w:rPr>
          <w:sz w:val="20"/>
          <w:szCs w:val="20"/>
          <w:color w:val="auto"/>
        </w:rPr>
      </w:pPr>
      <w:r>
        <w:rPr>
          <w:rFonts w:ascii="Arial" w:cs="Arial" w:eastAsia="Arial" w:hAnsi="Arial"/>
          <w:sz w:val="16"/>
          <w:szCs w:val="16"/>
          <w:color w:val="auto"/>
        </w:rPr>
        <w:t>The Company acknowledges and agrees that a Purchaser may from time to time pledge pursuant to a bona fide margin agreement with a registered broker-dealer or grant a security interest in some or all of the Shares to a financial institution that is an “accredited investor” as defined in Rule 501(a) under the Securities Act and who agrees to be bound by the provisions of this Agreement and the Registration Rights Agreement and, if required under the terms of such arrangement, such Purchaser may transfer pledged or secured Shares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Shares may reasonably request in connection with a pledge or transfer of the Shares, including, if the Shares are subject to registration pursuant to the Registration Rights Agreement, the preparation and filing of any required prospectus supplement under Rule 424(b)(3) under the Securities Act or other applicable provision of the Securities Act to appropriately amend the list of Selling Stockholders thereunder.</w:t>
      </w:r>
    </w:p>
    <w:p>
      <w:pPr>
        <w:spacing w:after="0" w:line="42" w:lineRule="exact"/>
        <w:rPr>
          <w:sz w:val="20"/>
          <w:szCs w:val="20"/>
          <w:color w:val="auto"/>
        </w:rPr>
      </w:pPr>
    </w:p>
    <w:p>
      <w:pPr>
        <w:ind w:firstLine="443"/>
        <w:spacing w:after="0" w:line="288" w:lineRule="auto"/>
        <w:tabs>
          <w:tab w:leader="none" w:pos="687" w:val="left"/>
        </w:tabs>
        <w:numPr>
          <w:ilvl w:val="0"/>
          <w:numId w:val="34"/>
        </w:numPr>
        <w:rPr>
          <w:rFonts w:ascii="Arial" w:cs="Arial" w:eastAsia="Arial" w:hAnsi="Arial"/>
          <w:sz w:val="16"/>
          <w:szCs w:val="16"/>
          <w:color w:val="auto"/>
        </w:rPr>
      </w:pPr>
      <w:r>
        <w:rPr>
          <w:rFonts w:ascii="Arial" w:cs="Arial" w:eastAsia="Arial" w:hAnsi="Arial"/>
          <w:sz w:val="16"/>
          <w:szCs w:val="16"/>
          <w:color w:val="auto"/>
        </w:rPr>
        <w:t>Certificates evidencing the Shares shall not contain any legend (including the legend set forth in Section 4.1(b)), (i) while a registration statement (including the Registration Statement) covering the resale of such security is effective under the Securities Act, or (ii) following any sale of such Shares pursuant to Rule 144, or (iii) if such Shares are eligible for sale under Rule 144(k), or (iv) if such legend is not required under applicable requirements of the Securities Act (including judicial interpretations and pronouncements issued by the staff of the Commission). The Company shall cause its counsel to issue a legal opinion to the Transfer Agent promptly after the Effective Date if required by the Transfer Agent to effect the removal of the legend hereunder. The Company agrees that following the Effective Date or at such time as such legend is no longer required under this Section 4.1(c), it will, no later than three Trading Days following the delivery by a Purchaser to the Company or the Transfer Agent of a certificate representing Shares, issued with a restrictive legend (such third Trading Day, the “</w:t>
      </w:r>
      <w:r>
        <w:rPr>
          <w:rFonts w:ascii="Arial" w:cs="Arial" w:eastAsia="Arial" w:hAnsi="Arial"/>
          <w:sz w:val="16"/>
          <w:szCs w:val="16"/>
          <w:u w:val="single" w:color="auto"/>
          <w:color w:val="auto"/>
        </w:rPr>
        <w:t>Legend Removal Date</w:t>
      </w:r>
      <w:r>
        <w:rPr>
          <w:rFonts w:ascii="Arial" w:cs="Arial" w:eastAsia="Arial" w:hAnsi="Arial"/>
          <w:sz w:val="16"/>
          <w:szCs w:val="16"/>
          <w:color w:val="auto"/>
        </w:rPr>
        <w:t>”), deliver or cause to be delivered to such Purchaser a certificate representing such Shares that is free from all restrictive and other legends. The Company may not make any notation on its records or give instructions to the Transfer</w:t>
      </w:r>
    </w:p>
    <w:p>
      <w:pPr>
        <w:spacing w:after="0" w:line="10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700" w:top="280" w:right="239" w:bottom="1440" w:gutter="0" w:footer="0" w:header="0"/>
        </w:sectPr>
      </w:pPr>
    </w:p>
    <w:bookmarkStart w:id="45" w:name="page46"/>
    <w:bookmarkEnd w:id="45"/>
    <w:p>
      <w:pPr>
        <w:ind w:left="460"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Agent that enlarge the restrictions on transfer set forth in this Section. Certificates for Shares subject to legend removal hereunder shall be transmitted by the Transfer Agent to the Purchaser by crediting the account of the Purchaser’s prime broker with the Depository Trust Company System as directed by such Purchaser.</w:t>
      </w:r>
    </w:p>
    <w:p>
      <w:pPr>
        <w:spacing w:after="0" w:line="59" w:lineRule="exact"/>
        <w:rPr>
          <w:sz w:val="20"/>
          <w:szCs w:val="20"/>
          <w:color w:val="auto"/>
        </w:rPr>
      </w:pPr>
    </w:p>
    <w:p>
      <w:pPr>
        <w:ind w:left="460" w:right="20" w:firstLine="443"/>
        <w:spacing w:after="0" w:line="284" w:lineRule="auto"/>
        <w:tabs>
          <w:tab w:leader="none" w:pos="1137" w:val="left"/>
        </w:tabs>
        <w:numPr>
          <w:ilvl w:val="1"/>
          <w:numId w:val="35"/>
        </w:numPr>
        <w:rPr>
          <w:rFonts w:ascii="Arial" w:cs="Arial" w:eastAsia="Arial" w:hAnsi="Arial"/>
          <w:sz w:val="16"/>
          <w:szCs w:val="16"/>
          <w:color w:val="auto"/>
        </w:rPr>
      </w:pPr>
      <w:r>
        <w:rPr>
          <w:rFonts w:ascii="Arial" w:cs="Arial" w:eastAsia="Arial" w:hAnsi="Arial"/>
          <w:sz w:val="16"/>
          <w:szCs w:val="16"/>
          <w:color w:val="auto"/>
        </w:rPr>
        <w:t>In addition to such Purchaser’s other available remedies, the Company shall pay to a Purchaser, in cash, as partial liquidated damages and not as a penalty, for each $1,000 of Shares (based on the volume weighted average price of the Common Stock on the date such Shares are submitted to the Transfer Agent) delivered for removal of the restrictive legend and subject to Section 4.1(c), $10 per Trading Day (increasing to $20 per Trading Day five</w:t>
      </w:r>
    </w:p>
    <w:p>
      <w:pPr>
        <w:spacing w:after="0" w:line="1" w:lineRule="exact"/>
        <w:rPr>
          <w:rFonts w:ascii="Arial" w:cs="Arial" w:eastAsia="Arial" w:hAnsi="Arial"/>
          <w:sz w:val="16"/>
          <w:szCs w:val="16"/>
          <w:color w:val="auto"/>
        </w:rPr>
      </w:pPr>
    </w:p>
    <w:p>
      <w:pPr>
        <w:ind w:left="460" w:right="60" w:firstLine="4"/>
        <w:spacing w:after="0" w:line="254" w:lineRule="auto"/>
        <w:tabs>
          <w:tab w:leader="none" w:pos="706" w:val="left"/>
        </w:tabs>
        <w:numPr>
          <w:ilvl w:val="0"/>
          <w:numId w:val="36"/>
        </w:numPr>
        <w:rPr>
          <w:rFonts w:ascii="Arial" w:cs="Arial" w:eastAsia="Arial" w:hAnsi="Arial"/>
          <w:sz w:val="18"/>
          <w:szCs w:val="18"/>
          <w:color w:val="auto"/>
        </w:rPr>
      </w:pPr>
      <w:r>
        <w:rPr>
          <w:rFonts w:ascii="Arial" w:cs="Arial" w:eastAsia="Arial" w:hAnsi="Arial"/>
          <w:sz w:val="18"/>
          <w:szCs w:val="18"/>
          <w:color w:val="auto"/>
        </w:rPr>
        <w:t>Trading Days after such damages have begun to accrue) for each Trading Day after the Legend Removal Date until such certificate is delivered without a legend. Nothing herein shall limit such Purchaser’s right to pursue actual damages for the Company’s failure to deliver certificates representing any Shares as required by the Transaction Documents, and such Purchaser shall have the right to pursue all remedies available to it at law or in equity including, without limitation, a decree of specific performance and/or injunctive relief.</w:t>
      </w:r>
    </w:p>
    <w:p>
      <w:pPr>
        <w:spacing w:after="0" w:line="62" w:lineRule="exact"/>
        <w:rPr>
          <w:rFonts w:ascii="Arial" w:cs="Arial" w:eastAsia="Arial" w:hAnsi="Arial"/>
          <w:sz w:val="18"/>
          <w:szCs w:val="18"/>
          <w:color w:val="auto"/>
        </w:rPr>
      </w:pPr>
    </w:p>
    <w:p>
      <w:pPr>
        <w:ind w:left="460" w:right="200" w:firstLine="443"/>
        <w:spacing w:after="0" w:line="255" w:lineRule="auto"/>
        <w:tabs>
          <w:tab w:leader="none" w:pos="1147" w:val="left"/>
        </w:tabs>
        <w:numPr>
          <w:ilvl w:val="1"/>
          <w:numId w:val="36"/>
        </w:numPr>
        <w:rPr>
          <w:rFonts w:ascii="Arial" w:cs="Arial" w:eastAsia="Arial" w:hAnsi="Arial"/>
          <w:sz w:val="18"/>
          <w:szCs w:val="18"/>
          <w:color w:val="auto"/>
        </w:rPr>
      </w:pPr>
      <w:r>
        <w:rPr>
          <w:rFonts w:ascii="Arial" w:cs="Arial" w:eastAsia="Arial" w:hAnsi="Arial"/>
          <w:sz w:val="18"/>
          <w:szCs w:val="18"/>
          <w:color w:val="auto"/>
        </w:rPr>
        <w:t>Each Purchaser, severally and not jointly with the other Purchasers, agrees that such Purchaser will sell any Shares pursuant to either the registration requirements of the Securities Act, including any applicable prospectus delivery requirements, or an exemption therefrom, and that if Shares are sold pursuant to a Registration Statement, they will be sold in compliance with the plan of distribution set forth therein, and acknowledges that the removal of the restrictive legend from certificates representing Shares as set forth in this Section 4.1 is predicated upon the Company’s reliance upon this understanding.</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Furnishing of Information</w:t>
      </w:r>
      <w:r>
        <w:rPr>
          <w:rFonts w:ascii="Arial" w:cs="Arial" w:eastAsia="Arial" w:hAnsi="Arial"/>
          <w:sz w:val="16"/>
          <w:szCs w:val="16"/>
          <w:color w:val="auto"/>
        </w:rPr>
        <w:t>. Until the earliest of the time that no Purchaser owns Shares, the Company covenants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 As long as any Purchaser owns Shares, if the Company is not required to file reports pursuant to the Exchange Act, it will prepare and furnish to the Purchasers and make publicly available in accordance with Rule 144(c) such information as is required for the Purchasers to sell the Shares under Rule 144. The Company further covenants that it will take such further action as any holder of Shares may reasonably request, to the extent required from time to time to enable such Person to sell such Shares without registration under the Securities Act within the requirements of the exemption provided by Rule 144.</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Integration</w:t>
      </w:r>
      <w:r>
        <w:rPr>
          <w:rFonts w:ascii="Arial" w:cs="Arial" w:eastAsia="Arial" w:hAnsi="Arial"/>
          <w:sz w:val="18"/>
          <w:szCs w:val="18"/>
          <w:color w:val="auto"/>
        </w:rPr>
        <w:t>. The Company shall not sell, offer for sale or solicit offers to buy or otherwise negotiate in respect of any security (as defined in Section 2 of the Securities Act) that would be integrated with the offer or sale of the Shares in a manner that would require the registration under the Securities Act of the sale of the Shares to the Purchasers or that would be integrated with the offer or sale of the Shares to the Purchasers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46" w:name="page47"/>
    <w:bookmarkEnd w:id="46"/>
    <w:p>
      <w:pPr>
        <w:ind w:right="80"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4.4 </w:t>
      </w:r>
      <w:r>
        <w:rPr>
          <w:rFonts w:ascii="Arial" w:cs="Arial" w:eastAsia="Arial" w:hAnsi="Arial"/>
          <w:sz w:val="16"/>
          <w:szCs w:val="16"/>
          <w:u w:val="single" w:color="auto"/>
          <w:color w:val="auto"/>
        </w:rPr>
        <w:t>Securities Laws Disclosure;</w:t>
      </w:r>
      <w:r>
        <w:rPr>
          <w:rFonts w:ascii="Arial" w:cs="Arial" w:eastAsia="Arial" w:hAnsi="Arial"/>
          <w:sz w:val="16"/>
          <w:szCs w:val="16"/>
          <w:color w:val="auto"/>
        </w:rPr>
        <w:t xml:space="preserve"> Publicity. The Company shall, by 8:30 a.m. (New York City time) on the Trading Day immediately following the date hereof, issue a press release disclosing the material terms of the transactions contemplated hereby, and by the fourth Trading Day following the date hereof, file a Current Report on Form 8-K, filing the Transaction Documents as exhibits thereto. The Company and each Purchaser shall consult with each other in issuing any other press releases with respect to the transactions contemplated hereby, and neither the Company nor any Purchaser shall issue any such press release 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(i) as required by federal securities law in connection with (A) any registration statement contemplated by the Registration Rights Agreement and (B) the filing of final Transaction Documents (including signature pages thereto) with the Commission and (ii) to the extent such disclosure is required by law or Trading Market regulations, in which case the Company shall provide the Purchasers with prior notice of such disclosure permitted under this clause (ii).</w:t>
      </w:r>
    </w:p>
    <w:p>
      <w:pPr>
        <w:spacing w:after="0" w:line="12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Shareholder Rights Plan</w:t>
      </w:r>
      <w:r>
        <w:rPr>
          <w:rFonts w:ascii="Arial" w:cs="Arial" w:eastAsia="Arial" w:hAnsi="Arial"/>
          <w:sz w:val="18"/>
          <w:szCs w:val="18"/>
          <w:color w:val="auto"/>
        </w:rPr>
        <w:t>. No claim will be made or enforced by the Company or, with the consent of the Company, any other Person, that any Purchaser is an “Acquiring Person” under the Rights or any other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Shares under the Transaction Documents or under any other agreement between the Company and the Purchasers.</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Non-Public Information</w:t>
      </w:r>
      <w:r>
        <w:rPr>
          <w:rFonts w:ascii="Arial" w:cs="Arial" w:eastAsia="Arial" w:hAnsi="Arial"/>
          <w:sz w:val="18"/>
          <w:szCs w:val="18"/>
          <w:color w:val="auto"/>
        </w:rPr>
        <w:t>. Except with respect to the material terms and conditions of the transactions contemplated by the Transaction Documents, the Company covenants and agrees that neither it nor any other Person acting on its behalf will provide any Purchaser or its agents or counsel with any information that the Company believes constitutes material non-public information, unless prior thereto such Purchaser shall have executed a written agreement regarding the confidentiality and use of such information. The Company understands and confirms that each Purchaser shall be relying on the foregoing covenant in effecting transactions in securities of the Company.</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Use of Proceeds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4.7</w:t>
      </w:r>
      <w:r>
        <w:rPr>
          <w:rFonts w:ascii="Arial" w:cs="Arial" w:eastAsia="Arial" w:hAnsi="Arial"/>
          <w:sz w:val="18"/>
          <w:szCs w:val="18"/>
          <w:color w:val="auto"/>
        </w:rPr>
        <w:t xml:space="preserve"> of the Disclosure Schedules, the Company shall use the net proceeds from the sale of the Shares hereunder for working capital purposes and shall not use such proceeds for (a) the satisfaction of any portion of the Company’s debt (other than payment of trade payables in the ordinary course of the Company’s business and prior practices), (b) the redemption of any Common Stock or Common Stock Equivalents or (c) the settlement of any outstanding litigation.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47" w:name="page48"/>
    <w:bookmarkEnd w:id="47"/>
    <w:p>
      <w:pPr>
        <w:ind w:firstLine="456"/>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4.8 </w:t>
      </w:r>
      <w:r>
        <w:rPr>
          <w:rFonts w:ascii="Arial" w:cs="Arial" w:eastAsia="Arial" w:hAnsi="Arial"/>
          <w:sz w:val="16"/>
          <w:szCs w:val="16"/>
          <w:u w:val="single" w:color="auto"/>
          <w:color w:val="auto"/>
        </w:rPr>
        <w:t>Indemnification of Purchasers</w:t>
      </w:r>
      <w:r>
        <w:rPr>
          <w:rFonts w:ascii="Arial" w:cs="Arial" w:eastAsia="Arial" w:hAnsi="Arial"/>
          <w:sz w:val="16"/>
          <w:szCs w:val="16"/>
          <w:color w:val="auto"/>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Arial" w:cs="Arial" w:eastAsia="Arial" w:hAnsi="Arial"/>
          <w:sz w:val="16"/>
          <w:szCs w:val="16"/>
          <w:u w:val="single" w:color="auto"/>
          <w:color w:val="auto"/>
        </w:rPr>
        <w:t>Purchaser Party</w:t>
      </w:r>
      <w:r>
        <w:rPr>
          <w:rFonts w:ascii="Arial" w:cs="Arial" w:eastAsia="Arial" w:hAnsi="Arial"/>
          <w:sz w:val="16"/>
          <w:szCs w:val="16"/>
          <w:color w:val="auto"/>
        </w:rPr>
        <w:t>”) harmless from any and all losses, liabilities, obligations, claims, contingencies, damages, costs and expenses, including all judgments, amounts paid in settlements, court costs and reasonable attorneys’ fees and costs of reasonable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a Purchaser in any capacity, or any of them or their respective Affiliates, by any stockholder of the Company who is not an Affiliate of such Purchaser, with respect to any of the transactions contemplated by the Transaction Documents (unless such action is based upon a breach of such Purchaser’s representations, warranties or covenants under the Transaction Documents or any agreements or understandings such Purchaser may have with any such stockholder or any violations by the Purchaser of state or federal securities laws or any conduct by such Purchaser which constitutes fraud, gross negligence, willful misconduct or malfeasance).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such separate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(i) for any settlement by a Purchaser Party effected without the Company’s prior written consent, which shall not be unreasonably withheld or delayed; or (ii) to the extent, but only to the extent that a loss, claim, damage or liability is attributable to any Purchaser Party’s breach of any of the representations, warranties, covenants or agreements made by such Purchaser Party in this Agreement or in the other Transaction Documents.</w:t>
      </w:r>
    </w:p>
    <w:p>
      <w:pPr>
        <w:spacing w:after="0" w:line="1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Listing of Common Stock</w:t>
      </w:r>
      <w:r>
        <w:rPr>
          <w:rFonts w:ascii="Arial" w:cs="Arial" w:eastAsia="Arial" w:hAnsi="Arial"/>
          <w:sz w:val="18"/>
          <w:szCs w:val="18"/>
          <w:color w:val="auto"/>
        </w:rPr>
        <w:t>. The Company hereby agrees to use best efforts to maintain the listing of the Common Stock on a Trading Market, and as soon as reasonably practicable following the Closing (but not later than the earlier of the Effective Date and the first anniversary of the Closing Date) to list all of the Shares on such Trading Market. The Company further agrees, if the Company applies to have the Common Stock traded on any other Trading Market, it will include in such application all of the Shares, and will take such other action as is necessary to cause all of the Shares to be listed on such other Trading Market as promptly as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80" w:right="279" w:bottom="1440" w:gutter="0" w:footer="0" w:header="0"/>
        </w:sectPr>
      </w:pPr>
    </w:p>
    <w:bookmarkStart w:id="48" w:name="page49"/>
    <w:bookmarkEnd w:id="48"/>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possible. The Company will take all action reasonably necessary to continue the listing and trading of its Common Stock on a Trading Market and will comply in all respects with the Company’s reporting, filing and other obligations under the bylaws or rules of the Trading Market.</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Equal Treatment of Purchasers</w:t>
      </w:r>
      <w:r>
        <w:rPr>
          <w:rFonts w:ascii="Arial" w:cs="Arial" w:eastAsia="Arial" w:hAnsi="Arial"/>
          <w:sz w:val="18"/>
          <w:szCs w:val="18"/>
          <w:color w:val="auto"/>
        </w:rPr>
        <w:t>. No consideration shall be offered or paid to any Person to amend or consent to a waiver or modification of any provision of any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Shares or otherwise.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Subsequent Equity Sales</w:t>
      </w:r>
      <w:r>
        <w:rPr>
          <w:rFonts w:ascii="Arial" w:cs="Arial" w:eastAsia="Arial" w:hAnsi="Arial"/>
          <w:sz w:val="18"/>
          <w:szCs w:val="18"/>
          <w:color w:val="auto"/>
        </w:rPr>
        <w:t>.</w:t>
      </w:r>
    </w:p>
    <w:p>
      <w:pPr>
        <w:spacing w:after="0" w:line="90" w:lineRule="exact"/>
        <w:rPr>
          <w:sz w:val="20"/>
          <w:szCs w:val="20"/>
          <w:color w:val="auto"/>
        </w:rPr>
      </w:pPr>
    </w:p>
    <w:p>
      <w:pPr>
        <w:ind w:left="460" w:right="60" w:firstLine="443"/>
        <w:spacing w:after="0" w:line="298" w:lineRule="auto"/>
        <w:tabs>
          <w:tab w:leader="none" w:pos="1137" w:val="left"/>
        </w:tabs>
        <w:numPr>
          <w:ilvl w:val="1"/>
          <w:numId w:val="37"/>
        </w:numPr>
        <w:rPr>
          <w:rFonts w:ascii="Arial" w:cs="Arial" w:eastAsia="Arial" w:hAnsi="Arial"/>
          <w:sz w:val="16"/>
          <w:szCs w:val="16"/>
          <w:color w:val="auto"/>
        </w:rPr>
      </w:pPr>
      <w:r>
        <w:rPr>
          <w:rFonts w:ascii="Arial" w:cs="Arial" w:eastAsia="Arial" w:hAnsi="Arial"/>
          <w:sz w:val="16"/>
          <w:szCs w:val="16"/>
          <w:color w:val="auto"/>
        </w:rPr>
        <w:t xml:space="preserve">From the date hereof until 90 days after the Effective Date, neither the Company nor any Subsidiary shall issue shares of Common Stock or Common Stock Equivalents;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the 90 day period set forth in this Section 4.11 shall be extended for the number of Trading Days during such period in which (i) trading in the Common Stock is suspended by any Trading Market, or (ii) following the Effective Date, the Registration Statement is not effective or the prospectus included in the Registration Statement may not be used by the Purchasers for the resale of the Shares.</w:t>
      </w:r>
    </w:p>
    <w:p>
      <w:pPr>
        <w:spacing w:after="0" w:line="31" w:lineRule="exact"/>
        <w:rPr>
          <w:rFonts w:ascii="Arial" w:cs="Arial" w:eastAsia="Arial" w:hAnsi="Arial"/>
          <w:sz w:val="16"/>
          <w:szCs w:val="16"/>
          <w:color w:val="auto"/>
        </w:rPr>
      </w:pPr>
    </w:p>
    <w:p>
      <w:pPr>
        <w:ind w:left="460" w:right="40" w:firstLine="443"/>
        <w:spacing w:after="0" w:line="302" w:lineRule="auto"/>
        <w:tabs>
          <w:tab w:leader="none" w:pos="1147" w:val="left"/>
        </w:tabs>
        <w:numPr>
          <w:ilvl w:val="1"/>
          <w:numId w:val="37"/>
        </w:numPr>
        <w:rPr>
          <w:rFonts w:ascii="Arial" w:cs="Arial" w:eastAsia="Arial" w:hAnsi="Arial"/>
          <w:sz w:val="15"/>
          <w:szCs w:val="15"/>
          <w:color w:val="auto"/>
        </w:rPr>
      </w:pPr>
      <w:r>
        <w:rPr>
          <w:rFonts w:ascii="Arial" w:cs="Arial" w:eastAsia="Arial" w:hAnsi="Arial"/>
          <w:sz w:val="15"/>
          <w:szCs w:val="15"/>
          <w:color w:val="auto"/>
        </w:rPr>
        <w:t>From the date hereof until the earlier of (i) two (2) years after the Effective Date or (ii) such time as the Purchaser’s collectively hold less than 10% of the Securities issued pursuant to this Agreement, the Company shall be prohibited from effecting or entering into an agreement to effect any Subsequent Financing involving a Variable Rate Transaction. “</w:t>
      </w:r>
      <w:r>
        <w:rPr>
          <w:rFonts w:ascii="Arial" w:cs="Arial" w:eastAsia="Arial" w:hAnsi="Arial"/>
          <w:sz w:val="15"/>
          <w:szCs w:val="15"/>
          <w:u w:val="single" w:color="auto"/>
          <w:color w:val="auto"/>
        </w:rPr>
        <w:t>Variable Rate Transaction</w:t>
      </w:r>
      <w:r>
        <w:rPr>
          <w:rFonts w:ascii="Arial" w:cs="Arial" w:eastAsia="Arial" w:hAnsi="Arial"/>
          <w:sz w:val="15"/>
          <w:szCs w:val="15"/>
          <w:color w:val="auto"/>
        </w:rPr>
        <w:t>” means a transaction in which the Company issues or sells (i) any debt or equity securities that are convertible into, exchangeable or exercisable for, or include the right to receive additional shares of Common Stock either</w:t>
      </w:r>
    </w:p>
    <w:p>
      <w:pPr>
        <w:spacing w:after="0" w:line="2" w:lineRule="exact"/>
        <w:rPr>
          <w:rFonts w:ascii="Arial" w:cs="Arial" w:eastAsia="Arial" w:hAnsi="Arial"/>
          <w:sz w:val="15"/>
          <w:szCs w:val="15"/>
          <w:color w:val="auto"/>
        </w:rPr>
      </w:pPr>
    </w:p>
    <w:p>
      <w:pPr>
        <w:ind w:left="460" w:right="60" w:firstLine="4"/>
        <w:spacing w:after="0" w:line="290" w:lineRule="auto"/>
        <w:tabs>
          <w:tab w:leader="none" w:pos="748" w:val="left"/>
        </w:tabs>
        <w:numPr>
          <w:ilvl w:val="0"/>
          <w:numId w:val="38"/>
        </w:numPr>
        <w:rPr>
          <w:rFonts w:ascii="Arial" w:cs="Arial" w:eastAsia="Arial" w:hAnsi="Arial"/>
          <w:sz w:val="16"/>
          <w:szCs w:val="16"/>
          <w:color w:val="auto"/>
        </w:rPr>
      </w:pPr>
      <w:r>
        <w:rPr>
          <w:rFonts w:ascii="Arial" w:cs="Arial" w:eastAsia="Arial" w:hAnsi="Arial"/>
          <w:sz w:val="16"/>
          <w:szCs w:val="16"/>
          <w:color w:val="auto"/>
        </w:rPr>
        <w:t>at a conversion, exercise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any agreement, including, but not limited to, an equity line of credit, whereby the Company may sell securities at a future determined price. Any Purchaser shall be entitled to obtain injunctive relief against the Company to preclude any such issuance, which remedy shall be in addition to any right to collect damages.</w:t>
      </w:r>
    </w:p>
    <w:p>
      <w:pPr>
        <w:spacing w:after="0" w:line="37" w:lineRule="exact"/>
        <w:rPr>
          <w:rFonts w:ascii="Arial" w:cs="Arial" w:eastAsia="Arial" w:hAnsi="Arial"/>
          <w:sz w:val="16"/>
          <w:szCs w:val="16"/>
          <w:color w:val="auto"/>
        </w:rPr>
      </w:pPr>
    </w:p>
    <w:p>
      <w:pPr>
        <w:ind w:left="460" w:right="100" w:firstLine="443"/>
        <w:spacing w:after="0" w:line="268" w:lineRule="auto"/>
        <w:tabs>
          <w:tab w:leader="none" w:pos="1137" w:val="left"/>
        </w:tabs>
        <w:numPr>
          <w:ilvl w:val="1"/>
          <w:numId w:val="38"/>
        </w:numPr>
        <w:rPr>
          <w:rFonts w:ascii="Arial" w:cs="Arial" w:eastAsia="Arial" w:hAnsi="Arial"/>
          <w:sz w:val="18"/>
          <w:szCs w:val="18"/>
          <w:color w:val="auto"/>
        </w:rPr>
      </w:pPr>
      <w:r>
        <w:rPr>
          <w:rFonts w:ascii="Arial" w:cs="Arial" w:eastAsia="Arial" w:hAnsi="Arial"/>
          <w:sz w:val="18"/>
          <w:szCs w:val="18"/>
          <w:color w:val="auto"/>
        </w:rPr>
        <w:t>Notwithstanding the foregoing, this Section 4.11 shall not apply in respect of an Exempt Issuance, except that no Variable Rate Transaction shall be an Exempt Issuance.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49" w:name="page50"/>
    <w:bookmarkEnd w:id="49"/>
    <w:p>
      <w:pPr>
        <w:ind w:firstLine="456"/>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4.12 </w:t>
      </w:r>
      <w:r>
        <w:rPr>
          <w:rFonts w:ascii="Arial" w:cs="Arial" w:eastAsia="Arial" w:hAnsi="Arial"/>
          <w:sz w:val="16"/>
          <w:szCs w:val="16"/>
          <w:u w:val="single" w:color="auto"/>
          <w:color w:val="auto"/>
        </w:rPr>
        <w:t>Short Sales and Confidentiality After The Date Hereof</w:t>
      </w:r>
      <w:r>
        <w:rPr>
          <w:rFonts w:ascii="Arial" w:cs="Arial" w:eastAsia="Arial" w:hAnsi="Arial"/>
          <w:sz w:val="16"/>
          <w:szCs w:val="16"/>
          <w:color w:val="auto"/>
        </w:rPr>
        <w:t>. Each Purchaser, severally and not jointly with the other Purchasers, covenants that neither it nor any Affiliate acting on its behalf or pursuant to any understanding with it have executed or will execute any Short Sales during the period commencing at the Discussion Time and ending at the time that the transactions contemplated by this Agreement are first publicly announced as described in Section 4.4. Each Purchaser, severally and not jointly with the other Purchasers, covenants that until such time as the transactions contemplated by this Agreement are publicly disclosed by the Company as described in Section 4.4, such Purchaser has maintained and will maintain the confidentiality of the existence and terms of this transaction and the information included in the Disclosure Schedules. Each Purchaser severally and not jointly with any other Purchaser, understands and acknowledges, and agrees, to act in a manner that will not violate the positions of the Commission as set forth in Item 65, Section A, of the Manual of Publicly Available Telephone Interpretations, dated July 1997, compiled by the Office of Chief Counsel, Division of Corporation Finance. Notwithstanding the foregoing, no Purchaser makes any representation, warranty or covenant hereby that it will not engage in Short Sales in the securities of the Company after the time that the transactions contemplated by this Agreement are first publicly announced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Shares covered by this Agreement.</w:t>
      </w:r>
    </w:p>
    <w:p>
      <w:pPr>
        <w:spacing w:after="0" w:line="12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Delivery of Shares After Closing</w:t>
      </w:r>
      <w:r>
        <w:rPr>
          <w:rFonts w:ascii="Arial" w:cs="Arial" w:eastAsia="Arial" w:hAnsi="Arial"/>
          <w:sz w:val="18"/>
          <w:szCs w:val="18"/>
          <w:color w:val="auto"/>
        </w:rPr>
        <w:t>. The Company shall deliver, or cause to be delivered, the respective Shares purchased by each Purchaser to such Purchaser within 3 Trading Days of the Closing Date.</w:t>
      </w:r>
    </w:p>
    <w:p>
      <w:pPr>
        <w:spacing w:after="0" w:line="13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 xml:space="preserve">4.14 </w:t>
      </w:r>
      <w:r>
        <w:rPr>
          <w:rFonts w:ascii="Arial" w:cs="Arial" w:eastAsia="Arial" w:hAnsi="Arial"/>
          <w:sz w:val="16"/>
          <w:szCs w:val="16"/>
          <w:u w:val="single" w:color="auto"/>
          <w:color w:val="auto"/>
        </w:rPr>
        <w:t>Form D; Blue Sky Filings</w:t>
      </w:r>
      <w:r>
        <w:rPr>
          <w:rFonts w:ascii="Arial" w:cs="Arial" w:eastAsia="Arial" w:hAnsi="Arial"/>
          <w:sz w:val="16"/>
          <w:szCs w:val="16"/>
          <w:color w:val="auto"/>
        </w:rPr>
        <w:t>. The Company agrees to timely file a Form D with respect to the Shares as required under Regulation D and to provide a copy thereof, promptly upon request of any Purchaser. The Company shall take such action as the Company shall reasonably determine is necessary in order to obtain an exemption for, or to qualify the Shares for, sale to the Purchasers at the Closing under applicable securities or “Blue Sky” laws of the states of the United States, and shall provide evidence of such actions promptly upon request of any Purchaser.</w:t>
      </w:r>
    </w:p>
    <w:p>
      <w:pPr>
        <w:spacing w:after="0" w:line="113" w:lineRule="exact"/>
        <w:rPr>
          <w:sz w:val="20"/>
          <w:szCs w:val="20"/>
          <w:color w:val="auto"/>
        </w:rPr>
      </w:pPr>
    </w:p>
    <w:p>
      <w:pPr>
        <w:ind w:right="820" w:firstLine="456"/>
        <w:spacing w:after="0" w:line="332" w:lineRule="auto"/>
        <w:rPr>
          <w:sz w:val="20"/>
          <w:szCs w:val="20"/>
          <w:color w:val="auto"/>
        </w:rPr>
      </w:pPr>
      <w:r>
        <w:rPr>
          <w:rFonts w:ascii="Arial" w:cs="Arial" w:eastAsia="Arial" w:hAnsi="Arial"/>
          <w:sz w:val="16"/>
          <w:szCs w:val="16"/>
          <w:color w:val="auto"/>
        </w:rPr>
        <w:t xml:space="preserve">4.15 </w:t>
      </w:r>
      <w:r>
        <w:rPr>
          <w:rFonts w:ascii="Arial" w:cs="Arial" w:eastAsia="Arial" w:hAnsi="Arial"/>
          <w:sz w:val="16"/>
          <w:szCs w:val="16"/>
          <w:u w:val="single" w:color="auto"/>
          <w:color w:val="auto"/>
        </w:rPr>
        <w:t>Capital Changes</w:t>
      </w:r>
      <w:r>
        <w:rPr>
          <w:rFonts w:ascii="Arial" w:cs="Arial" w:eastAsia="Arial" w:hAnsi="Arial"/>
          <w:sz w:val="16"/>
          <w:szCs w:val="16"/>
          <w:color w:val="auto"/>
        </w:rPr>
        <w:t>. Until the one year anniversary of the Effective Date, the Company shall not undertake a reverse or forward stock split or reclassification of the Common Stock without the prior written consent of the Purchasers holding a majority in interest of the Shares.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4.16 </w:t>
      </w:r>
      <w:r>
        <w:rPr>
          <w:rFonts w:ascii="Arial" w:cs="Arial" w:eastAsia="Arial" w:hAnsi="Arial"/>
          <w:sz w:val="18"/>
          <w:szCs w:val="18"/>
          <w:u w:val="single" w:color="auto"/>
          <w:color w:val="auto"/>
        </w:rPr>
        <w:t>Participation in Future Financing</w:t>
      </w:r>
      <w:r>
        <w:rPr>
          <w:rFonts w:ascii="Arial" w:cs="Arial" w:eastAsia="Arial" w:hAnsi="Arial"/>
          <w:sz w:val="18"/>
          <w:szCs w:val="18"/>
          <w:color w:val="auto"/>
        </w:rPr>
        <w:t>.</w:t>
      </w:r>
    </w:p>
    <w:p>
      <w:pPr>
        <w:spacing w:after="0" w:line="90" w:lineRule="exact"/>
        <w:rPr>
          <w:sz w:val="20"/>
          <w:szCs w:val="20"/>
          <w:color w:val="auto"/>
        </w:rPr>
      </w:pPr>
    </w:p>
    <w:p>
      <w:pPr>
        <w:ind w:left="460" w:right="180" w:firstLine="443"/>
        <w:spacing w:after="0" w:line="256" w:lineRule="auto"/>
        <w:tabs>
          <w:tab w:leader="none" w:pos="1137" w:val="left"/>
        </w:tabs>
        <w:numPr>
          <w:ilvl w:val="0"/>
          <w:numId w:val="39"/>
        </w:numPr>
        <w:rPr>
          <w:rFonts w:ascii="Arial" w:cs="Arial" w:eastAsia="Arial" w:hAnsi="Arial"/>
          <w:sz w:val="18"/>
          <w:szCs w:val="18"/>
          <w:color w:val="auto"/>
        </w:rPr>
      </w:pPr>
      <w:r>
        <w:rPr>
          <w:rFonts w:ascii="Arial" w:cs="Arial" w:eastAsia="Arial" w:hAnsi="Arial"/>
          <w:sz w:val="18"/>
          <w:szCs w:val="18"/>
          <w:color w:val="auto"/>
        </w:rPr>
        <w:t>From the date hereof until the date that is the 12 month anniversary of the Effective Date, upon any issuance by the Company or any of its Subsidiaries of Common Stock or Common Stock Equivalents for cash consideration (a “Subsequent Financing”), each Purchaser shall have the right to participate in the Subsequent Financing up to an amount equal to 30% of the Subsequent Financing (the “Participation Maximum”) on the same terms, conditions and price provided for in the Subsequent Financing.</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280" w:right="319" w:bottom="1440" w:gutter="0" w:footer="0" w:header="0"/>
        </w:sectPr>
      </w:pPr>
    </w:p>
    <w:bookmarkStart w:id="50" w:name="page51"/>
    <w:bookmarkEnd w:id="50"/>
    <w:p>
      <w:pPr>
        <w:ind w:right="60" w:firstLine="443"/>
        <w:spacing w:after="0" w:line="290" w:lineRule="auto"/>
        <w:tabs>
          <w:tab w:leader="none" w:pos="687" w:val="left"/>
        </w:tabs>
        <w:numPr>
          <w:ilvl w:val="1"/>
          <w:numId w:val="4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 least 5 Trading Days prior to the closing of the Subsequent Financing, the Company shall deliver to each Purchaser a written notice of its intention to effect a Subsequent Financing (“</w:t>
      </w:r>
      <w:r>
        <w:rPr>
          <w:rFonts w:ascii="Arial" w:cs="Arial" w:eastAsia="Arial" w:hAnsi="Arial"/>
          <w:sz w:val="16"/>
          <w:szCs w:val="16"/>
          <w:u w:val="single" w:color="auto"/>
          <w:color w:val="auto"/>
        </w:rPr>
        <w:t>Pre-Notice</w:t>
      </w:r>
      <w:r>
        <w:rPr>
          <w:rFonts w:ascii="Arial" w:cs="Arial" w:eastAsia="Arial" w:hAnsi="Arial"/>
          <w:sz w:val="16"/>
          <w:szCs w:val="16"/>
          <w:color w:val="auto"/>
        </w:rPr>
        <w:t>”), which Pre-Notice shall ask such Purchaser if it wants to review the details of such financing (such additional notice, a “</w:t>
      </w:r>
      <w:r>
        <w:rPr>
          <w:rFonts w:ascii="Arial" w:cs="Arial" w:eastAsia="Arial" w:hAnsi="Arial"/>
          <w:sz w:val="16"/>
          <w:szCs w:val="16"/>
          <w:u w:val="single" w:color="auto"/>
          <w:color w:val="auto"/>
        </w:rPr>
        <w:t>Subsequent Financing Notice</w:t>
      </w:r>
      <w:r>
        <w:rPr>
          <w:rFonts w:ascii="Arial" w:cs="Arial" w:eastAsia="Arial" w:hAnsi="Arial"/>
          <w:sz w:val="16"/>
          <w:szCs w:val="16"/>
          <w:color w:val="auto"/>
        </w:rPr>
        <w:t>”). Upon the request of a Purchaser, and only upon a request by such Purchaser, for a Subsequent Financing Notice, the Company shall promptly, but no later than 1 Trading Day after such request, deliver a Subsequent Financing Notice to such Purchaser. The Subsequent Financing Notice shall describe in reasonable detail the proposed terms of such Subsequent Financing, the amount of proceeds intended to be raised thereunder and the Person or Persons through or with whom such Subsequent Financing is proposed to be effected and shall include a term sheet or similar document relating thereto as an attachment.</w:t>
      </w:r>
    </w:p>
    <w:p>
      <w:pPr>
        <w:spacing w:after="0" w:line="37" w:lineRule="exact"/>
        <w:rPr>
          <w:rFonts w:ascii="Arial" w:cs="Arial" w:eastAsia="Arial" w:hAnsi="Arial"/>
          <w:sz w:val="16"/>
          <w:szCs w:val="16"/>
          <w:color w:val="auto"/>
        </w:rPr>
      </w:pPr>
    </w:p>
    <w:p>
      <w:pPr>
        <w:ind w:right="40" w:firstLine="443"/>
        <w:spacing w:after="0" w:line="231" w:lineRule="auto"/>
        <w:tabs>
          <w:tab w:leader="none" w:pos="677"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Purchaser desiring to participate in such Subsequent Financing must provide written notice to the Company by not later than 5:30 p.m. (New York City time) on the 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Trading Day after the Purchaser has received the Pre-Notice that the Purchaser is willing to participate in the Subsequent Financing, the amount of the Purchaser’s participation, and that the Purchaser has such funds ready, willing, and available for investment on the terms set forth in the Subsequent Financing Notice. If the Company receives no notice from a Purchaser as of such 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Trading Day, such Purchaser shall be deemed to have notified the Company that it does not elect to participate.</w:t>
      </w:r>
    </w:p>
    <w:p>
      <w:pPr>
        <w:spacing w:after="0" w:line="130" w:lineRule="exact"/>
        <w:rPr>
          <w:rFonts w:ascii="Arial" w:cs="Arial" w:eastAsia="Arial" w:hAnsi="Arial"/>
          <w:sz w:val="18"/>
          <w:szCs w:val="18"/>
          <w:color w:val="auto"/>
        </w:rPr>
      </w:pPr>
    </w:p>
    <w:p>
      <w:pPr>
        <w:ind w:right="140" w:firstLine="443"/>
        <w:spacing w:after="0" w:line="227" w:lineRule="auto"/>
        <w:tabs>
          <w:tab w:leader="none" w:pos="687" w:val="left"/>
        </w:tabs>
        <w:numPr>
          <w:ilvl w:val="1"/>
          <w:numId w:val="40"/>
        </w:numPr>
        <w:rPr>
          <w:rFonts w:ascii="Arial" w:cs="Arial" w:eastAsia="Arial" w:hAnsi="Arial"/>
          <w:sz w:val="18"/>
          <w:szCs w:val="18"/>
          <w:color w:val="auto"/>
        </w:rPr>
      </w:pPr>
      <w:r>
        <w:rPr>
          <w:rFonts w:ascii="Arial" w:cs="Arial" w:eastAsia="Arial" w:hAnsi="Arial"/>
          <w:sz w:val="18"/>
          <w:szCs w:val="18"/>
          <w:color w:val="auto"/>
        </w:rPr>
        <w:t>If by 5:30 p.m. (New York City time) on the 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Trading Day after all of the Purchasers have received the Pre-Notice, notifications by the Purchasers of their willingness to participate in the Subsequent Financing (or to cause their designees to participate) is, in the aggregate, less than the Participation Maximum of the Subsequent Financing, then the Company may effect the remaining portion of such Subsequent Financing on the terms and with the Persons set forth in the Subsequent Financing Notice.</w:t>
      </w:r>
    </w:p>
    <w:p>
      <w:pPr>
        <w:spacing w:after="0" w:line="132" w:lineRule="exact"/>
        <w:rPr>
          <w:rFonts w:ascii="Arial" w:cs="Arial" w:eastAsia="Arial" w:hAnsi="Arial"/>
          <w:sz w:val="18"/>
          <w:szCs w:val="18"/>
          <w:color w:val="auto"/>
        </w:rPr>
      </w:pPr>
    </w:p>
    <w:p>
      <w:pPr>
        <w:ind w:firstLine="443"/>
        <w:spacing w:after="0" w:line="264" w:lineRule="auto"/>
        <w:tabs>
          <w:tab w:leader="none" w:pos="677" w:val="left"/>
        </w:tabs>
        <w:numPr>
          <w:ilvl w:val="1"/>
          <w:numId w:val="40"/>
        </w:numPr>
        <w:rPr>
          <w:rFonts w:ascii="Arial" w:cs="Arial" w:eastAsia="Arial" w:hAnsi="Arial"/>
          <w:sz w:val="15"/>
          <w:szCs w:val="15"/>
          <w:color w:val="auto"/>
        </w:rPr>
      </w:pPr>
      <w:r>
        <w:rPr>
          <w:rFonts w:ascii="Arial" w:cs="Arial" w:eastAsia="Arial" w:hAnsi="Arial"/>
          <w:sz w:val="15"/>
          <w:szCs w:val="15"/>
          <w:color w:val="auto"/>
        </w:rPr>
        <w:t>If by 5:30 p.m. (New York City time) on the 5</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Trading Day after all of the Purchasers have received the Pre-Notice, the Company receives responses to a Subsequent Financing Notice from Purchasers seeking to purchase more than the aggregate amount of the Participation Maximum, each such Purchaser shall have the right to purchase its Pro Rata Portion (as defined below) of the Participation Maximum. “</w:t>
      </w:r>
      <w:r>
        <w:rPr>
          <w:rFonts w:ascii="Arial" w:cs="Arial" w:eastAsia="Arial" w:hAnsi="Arial"/>
          <w:sz w:val="15"/>
          <w:szCs w:val="15"/>
          <w:u w:val="single" w:color="auto"/>
          <w:color w:val="auto"/>
        </w:rPr>
        <w:t>Pro Rata Portion</w:t>
      </w:r>
      <w:r>
        <w:rPr>
          <w:rFonts w:ascii="Arial" w:cs="Arial" w:eastAsia="Arial" w:hAnsi="Arial"/>
          <w:sz w:val="15"/>
          <w:szCs w:val="15"/>
          <w:color w:val="auto"/>
        </w:rPr>
        <w:t>” means the ratio of</w:t>
      </w:r>
    </w:p>
    <w:p>
      <w:pPr>
        <w:spacing w:after="0" w:line="1" w:lineRule="exact"/>
        <w:rPr>
          <w:rFonts w:ascii="Arial" w:cs="Arial" w:eastAsia="Arial" w:hAnsi="Arial"/>
          <w:sz w:val="15"/>
          <w:szCs w:val="15"/>
          <w:color w:val="auto"/>
        </w:rPr>
      </w:pPr>
    </w:p>
    <w:p>
      <w:pPr>
        <w:ind w:right="560" w:firstLine="4"/>
        <w:spacing w:after="0" w:line="296" w:lineRule="auto"/>
        <w:tabs>
          <w:tab w:leader="none" w:pos="249"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Subscription Amount of Securities purchased on the Closing Date by a Purchaser participating under this Section 4.12 and (y) the sum of the aggregate Subscription Amounts of Securities purchased on the Closing Date by all Purchasers participating under this Section 4.16.</w:t>
      </w:r>
    </w:p>
    <w:p>
      <w:pPr>
        <w:spacing w:after="0" w:line="58" w:lineRule="exact"/>
        <w:rPr>
          <w:rFonts w:ascii="Arial" w:cs="Arial" w:eastAsia="Arial" w:hAnsi="Arial"/>
          <w:sz w:val="16"/>
          <w:szCs w:val="16"/>
          <w:color w:val="auto"/>
        </w:rPr>
      </w:pPr>
    </w:p>
    <w:p>
      <w:pPr>
        <w:ind w:right="280" w:firstLine="443"/>
        <w:spacing w:after="0" w:line="335" w:lineRule="auto"/>
        <w:tabs>
          <w:tab w:leader="none" w:pos="657" w:val="left"/>
        </w:tabs>
        <w:numPr>
          <w:ilvl w:val="1"/>
          <w:numId w:val="41"/>
        </w:numPr>
        <w:rPr>
          <w:rFonts w:ascii="Arial" w:cs="Arial" w:eastAsia="Arial" w:hAnsi="Arial"/>
          <w:sz w:val="15"/>
          <w:szCs w:val="15"/>
          <w:color w:val="auto"/>
        </w:rPr>
      </w:pPr>
      <w:r>
        <w:rPr>
          <w:rFonts w:ascii="Arial" w:cs="Arial" w:eastAsia="Arial" w:hAnsi="Arial"/>
          <w:sz w:val="15"/>
          <w:szCs w:val="15"/>
          <w:color w:val="auto"/>
        </w:rPr>
        <w:t>The Company must provide the Purchasers with a second Subsequent Financing Notice, and the Purchasers will again have the right of participation set forth above in this Section 4.16, if the Subsequent Financing subject to the initial Subsequent Financing Notice is not consummated for any reason on the terms set forth in such Subsequent Financing Notice within 60 Trading Days after the date of the initial Subsequent Financing Notice.</w:t>
      </w:r>
    </w:p>
    <w:p>
      <w:pPr>
        <w:spacing w:after="0" w:line="7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0"/>
          </w:cols>
          <w:pgMar w:left="700" w:top="280" w:right="239" w:bottom="1440" w:gutter="0" w:footer="0" w:header="0"/>
        </w:sectPr>
      </w:pPr>
    </w:p>
    <w:bookmarkStart w:id="51" w:name="page52"/>
    <w:bookmarkEnd w:id="51"/>
    <w:p>
      <w:pPr>
        <w:ind w:left="460" w:right="320" w:firstLine="443"/>
        <w:spacing w:after="0" w:line="268" w:lineRule="auto"/>
        <w:tabs>
          <w:tab w:leader="none" w:pos="1147" w:val="left"/>
        </w:tabs>
        <w:numPr>
          <w:ilvl w:val="0"/>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the foregoing, this Section 4.16 shall not apply in respect of (i) an Exempt Issuance or (ii) an underwritten public offering of Common Stock.</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16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 before August 14, 2007;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termination will affect the right of any party to sue for any breach by the other party (or parties).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Fees and Expenses</w:t>
      </w:r>
      <w:r>
        <w:rPr>
          <w:rFonts w:ascii="Arial" w:cs="Arial" w:eastAsia="Arial" w:hAnsi="Arial"/>
          <w:sz w:val="16"/>
          <w:szCs w:val="16"/>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provided, that the Company shall reimburse Steelhead Investments Ltd. (or its designee(s)) for up to $5,000 for its reasonable legal fees and disbursements incurred in connection with the transactions contemplated by this Agreement. The Company shall pay all Transfer Agent fees, stamp taxes and other taxes and duties levied in connection with the delivery of any Shares to the Purchasers.</w:t>
      </w:r>
    </w:p>
    <w:p>
      <w:pPr>
        <w:spacing w:after="0" w:line="11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Entire Agreement</w:t>
      </w:r>
      <w:r>
        <w:rPr>
          <w:rFonts w:ascii="Arial" w:cs="Arial" w:eastAsia="Arial" w:hAnsi="Arial"/>
          <w:sz w:val="18"/>
          <w:szCs w:val="18"/>
          <w:color w:val="auto"/>
        </w:rPr>
        <w:t>. The Transaction Documents, together with the exhibits and schedules thereto, contain the entire understanding of the parties with respect to the subject matter hereof and supersede all prior agreements and understandings, oral or written, with respect to such matters, which the parties acknowledge have been merged into such documents, exhibits and schedules.</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5"/>
          <w:szCs w:val="15"/>
          <w:color w:val="auto"/>
        </w:rPr>
        <w:t xml:space="preserve">5.4 </w:t>
      </w:r>
      <w:r>
        <w:rPr>
          <w:rFonts w:ascii="Arial" w:cs="Arial" w:eastAsia="Arial" w:hAnsi="Arial"/>
          <w:sz w:val="15"/>
          <w:szCs w:val="15"/>
          <w:u w:val="single" w:color="auto"/>
          <w:color w:val="auto"/>
        </w:rPr>
        <w:t>Notices</w:t>
      </w:r>
      <w:r>
        <w:rPr>
          <w:rFonts w:ascii="Arial" w:cs="Arial" w:eastAsia="Arial" w:hAnsi="Arial"/>
          <w:sz w:val="15"/>
          <w:szCs w:val="15"/>
          <w:color w:val="auto"/>
        </w:rPr>
        <w:t>. Any and all notices or other communications or deliveries required or permitted to be provided hereunder shall be in writing and shall be deemed given and effective on the earliest of (a) the date of transmission, if such notice or communication is delivered via facsimile at the facsimile number set forth on the signature pages attached hereto prior to 5:30 p.m. (New York City time) on a Trading Day, (b) the next Trading Day after the date of transmission, if such notice or communication is delivered via facsimile at the facsimile number set forth on the signature pages attached hereto on a day that is not a Trading Day</w:t>
      </w:r>
    </w:p>
    <w:p>
      <w:pPr>
        <w:spacing w:after="0" w:line="1" w:lineRule="exact"/>
        <w:rPr>
          <w:sz w:val="20"/>
          <w:szCs w:val="20"/>
          <w:color w:val="auto"/>
        </w:rPr>
      </w:pPr>
    </w:p>
    <w:p>
      <w:pPr>
        <w:ind w:right="200"/>
        <w:spacing w:after="0" w:line="225" w:lineRule="auto"/>
        <w:rPr>
          <w:sz w:val="20"/>
          <w:szCs w:val="20"/>
          <w:color w:val="auto"/>
        </w:rPr>
      </w:pPr>
      <w:r>
        <w:rPr>
          <w:rFonts w:ascii="Arial" w:cs="Arial" w:eastAsia="Arial" w:hAnsi="Arial"/>
          <w:sz w:val="18"/>
          <w:szCs w:val="18"/>
          <w:color w:val="auto"/>
        </w:rPr>
        <w:t>or later than 5:30 p.m. (New York City time) on any Trading Day, (c) the 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spacing w:after="0" w:line="18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Amendments; Waivers</w:t>
      </w:r>
      <w:r>
        <w:rPr>
          <w:rFonts w:ascii="Arial" w:cs="Arial" w:eastAsia="Arial" w:hAnsi="Arial"/>
          <w:sz w:val="18"/>
          <w:szCs w:val="18"/>
          <w:color w:val="auto"/>
        </w:rPr>
        <w:t>. No provision of this Agreement may be waived or amended except in a written instrument signed, in the case of an amendment, by the Company and the Purchasers of at least 67% of the Shares still held by the Purchasers or, in the case of 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52" w:name="page53"/>
    <w:bookmarkEnd w:id="52"/>
    <w:p>
      <w:pPr>
        <w:ind w:right="6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waiver, by the party against whom enforcement of any such waived provision is sought.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spacing w:after="0" w:line="8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herein are for convenience only, do not constitute a part of this Agreement and shall not be deemed to limit or affect any of the provisions hereof. The language used in this Agreement will be deemed to be the language chosen by the parties to express their mutual intent, and no rules of strict construction will be applied against any party.</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or otherwise by operation of law). Any Purchaser may assign any or all of its rights under this Agreement to any Person to whom such Purchaser assigns or transfers any Shares, provided such transferee agrees in writing to be bound, with respect to the transferred Shares, by the provisions of the Transaction Documents that apply to the “Purchasers.”</w:t>
      </w:r>
    </w:p>
    <w:p>
      <w:pPr>
        <w:spacing w:after="0" w:line="143"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No Third-Party Beneficiaries</w:t>
      </w:r>
      <w:r>
        <w:rPr>
          <w:rFonts w:ascii="Arial" w:cs="Arial" w:eastAsia="Arial" w:hAnsi="Arial"/>
          <w:sz w:val="16"/>
          <w:szCs w:val="16"/>
          <w:color w:val="auto"/>
        </w:rPr>
        <w:t>. This Agreement is intended for the benefit of the parties hereto and their respective successors and permitted assigns and is not for the benefit of, nor may any provision hereof be enforced by, any other Person, except as otherwise set forth in Section 4.8.</w:t>
      </w:r>
    </w:p>
    <w:p>
      <w:pPr>
        <w:spacing w:after="0" w:line="8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u w:val="single" w:color="auto"/>
          <w:color w:val="auto"/>
        </w:rPr>
        <w:t>Governing Law</w:t>
      </w:r>
      <w:r>
        <w:rPr>
          <w:rFonts w:ascii="Arial" w:cs="Arial" w:eastAsia="Arial" w:hAnsi="Arial"/>
          <w:sz w:val="16"/>
          <w:szCs w:val="16"/>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either party shall commence an action or proceeding to enforce any provisions of the Transaction Documents, then the prevailing party in such action or proceeding shall be reimbursed by the other party for its reasonable attorneys’ fees and other costs and expenses incurred with the investigation, preparation and prosecution of such action or proceeding.</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sectPr>
      </w:pPr>
    </w:p>
    <w:bookmarkStart w:id="53" w:name="page54"/>
    <w:bookmarkEnd w:id="5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5.10 </w:t>
      </w:r>
      <w:r>
        <w:rPr>
          <w:rFonts w:ascii="Arial" w:cs="Arial" w:eastAsia="Arial" w:hAnsi="Arial"/>
          <w:sz w:val="18"/>
          <w:szCs w:val="18"/>
          <w:u w:val="single" w:color="auto"/>
          <w:color w:val="auto"/>
        </w:rPr>
        <w:t>Survival</w:t>
      </w:r>
      <w:r>
        <w:rPr>
          <w:rFonts w:ascii="Arial" w:cs="Arial" w:eastAsia="Arial" w:hAnsi="Arial"/>
          <w:sz w:val="18"/>
          <w:szCs w:val="18"/>
          <w:color w:val="auto"/>
        </w:rPr>
        <w:t>. The representations and warranties contained herein shall survive the Closing and the delivery of the Shares.</w:t>
      </w:r>
    </w:p>
    <w:p>
      <w:pPr>
        <w:spacing w:after="0" w:line="171" w:lineRule="exact"/>
        <w:rPr>
          <w:sz w:val="20"/>
          <w:szCs w:val="20"/>
          <w:color w:val="auto"/>
        </w:rPr>
      </w:pPr>
    </w:p>
    <w:p>
      <w:pPr>
        <w:jc w:val="both"/>
        <w:ind w:right="320" w:firstLine="456"/>
        <w:spacing w:after="0" w:line="294"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u w:val="single" w:color="auto"/>
          <w:color w:val="auto"/>
        </w:rPr>
        <w:t>Execution</w:t>
      </w:r>
      <w:r>
        <w:rPr>
          <w:rFonts w:ascii="Arial" w:cs="Arial" w:eastAsia="Arial" w:hAnsi="Arial"/>
          <w:sz w:val="16"/>
          <w:szCs w:val="16"/>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or “.tif” format data file, such signature shall create a valid and binding obligation of the party executing (or on whose behalf such signature is executed) with the same force and effect as if such facsimile or “.pdf” or “.tif” signature page were an original thereof.</w:t>
      </w:r>
    </w:p>
    <w:p>
      <w:pPr>
        <w:spacing w:after="0" w:line="11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44" w:lineRule="exact"/>
        <w:rPr>
          <w:sz w:val="20"/>
          <w:szCs w:val="20"/>
          <w:color w:val="auto"/>
        </w:rPr>
      </w:pPr>
    </w:p>
    <w:p>
      <w:pPr>
        <w:jc w:val="both"/>
        <w:ind w:right="220" w:firstLine="456"/>
        <w:spacing w:after="0" w:line="298" w:lineRule="auto"/>
        <w:rPr>
          <w:sz w:val="20"/>
          <w:szCs w:val="20"/>
          <w:color w:val="auto"/>
        </w:rPr>
      </w:pPr>
      <w:r>
        <w:rPr>
          <w:rFonts w:ascii="Arial" w:cs="Arial" w:eastAsia="Arial" w:hAnsi="Arial"/>
          <w:sz w:val="16"/>
          <w:szCs w:val="16"/>
          <w:color w:val="auto"/>
        </w:rPr>
        <w:t xml:space="preserve">5.13 </w:t>
      </w:r>
      <w:r>
        <w:rPr>
          <w:rFonts w:ascii="Arial" w:cs="Arial" w:eastAsia="Arial" w:hAnsi="Arial"/>
          <w:sz w:val="16"/>
          <w:szCs w:val="16"/>
          <w:u w:val="single" w:color="auto"/>
          <w:color w:val="auto"/>
        </w:rPr>
        <w:t>Rescission and Withdrawal Right</w:t>
      </w:r>
      <w:r>
        <w:rPr>
          <w:rFonts w:ascii="Arial" w:cs="Arial" w:eastAsia="Arial" w:hAnsi="Arial"/>
          <w:sz w:val="16"/>
          <w:szCs w:val="16"/>
          <w:color w:val="auto"/>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w:t>
      </w:r>
    </w:p>
    <w:p>
      <w:pPr>
        <w:spacing w:after="0" w:line="11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Replacement of Shares</w:t>
      </w:r>
      <w:r>
        <w:rPr>
          <w:rFonts w:ascii="Arial" w:cs="Arial" w:eastAsia="Arial" w:hAnsi="Arial"/>
          <w:sz w:val="18"/>
          <w:szCs w:val="18"/>
          <w:color w:val="auto"/>
        </w:rPr>
        <w:t>. If any certificate or instrument evidencing any Shares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Shares.</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5.15 </w:t>
      </w:r>
      <w:r>
        <w:rPr>
          <w:rFonts w:ascii="Arial" w:cs="Arial" w:eastAsia="Arial" w:hAnsi="Arial"/>
          <w:sz w:val="16"/>
          <w:szCs w:val="16"/>
          <w:u w:val="single" w:color="auto"/>
          <w:color w:val="auto"/>
        </w:rPr>
        <w:t>Remedies</w:t>
      </w:r>
      <w:r>
        <w:rPr>
          <w:rFonts w:ascii="Arial" w:cs="Arial" w:eastAsia="Arial" w:hAnsi="Arial"/>
          <w:sz w:val="16"/>
          <w:szCs w:val="16"/>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agrees to waive and not to assert in any action for specific performance of any such obligation the defense that a remedy at law would be adequate.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54" w:name="page55"/>
    <w:bookmarkEnd w:id="54"/>
    <w:p>
      <w:pPr>
        <w:ind w:right="22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5.16 </w:t>
      </w:r>
      <w:r>
        <w:rPr>
          <w:rFonts w:ascii="Arial" w:cs="Arial" w:eastAsia="Arial" w:hAnsi="Arial"/>
          <w:sz w:val="16"/>
          <w:szCs w:val="16"/>
          <w:u w:val="single" w:color="auto"/>
          <w:color w:val="auto"/>
        </w:rPr>
        <w:t>Payment Set Aside</w:t>
      </w:r>
      <w:r>
        <w:rPr>
          <w:rFonts w:ascii="Arial" w:cs="Arial" w:eastAsia="Arial" w:hAnsi="Arial"/>
          <w:sz w:val="16"/>
          <w:szCs w:val="16"/>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20" w:lineRule="exact"/>
        <w:rPr>
          <w:sz w:val="20"/>
          <w:szCs w:val="20"/>
          <w:color w:val="auto"/>
        </w:rPr>
      </w:pPr>
    </w:p>
    <w:p>
      <w:pPr>
        <w:ind w:right="20" w:firstLine="456"/>
        <w:spacing w:after="0" w:line="307" w:lineRule="auto"/>
        <w:rPr>
          <w:sz w:val="20"/>
          <w:szCs w:val="20"/>
          <w:color w:val="auto"/>
        </w:rPr>
      </w:pPr>
      <w:r>
        <w:rPr>
          <w:rFonts w:ascii="Arial" w:cs="Arial" w:eastAsia="Arial" w:hAnsi="Arial"/>
          <w:sz w:val="15"/>
          <w:szCs w:val="15"/>
          <w:color w:val="auto"/>
        </w:rPr>
        <w:t xml:space="preserve">5.17 </w:t>
      </w:r>
      <w:r>
        <w:rPr>
          <w:rFonts w:ascii="Arial" w:cs="Arial" w:eastAsia="Arial" w:hAnsi="Arial"/>
          <w:sz w:val="15"/>
          <w:szCs w:val="15"/>
          <w:u w:val="single" w:color="auto"/>
          <w:color w:val="auto"/>
        </w:rPr>
        <w:t>Independent Nature of Purchasers’ Obligations and Rights</w:t>
      </w:r>
      <w:r>
        <w:rPr>
          <w:rFonts w:ascii="Arial" w:cs="Arial" w:eastAsia="Arial" w:hAnsi="Arial"/>
          <w:sz w:val="15"/>
          <w:szCs w:val="15"/>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their review and negotiation of the Transaction Documents. For reasons of administrative convenience only, Purchasers and their respective counsel have chosen to communicate with the Company through FWS. FWS does not represent all of the Purchasers but only RBC Capital Markets, who has acted as placement agent to the transaction. The Company has elected to provide all Purchasers with the same terms and Transaction Documents for the convenience of the Company and not because it was required or requested to do so by the Purchasers.</w:t>
      </w:r>
    </w:p>
    <w:p>
      <w:pPr>
        <w:spacing w:after="0" w:line="11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 xml:space="preserve">5.18 </w:t>
      </w:r>
      <w:r>
        <w:rPr>
          <w:rFonts w:ascii="Arial" w:cs="Arial" w:eastAsia="Arial" w:hAnsi="Arial"/>
          <w:sz w:val="16"/>
          <w:szCs w:val="16"/>
          <w:u w:val="single" w:color="auto"/>
          <w:color w:val="auto"/>
        </w:rPr>
        <w:t>Liquidated Damages</w:t>
      </w:r>
      <w:r>
        <w:rPr>
          <w:rFonts w:ascii="Arial" w:cs="Arial" w:eastAsia="Arial" w:hAnsi="Arial"/>
          <w:sz w:val="16"/>
          <w:szCs w:val="16"/>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0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5.19 </w:t>
      </w:r>
      <w:r>
        <w:rPr>
          <w:rFonts w:ascii="Arial" w:cs="Arial" w:eastAsia="Arial" w:hAnsi="Arial"/>
          <w:sz w:val="16"/>
          <w:szCs w:val="16"/>
          <w:u w:val="single" w:color="auto"/>
          <w:color w:val="auto"/>
        </w:rPr>
        <w:t>Saturdays, Sundays, Holidays</w:t>
      </w:r>
      <w:r>
        <w:rPr>
          <w:rFonts w:ascii="Arial" w:cs="Arial" w:eastAsia="Arial" w:hAnsi="Arial"/>
          <w:sz w:val="16"/>
          <w:szCs w:val="16"/>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55" w:name="page56"/>
    <w:bookmarkEnd w:id="55"/>
    <w:p>
      <w:pPr>
        <w:ind w:right="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5.20 </w:t>
      </w:r>
      <w:r>
        <w:rPr>
          <w:rFonts w:ascii="Arial" w:cs="Arial" w:eastAsia="Arial" w:hAnsi="Arial"/>
          <w:sz w:val="18"/>
          <w:szCs w:val="18"/>
          <w:u w:val="single" w:color="auto"/>
          <w:color w:val="auto"/>
        </w:rPr>
        <w:t>Construction</w:t>
      </w:r>
      <w:r>
        <w:rPr>
          <w:rFonts w:ascii="Arial" w:cs="Arial" w:eastAsia="Arial" w:hAnsi="Arial"/>
          <w:sz w:val="18"/>
          <w:szCs w:val="18"/>
          <w:color w:val="auto"/>
        </w:rPr>
        <w:t>. The parties agree that each of them and/or their respective counsel has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hereto.</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5.21 </w:t>
      </w:r>
      <w:r>
        <w:rPr>
          <w:rFonts w:ascii="Arial" w:cs="Arial" w:eastAsia="Arial" w:hAnsi="Arial"/>
          <w:sz w:val="16"/>
          <w:szCs w:val="16"/>
          <w:u w:val="single" w:color="auto"/>
          <w:color w:val="auto"/>
        </w:rPr>
        <w:t>Waiver of Jury Trial</w:t>
      </w:r>
      <w:r>
        <w:rPr>
          <w:rFonts w:ascii="Arial" w:cs="Arial" w:eastAsia="Arial" w:hAnsi="Arial"/>
          <w:sz w:val="16"/>
          <w:szCs w:val="16"/>
          <w:color w:val="auto"/>
        </w:rPr>
        <w:t>. 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w:t>
      </w:r>
    </w:p>
    <w:p>
      <w:pPr>
        <w:spacing w:after="0" w:line="8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40"/>
          </w:cols>
          <w:pgMar w:left="240" w:top="280" w:right="319" w:bottom="1440" w:gutter="0" w:footer="0" w:header="0"/>
        </w:sectPr>
      </w:pPr>
    </w:p>
    <w:bookmarkStart w:id="56" w:name="page57"/>
    <w:bookmarkEnd w:id="56"/>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this Securities Purchase Agreement to be duly executed by their respective authorized signatories as of the date first indicated above.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ACTIVE POWER, INC.</w:t>
            </w:r>
          </w:p>
        </w:tc>
        <w:tc>
          <w:tcPr>
            <w:tcW w:w="660" w:type="dxa"/>
            <w:vAlign w:val="bottom"/>
          </w:tcPr>
          <w:p>
            <w:pPr>
              <w:spacing w:after="0"/>
              <w:rPr>
                <w:sz w:val="17"/>
                <w:szCs w:val="17"/>
                <w:color w:val="auto"/>
              </w:rPr>
            </w:pPr>
          </w:p>
        </w:tc>
        <w:tc>
          <w:tcPr>
            <w:tcW w:w="1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Address for Notice:</w:t>
            </w:r>
          </w:p>
        </w:tc>
        <w:tc>
          <w:tcPr>
            <w:tcW w:w="2120" w:type="dxa"/>
            <w:vAlign w:val="bottom"/>
          </w:tcPr>
          <w:p>
            <w:pPr>
              <w:spacing w:after="0"/>
              <w:rPr>
                <w:sz w:val="17"/>
                <w:szCs w:val="17"/>
                <w:color w:val="auto"/>
              </w:rPr>
            </w:pPr>
          </w:p>
        </w:tc>
      </w:tr>
      <w:tr>
        <w:trPr>
          <w:trHeight w:val="451"/>
        </w:trPr>
        <w:tc>
          <w:tcPr>
            <w:tcW w:w="5660" w:type="dxa"/>
            <w:vAlign w:val="bottom"/>
            <w:gridSpan w:val="2"/>
          </w:tcPr>
          <w:p>
            <w:pPr>
              <w:spacing w:after="0"/>
              <w:rPr>
                <w:sz w:val="20"/>
                <w:szCs w:val="20"/>
                <w:color w:val="auto"/>
              </w:rPr>
            </w:pPr>
            <w:r>
              <w:rPr>
                <w:rFonts w:ascii="Arial" w:cs="Arial" w:eastAsia="Arial" w:hAnsi="Arial"/>
                <w:sz w:val="18"/>
                <w:szCs w:val="18"/>
                <w:color w:val="auto"/>
              </w:rPr>
              <w:t>By: /s/ Jim Clishem</w:t>
            </w:r>
          </w:p>
        </w:tc>
        <w:tc>
          <w:tcPr>
            <w:tcW w:w="660" w:type="dxa"/>
            <w:vAlign w:val="bottom"/>
          </w:tcPr>
          <w:p>
            <w:pPr>
              <w:spacing w:after="0"/>
              <w:rPr>
                <w:sz w:val="24"/>
                <w:szCs w:val="24"/>
                <w:color w:val="auto"/>
              </w:rPr>
            </w:pPr>
          </w:p>
        </w:tc>
        <w:tc>
          <w:tcPr>
            <w:tcW w:w="3500" w:type="dxa"/>
            <w:vAlign w:val="bottom"/>
            <w:gridSpan w:val="3"/>
          </w:tcPr>
          <w:p>
            <w:pPr>
              <w:spacing w:after="0"/>
              <w:rPr>
                <w:sz w:val="20"/>
                <w:szCs w:val="20"/>
                <w:color w:val="auto"/>
              </w:rPr>
            </w:pPr>
            <w:r>
              <w:rPr>
                <w:rFonts w:ascii="Arial" w:cs="Arial" w:eastAsia="Arial" w:hAnsi="Arial"/>
                <w:sz w:val="18"/>
                <w:szCs w:val="18"/>
                <w:color w:val="auto"/>
              </w:rPr>
              <w:t>Active Power, Inc.</w:t>
            </w:r>
          </w:p>
        </w:tc>
      </w:tr>
      <w:tr>
        <w:trPr>
          <w:trHeight w:val="203"/>
        </w:trPr>
        <w:tc>
          <w:tcPr>
            <w:tcW w:w="260" w:type="dxa"/>
            <w:vAlign w:val="bottom"/>
          </w:tcPr>
          <w:p>
            <w:pPr>
              <w:spacing w:after="0"/>
              <w:rPr>
                <w:sz w:val="17"/>
                <w:szCs w:val="17"/>
                <w:color w:val="auto"/>
              </w:rPr>
            </w:pPr>
          </w:p>
        </w:tc>
        <w:tc>
          <w:tcPr>
            <w:tcW w:w="5400" w:type="dxa"/>
            <w:vAlign w:val="bottom"/>
            <w:tcBorders>
              <w:top w:val="single" w:sz="8" w:color="auto"/>
            </w:tcBorders>
          </w:tcPr>
          <w:p>
            <w:pPr>
              <w:ind w:left="100"/>
              <w:spacing w:after="0" w:line="203" w:lineRule="exact"/>
              <w:rPr>
                <w:sz w:val="20"/>
                <w:szCs w:val="20"/>
                <w:color w:val="auto"/>
              </w:rPr>
            </w:pPr>
            <w:r>
              <w:rPr>
                <w:rFonts w:ascii="Arial" w:cs="Arial" w:eastAsia="Arial" w:hAnsi="Arial"/>
                <w:sz w:val="18"/>
                <w:szCs w:val="18"/>
                <w:color w:val="auto"/>
              </w:rPr>
              <w:t>Name: Jim Clishem</w:t>
            </w:r>
          </w:p>
        </w:tc>
        <w:tc>
          <w:tcPr>
            <w:tcW w:w="660" w:type="dxa"/>
            <w:vAlign w:val="bottom"/>
          </w:tcPr>
          <w:p>
            <w:pPr>
              <w:spacing w:after="0"/>
              <w:rPr>
                <w:sz w:val="17"/>
                <w:szCs w:val="17"/>
                <w:color w:val="auto"/>
              </w:rPr>
            </w:pPr>
          </w:p>
        </w:tc>
        <w:tc>
          <w:tcPr>
            <w:tcW w:w="3500" w:type="dxa"/>
            <w:vAlign w:val="bottom"/>
            <w:gridSpan w:val="3"/>
          </w:tcPr>
          <w:p>
            <w:pPr>
              <w:spacing w:after="0" w:line="203" w:lineRule="exact"/>
              <w:rPr>
                <w:sz w:val="20"/>
                <w:szCs w:val="20"/>
                <w:color w:val="auto"/>
              </w:rPr>
            </w:pPr>
            <w:r>
              <w:rPr>
                <w:rFonts w:ascii="Arial" w:cs="Arial" w:eastAsia="Arial" w:hAnsi="Arial"/>
                <w:sz w:val="18"/>
                <w:szCs w:val="18"/>
                <w:color w:val="auto"/>
              </w:rPr>
              <w:t>2128 W. Braker Lane, BK 12</w:t>
            </w:r>
          </w:p>
        </w:tc>
      </w:tr>
      <w:tr>
        <w:trPr>
          <w:trHeight w:val="216"/>
        </w:trPr>
        <w:tc>
          <w:tcPr>
            <w:tcW w:w="260" w:type="dxa"/>
            <w:vAlign w:val="bottom"/>
          </w:tcPr>
          <w:p>
            <w:pPr>
              <w:spacing w:after="0"/>
              <w:rPr>
                <w:sz w:val="18"/>
                <w:szCs w:val="18"/>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rPr>
              <w:t>Title:  President and CEO</w:t>
            </w:r>
          </w:p>
        </w:tc>
        <w:tc>
          <w:tcPr>
            <w:tcW w:w="660" w:type="dxa"/>
            <w:vAlign w:val="bottom"/>
          </w:tcPr>
          <w:p>
            <w:pPr>
              <w:spacing w:after="0"/>
              <w:rPr>
                <w:sz w:val="18"/>
                <w:szCs w:val="18"/>
                <w:color w:val="auto"/>
              </w:rPr>
            </w:pPr>
          </w:p>
        </w:tc>
        <w:tc>
          <w:tcPr>
            <w:tcW w:w="3500" w:type="dxa"/>
            <w:vAlign w:val="bottom"/>
            <w:gridSpan w:val="3"/>
          </w:tcPr>
          <w:p>
            <w:pPr>
              <w:spacing w:after="0"/>
              <w:rPr>
                <w:sz w:val="20"/>
                <w:szCs w:val="20"/>
                <w:color w:val="auto"/>
              </w:rPr>
            </w:pPr>
            <w:r>
              <w:rPr>
                <w:rFonts w:ascii="Arial" w:cs="Arial" w:eastAsia="Arial" w:hAnsi="Arial"/>
                <w:sz w:val="18"/>
                <w:szCs w:val="18"/>
                <w:color w:val="auto"/>
              </w:rPr>
              <w:t>Austin, Texas 78758</w:t>
            </w:r>
          </w:p>
        </w:tc>
      </w:tr>
      <w:tr>
        <w:trPr>
          <w:trHeight w:val="216"/>
        </w:trPr>
        <w:tc>
          <w:tcPr>
            <w:tcW w:w="26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Fax:</w:t>
            </w:r>
          </w:p>
        </w:tc>
        <w:tc>
          <w:tcPr>
            <w:tcW w:w="3080" w:type="dxa"/>
            <w:vAlign w:val="bottom"/>
            <w:gridSpan w:val="2"/>
          </w:tcPr>
          <w:p>
            <w:pPr>
              <w:ind w:left="40"/>
              <w:spacing w:after="0"/>
              <w:rPr>
                <w:sz w:val="20"/>
                <w:szCs w:val="20"/>
                <w:color w:val="auto"/>
              </w:rPr>
            </w:pPr>
            <w:r>
              <w:rPr>
                <w:rFonts w:ascii="Arial" w:cs="Arial" w:eastAsia="Arial" w:hAnsi="Arial"/>
                <w:sz w:val="18"/>
                <w:szCs w:val="18"/>
                <w:color w:val="auto"/>
              </w:rPr>
              <w:t>(512) 836-4511</w:t>
            </w:r>
          </w:p>
        </w:tc>
      </w:tr>
      <w:tr>
        <w:trPr>
          <w:trHeight w:val="222"/>
        </w:trPr>
        <w:tc>
          <w:tcPr>
            <w:tcW w:w="26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Attn:</w:t>
            </w:r>
          </w:p>
        </w:tc>
        <w:tc>
          <w:tcPr>
            <w:tcW w:w="3080" w:type="dxa"/>
            <w:vAlign w:val="bottom"/>
            <w:gridSpan w:val="2"/>
          </w:tcPr>
          <w:p>
            <w:pPr>
              <w:ind w:left="40"/>
              <w:spacing w:after="0"/>
              <w:rPr>
                <w:sz w:val="20"/>
                <w:szCs w:val="20"/>
                <w:color w:val="auto"/>
              </w:rPr>
            </w:pPr>
            <w:r>
              <w:rPr>
                <w:rFonts w:ascii="Arial" w:cs="Arial" w:eastAsia="Arial" w:hAnsi="Arial"/>
                <w:sz w:val="18"/>
                <w:szCs w:val="18"/>
                <w:color w:val="auto"/>
              </w:rPr>
              <w:t>Chief Financial Officer</w:t>
            </w:r>
          </w:p>
        </w:tc>
      </w:tr>
      <w:tr>
        <w:trPr>
          <w:trHeight w:val="324"/>
        </w:trPr>
        <w:tc>
          <w:tcPr>
            <w:tcW w:w="26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500" w:type="dxa"/>
            <w:vAlign w:val="bottom"/>
            <w:gridSpan w:val="3"/>
          </w:tcPr>
          <w:p>
            <w:pPr>
              <w:spacing w:after="0"/>
              <w:rPr>
                <w:sz w:val="20"/>
                <w:szCs w:val="20"/>
                <w:color w:val="auto"/>
              </w:rPr>
            </w:pPr>
            <w:r>
              <w:rPr>
                <w:rFonts w:ascii="Arial" w:cs="Arial" w:eastAsia="Arial" w:hAnsi="Arial"/>
                <w:sz w:val="18"/>
                <w:szCs w:val="18"/>
                <w:color w:val="auto"/>
                <w:w w:val="89"/>
              </w:rPr>
              <w:t>With a copy to (which shall not constitute notice):</w:t>
            </w:r>
          </w:p>
        </w:tc>
      </w:tr>
      <w:tr>
        <w:trPr>
          <w:trHeight w:val="318"/>
        </w:trPr>
        <w:tc>
          <w:tcPr>
            <w:tcW w:w="26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500" w:type="dxa"/>
            <w:vAlign w:val="bottom"/>
            <w:gridSpan w:val="3"/>
          </w:tcPr>
          <w:p>
            <w:pPr>
              <w:spacing w:after="0"/>
              <w:rPr>
                <w:sz w:val="20"/>
                <w:szCs w:val="20"/>
                <w:color w:val="auto"/>
              </w:rPr>
            </w:pPr>
            <w:r>
              <w:rPr>
                <w:rFonts w:ascii="Arial" w:cs="Arial" w:eastAsia="Arial" w:hAnsi="Arial"/>
                <w:sz w:val="18"/>
                <w:szCs w:val="18"/>
                <w:color w:val="auto"/>
              </w:rPr>
              <w:t>Andrews Kurth LLP</w:t>
            </w:r>
          </w:p>
        </w:tc>
      </w:tr>
      <w:tr>
        <w:trPr>
          <w:trHeight w:val="216"/>
        </w:trPr>
        <w:tc>
          <w:tcPr>
            <w:tcW w:w="26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500" w:type="dxa"/>
            <w:vAlign w:val="bottom"/>
            <w:gridSpan w:val="3"/>
          </w:tcPr>
          <w:p>
            <w:pPr>
              <w:spacing w:after="0"/>
              <w:rPr>
                <w:sz w:val="20"/>
                <w:szCs w:val="20"/>
                <w:color w:val="auto"/>
              </w:rPr>
            </w:pPr>
            <w:r>
              <w:rPr>
                <w:rFonts w:ascii="Arial" w:cs="Arial" w:eastAsia="Arial" w:hAnsi="Arial"/>
                <w:sz w:val="18"/>
                <w:szCs w:val="18"/>
                <w:color w:val="auto"/>
              </w:rPr>
              <w:t>111 Congress Avenue, Suite 1700</w:t>
            </w:r>
          </w:p>
        </w:tc>
      </w:tr>
      <w:tr>
        <w:trPr>
          <w:trHeight w:val="216"/>
        </w:trPr>
        <w:tc>
          <w:tcPr>
            <w:tcW w:w="26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500" w:type="dxa"/>
            <w:vAlign w:val="bottom"/>
            <w:gridSpan w:val="3"/>
          </w:tcPr>
          <w:p>
            <w:pPr>
              <w:spacing w:after="0"/>
              <w:rPr>
                <w:sz w:val="20"/>
                <w:szCs w:val="20"/>
                <w:color w:val="auto"/>
              </w:rPr>
            </w:pPr>
            <w:r>
              <w:rPr>
                <w:rFonts w:ascii="Arial" w:cs="Arial" w:eastAsia="Arial" w:hAnsi="Arial"/>
                <w:sz w:val="18"/>
                <w:szCs w:val="18"/>
                <w:color w:val="auto"/>
              </w:rPr>
              <w:t>Austin, Texas 78701</w:t>
            </w:r>
          </w:p>
        </w:tc>
      </w:tr>
      <w:tr>
        <w:trPr>
          <w:trHeight w:val="216"/>
        </w:trPr>
        <w:tc>
          <w:tcPr>
            <w:tcW w:w="26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Fax:</w:t>
            </w:r>
          </w:p>
        </w:tc>
        <w:tc>
          <w:tcPr>
            <w:tcW w:w="3080" w:type="dxa"/>
            <w:vAlign w:val="bottom"/>
            <w:gridSpan w:val="2"/>
          </w:tcPr>
          <w:p>
            <w:pPr>
              <w:ind w:left="40"/>
              <w:spacing w:after="0"/>
              <w:rPr>
                <w:sz w:val="20"/>
                <w:szCs w:val="20"/>
                <w:color w:val="auto"/>
              </w:rPr>
            </w:pPr>
            <w:r>
              <w:rPr>
                <w:rFonts w:ascii="Arial" w:cs="Arial" w:eastAsia="Arial" w:hAnsi="Arial"/>
                <w:sz w:val="18"/>
                <w:szCs w:val="18"/>
                <w:color w:val="auto"/>
              </w:rPr>
              <w:t>(512) 320-9292</w:t>
            </w:r>
          </w:p>
        </w:tc>
      </w:tr>
      <w:tr>
        <w:trPr>
          <w:trHeight w:val="222"/>
        </w:trPr>
        <w:tc>
          <w:tcPr>
            <w:tcW w:w="26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Attn:</w:t>
            </w:r>
          </w:p>
        </w:tc>
        <w:tc>
          <w:tcPr>
            <w:tcW w:w="3080" w:type="dxa"/>
            <w:vAlign w:val="bottom"/>
            <w:gridSpan w:val="2"/>
          </w:tcPr>
          <w:p>
            <w:pPr>
              <w:ind w:left="40"/>
              <w:spacing w:after="0"/>
              <w:rPr>
                <w:sz w:val="20"/>
                <w:szCs w:val="20"/>
                <w:color w:val="auto"/>
              </w:rPr>
            </w:pPr>
            <w:r>
              <w:rPr>
                <w:rFonts w:ascii="Arial" w:cs="Arial" w:eastAsia="Arial" w:hAnsi="Arial"/>
                <w:sz w:val="18"/>
                <w:szCs w:val="18"/>
                <w:color w:val="auto"/>
              </w:rPr>
              <w:t>J. Matthew Lyons</w:t>
            </w:r>
          </w:p>
        </w:tc>
      </w:tr>
    </w:tbl>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PAGES FOR PURCHASERS FOLLOW]</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Active Power 2007 PIPE Securities Purchase Agreement]</w:t>
      </w:r>
    </w:p>
    <w:p>
      <w:pPr>
        <w:sectPr>
          <w:pgSz w:w="11900" w:h="16838" w:orient="portrait"/>
          <w:cols w:equalWidth="0" w:num="1">
            <w:col w:w="11400"/>
          </w:cols>
          <w:pgMar w:left="240" w:top="280" w:right="259" w:bottom="1440" w:gutter="0" w:footer="0" w:header="0"/>
        </w:sectPr>
      </w:pPr>
    </w:p>
    <w:bookmarkStart w:id="57" w:name="page58"/>
    <w:bookmarkEnd w:id="57"/>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[PURCHASER SIGNATURE PAGES TO ACPW SECURITIES PURCHASE AGREEMENT]</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WITNESS WHEREOF, the undersigned have caused this Securities Purchase Agreement to be duly executed by their respective authorized signatories as of the date first indicated above.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Name of Purchaser: SF Capital Partners Ltd.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Purchaser</w:t>
      </w:r>
      <w:r>
        <w:rPr>
          <w:rFonts w:ascii="Arial" w:cs="Arial" w:eastAsia="Arial" w:hAnsi="Arial"/>
          <w:sz w:val="18"/>
          <w:szCs w:val="18"/>
          <w:color w:val="auto"/>
        </w:rPr>
        <w:t>: /s/ Brian H. Davidson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Brian H. Davidson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Managing Director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Email Address of Purchaser: Bdavidson@sf-capital.com</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Fax Number of Purchaser: 414-294-7700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Telephone Number of Purchaser: 414-294-7000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 of Purchaser: c/o Stark Offshore Management LLC</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3600 South Lake Drive</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St. Francis, WI 53235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Address for Delivery of Shares for Purchaser (if not same as address for notice):</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M&amp;I Wealth Management Investment Coordination Department</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Attention: Jamie Race</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11270 W. Park Place, Suite 400</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Milwaukee, WI 53224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Subscription Amount: $1,540,000.00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Shares: 1,100,000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EIN Number: </w:t>
      </w:r>
      <w:r>
        <w:rPr>
          <w:rFonts w:ascii="Arial" w:cs="Arial" w:eastAsia="Arial" w:hAnsi="Arial"/>
          <w:sz w:val="18"/>
          <w:szCs w:val="18"/>
          <w:b w:val="1"/>
          <w:bCs w:val="1"/>
          <w:color w:val="auto"/>
        </w:rPr>
        <w:t>[PROVIDE THIS UNDER SEPARATE COVER]</w:t>
      </w:r>
    </w:p>
    <w:p>
      <w:pPr>
        <w:spacing w:after="0" w:line="17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[SIGNATURE PAGES CONTINUE]</w:t>
      </w:r>
    </w:p>
    <w:p>
      <w:pPr>
        <w:spacing w:after="0" w:line="171"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[Signature Page to Active Power 2007 PIPE Securities Purchase Agreement]</w:t>
      </w:r>
    </w:p>
    <w:p>
      <w:pPr>
        <w:sectPr>
          <w:pgSz w:w="11900" w:h="16838" w:orient="portrait"/>
          <w:cols w:equalWidth="0" w:num="1">
            <w:col w:w="11320"/>
          </w:cols>
          <w:pgMar w:left="240" w:top="280" w:right="339" w:bottom="1440" w:gutter="0" w:footer="0" w:header="0"/>
        </w:sectPr>
      </w:pPr>
    </w:p>
    <w:bookmarkStart w:id="58" w:name="page59"/>
    <w:bookmarkEnd w:id="58"/>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[PURCHASER SIGNATURE PAGES TO ACPW SECURITIES PURCHASE AGREEMENT]</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WITNESS WHEREOF, the undersigned have caused this Securities Purchase Agreement to be duly executed by their respective authorized signatories as of the date first indicated above.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Name of Purchaser: Southport Energy Alternatives Fund, 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Purchaser</w:t>
      </w:r>
      <w:r>
        <w:rPr>
          <w:rFonts w:ascii="Arial" w:cs="Arial" w:eastAsia="Arial" w:hAnsi="Arial"/>
          <w:sz w:val="18"/>
          <w:szCs w:val="18"/>
          <w:color w:val="auto"/>
        </w:rPr>
        <w:t>: /s/ Anthony Grammalva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Anthony Grammalva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CEO Sound Energy Partners, Inc., its Investment Manager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Email Address of Purchaser: SNegulic@secm.com</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Fax Number of Purchaser: 203-254-4509</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Telephone Number of Purchaser: 203-254-4500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 of Purchaser: c/o Sound Energy Partners, Inc.</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354 Pequot Ave.</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Southport, CT 06590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Address for Delivery of Shares for Purchaser (if not same as address for notice):</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Morgan Stanley</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c/o Swaine Napier</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2000 Westchester Ave.</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Purchase, NY 10577</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Subscription Amount: $837,060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Shares: 597,900</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EIN Number: </w:t>
      </w:r>
      <w:r>
        <w:rPr>
          <w:rFonts w:ascii="Arial" w:cs="Arial" w:eastAsia="Arial" w:hAnsi="Arial"/>
          <w:sz w:val="18"/>
          <w:szCs w:val="18"/>
          <w:b w:val="1"/>
          <w:bCs w:val="1"/>
          <w:color w:val="auto"/>
        </w:rPr>
        <w:t>[PROVIDE THIS UNDER SEPARATE COVER]</w:t>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 PAGES CONTINUE]</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 Page to Active Power 2007 PIPE Securities Purchase Agreement]</w:t>
      </w:r>
    </w:p>
    <w:p>
      <w:pPr>
        <w:sectPr>
          <w:pgSz w:w="11900" w:h="16838" w:orient="portrait"/>
          <w:cols w:equalWidth="0" w:num="1">
            <w:col w:w="11320"/>
          </w:cols>
          <w:pgMar w:left="240" w:top="280" w:right="339" w:bottom="1440" w:gutter="0" w:footer="0" w:header="0"/>
        </w:sectPr>
      </w:pPr>
    </w:p>
    <w:bookmarkStart w:id="59" w:name="page60"/>
    <w:bookmarkEnd w:id="59"/>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[PURCHASER SIGNATURE PAGES TO ACPW SECURITIES PURCHASE AGREEMENT]</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WITNESS WHEREOF, the undersigned have caused this Securities Purchase Agreement to be duly executed by their respective authorized signatories as of the date first indicated above.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Name of Purchaser: Southport Energy Alternatives SPV Offshore Fund, Inc.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Purchaser</w:t>
      </w:r>
      <w:r>
        <w:rPr>
          <w:rFonts w:ascii="Arial" w:cs="Arial" w:eastAsia="Arial" w:hAnsi="Arial"/>
          <w:sz w:val="18"/>
          <w:szCs w:val="18"/>
          <w:color w:val="auto"/>
        </w:rPr>
        <w:t>: /s/ Anthony Giammalva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Anthony Giammalva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CEO – Sound Energy Partners, Inc. – it’s Investment Advisor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Email Address of Purchaser: SNegulic@secm.com</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Fax Number of Purchaser: 203-254-4509</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Telephone Number of Purchaser: 203-254-4500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 of Purchaser: c/o Sound Energy Partners, Inc.</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354 Pequot Avenue</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Southport, CT 06890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Address for Delivery of Shares for Purchaser (if not same as address for notice):</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Morgan Stanley</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c/o Swaine Napier</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2000 Westchester Avenue</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Purchase, NY 10577</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Subscription Amount: $633,220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Shares: 452,300</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EIN Number: </w:t>
      </w:r>
      <w:r>
        <w:rPr>
          <w:rFonts w:ascii="Arial" w:cs="Arial" w:eastAsia="Arial" w:hAnsi="Arial"/>
          <w:sz w:val="18"/>
          <w:szCs w:val="18"/>
          <w:b w:val="1"/>
          <w:bCs w:val="1"/>
          <w:color w:val="auto"/>
        </w:rPr>
        <w:t>[PROVIDE THIS UNDER SEPARATE COVER]</w:t>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 PAGES CONTINUE]</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 Page to Active Power 2007 PIPE Securities Purchase Agreement]</w:t>
      </w:r>
    </w:p>
    <w:p>
      <w:pPr>
        <w:sectPr>
          <w:pgSz w:w="11900" w:h="16838" w:orient="portrait"/>
          <w:cols w:equalWidth="0" w:num="1">
            <w:col w:w="11320"/>
          </w:cols>
          <w:pgMar w:left="240" w:top="280" w:right="339" w:bottom="1440" w:gutter="0" w:footer="0" w:header="0"/>
        </w:sectPr>
      </w:pPr>
    </w:p>
    <w:bookmarkStart w:id="60" w:name="page61"/>
    <w:bookmarkEnd w:id="60"/>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[PURCHASER SIGNATURE PAGES TO ACPW SECURITIES PURCHASE AGREEMENT]</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WITNESS WHEREOF, the undersigned have caused this Securities Purchase Agreement to be duly executed by their respective authorized signatories as of the date first indicated above.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Name of Purchaser: Southport Energy Alternatives SPV Fund, 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Purchaser</w:t>
      </w:r>
      <w:r>
        <w:rPr>
          <w:rFonts w:ascii="Arial" w:cs="Arial" w:eastAsia="Arial" w:hAnsi="Arial"/>
          <w:sz w:val="18"/>
          <w:szCs w:val="18"/>
          <w:color w:val="auto"/>
        </w:rPr>
        <w:t>: /s/ Anthony Giammalva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Anthony Giammalva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CEO Sound Energy Partners, Inc. – its Investment Manager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Email Address of Purchaser: SNegulic@secm.com</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Fax Number of Purchaser: 203-254-4509</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Telephone Number of Purchaser: 203-254-4500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 of Purchaser: c/o Sound Energy Partners, Inc.</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354 Pequot Avenue</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Southport, CT 06890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Address for Delivery of Shares for Purchaser (if not same as address for notice):</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Morgan Stanley</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c/o Swaine Napier</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2000 Westchester Avenue</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Purchase, NY 10577</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Subscription Amount: $979,720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Shares: 699,800</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EIN Number: </w:t>
      </w:r>
      <w:r>
        <w:rPr>
          <w:rFonts w:ascii="Arial" w:cs="Arial" w:eastAsia="Arial" w:hAnsi="Arial"/>
          <w:sz w:val="18"/>
          <w:szCs w:val="18"/>
          <w:b w:val="1"/>
          <w:bCs w:val="1"/>
          <w:color w:val="auto"/>
        </w:rPr>
        <w:t>[PROVIDE THIS UNDER SEPARATE COVER]</w:t>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 PAGES CONTINUE]</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 Page to Active Power 2007 PIPE Securities Purchase Agreement]</w:t>
      </w:r>
    </w:p>
    <w:p>
      <w:pPr>
        <w:sectPr>
          <w:pgSz w:w="11900" w:h="16838" w:orient="portrait"/>
          <w:cols w:equalWidth="0" w:num="1">
            <w:col w:w="11320"/>
          </w:cols>
          <w:pgMar w:left="240" w:top="280" w:right="339" w:bottom="1440" w:gutter="0" w:footer="0" w:header="0"/>
        </w:sectPr>
      </w:pPr>
    </w:p>
    <w:bookmarkStart w:id="61" w:name="page62"/>
    <w:bookmarkEnd w:id="61"/>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[PURCHASER SIGNATURE PAGES TO ACPW SECURITIES PURCHASE AGREEMENT]</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WITNESS WHEREOF, the undersigned have caused this Securities Purchase Agreement to be duly executed by their respective authorized signatories as of the date first indicated above.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Name of Purchaser: UBS O’Connor LLC F/B/O: O’Connor Pipes Corporate Strategies Master Limited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Purchaser</w:t>
      </w:r>
      <w:r>
        <w:rPr>
          <w:rFonts w:ascii="Arial" w:cs="Arial" w:eastAsia="Arial" w:hAnsi="Arial"/>
          <w:sz w:val="18"/>
          <w:szCs w:val="18"/>
          <w:color w:val="auto"/>
        </w:rPr>
        <w:t>: /s/ Andy Martin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Andy Martin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Executive Director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Email Address of Purchaser: DL-ubsoc-corpact@ubs.com</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Fax Number of Purchaser: 312-525-6271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Telephone Number of Purchaser: 312-525-5839</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 of Purchaser: c/o UBS O’ Connor LLOC</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Attn: Rob Murray</w:t>
      </w:r>
    </w:p>
    <w:p>
      <w:pPr>
        <w:spacing w:after="0" w:line="117"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One North Wacker Drive, 32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Floor</w:t>
      </w:r>
    </w:p>
    <w:p>
      <w:pPr>
        <w:spacing w:after="0" w:line="71"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Chicago, IL 60606</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Address for Delivery of Shares for Purchaser (if not same as address for notice):</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Same as above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Subscription Amount: $770,000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Shares: 550,000</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EIN Number: </w:t>
      </w:r>
      <w:r>
        <w:rPr>
          <w:rFonts w:ascii="Arial" w:cs="Arial" w:eastAsia="Arial" w:hAnsi="Arial"/>
          <w:sz w:val="18"/>
          <w:szCs w:val="18"/>
          <w:b w:val="1"/>
          <w:bCs w:val="1"/>
          <w:color w:val="auto"/>
        </w:rPr>
        <w:t>[PROVIDE THIS UNDER SEPARATE COVER]</w:t>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 PAGES CONTINUE]</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 Page to Active Power 2007 PIPE Securities Purchase Agreement]</w:t>
      </w:r>
    </w:p>
    <w:p>
      <w:pPr>
        <w:sectPr>
          <w:pgSz w:w="11900" w:h="16838" w:orient="portrait"/>
          <w:cols w:equalWidth="0" w:num="1">
            <w:col w:w="11320"/>
          </w:cols>
          <w:pgMar w:left="240" w:top="280" w:right="339" w:bottom="1440" w:gutter="0" w:footer="0" w:header="0"/>
        </w:sectPr>
      </w:pPr>
    </w:p>
    <w:bookmarkStart w:id="62" w:name="page63"/>
    <w:bookmarkEnd w:id="62"/>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[PURCHASER SIGNATURE PAGES TO ACPW SECURITIES PURCHASE AGREEMENT]</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WITNESS WHEREOF, the undersigned have caused this Securities Purchase Agreement to be duly executed by their respective authorized signatories as of the date first indicated above.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Name of Purchaser: Rho Management Trust IV</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Purchaser</w:t>
      </w:r>
      <w:r>
        <w:rPr>
          <w:rFonts w:ascii="Arial" w:cs="Arial" w:eastAsia="Arial" w:hAnsi="Arial"/>
          <w:sz w:val="18"/>
          <w:szCs w:val="18"/>
          <w:color w:val="auto"/>
        </w:rPr>
        <w:t>: /s/ Jeffrey I. Martin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Jeffrey I. Martin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Attorney-in-fact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Email Address of Purchaser: JMARTIN@Rho.com</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Fax Number of Purchaser: 212-751-3613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Telephone Number of Purchaser: 212-751-6677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 of Purchaser: 152 West 57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Street, 23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Floor</w:t>
      </w:r>
    </w:p>
    <w:p>
      <w:pPr>
        <w:spacing w:after="0" w:line="71"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New York, NY 10019</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Address for Delivery of Shares for Purchaser (if not same as address for notice):</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Same as above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Subscription Amount: $840,000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Shares: 600,000</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EIN Number: </w:t>
      </w:r>
      <w:r>
        <w:rPr>
          <w:rFonts w:ascii="Arial" w:cs="Arial" w:eastAsia="Arial" w:hAnsi="Arial"/>
          <w:sz w:val="18"/>
          <w:szCs w:val="18"/>
          <w:b w:val="1"/>
          <w:bCs w:val="1"/>
          <w:color w:val="auto"/>
        </w:rPr>
        <w:t>[PROVIDE THIS UNDER SEPARATE COVER]</w:t>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 PAGES CONTINUE]</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 Page to Active Power 2007 PIPE Securities Purchase Agreement]</w:t>
      </w:r>
    </w:p>
    <w:p>
      <w:pPr>
        <w:sectPr>
          <w:pgSz w:w="11900" w:h="16838" w:orient="portrait"/>
          <w:cols w:equalWidth="0" w:num="1">
            <w:col w:w="11320"/>
          </w:cols>
          <w:pgMar w:left="240" w:top="280" w:right="339" w:bottom="1440" w:gutter="0" w:footer="0" w:header="0"/>
        </w:sectPr>
      </w:pPr>
    </w:p>
    <w:bookmarkStart w:id="63" w:name="page64"/>
    <w:bookmarkEnd w:id="63"/>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[PURCHASER SIGNATURE PAGES TO ACPW SECURITIES PURCHASE AGREEMENT]</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WITNESS WHEREOF, the undersigned have caused this Securities Purchase Agreement to be duly executed by their respective authorized signatories as of the date first indicated above.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Name of Purchaser: Steelhead Investments Ltd.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Purchaser</w:t>
      </w:r>
      <w:r>
        <w:rPr>
          <w:rFonts w:ascii="Arial" w:cs="Arial" w:eastAsia="Arial" w:hAnsi="Arial"/>
          <w:sz w:val="18"/>
          <w:szCs w:val="18"/>
          <w:color w:val="auto"/>
        </w:rPr>
        <w:t>: /s/ J. Baker Gentry, Jr.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J. Baker Gentry, Jr.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Authorized Signatory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Email Address of Purchaser: legal@hbk.com</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Fax Number of Purchaser: 214-758-1207</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Telephone Number of Purchaser: 214-758-6107</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 of Purchaser: c/o HBK Services LLC</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300 Crescent Court, Suite 700</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Dallas, TX 75201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Address for Delivery of Shares for Purchaser (if not same as address for notice):</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Same as above.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Subscription Amount: $6,720,000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Shares: 4,800,000</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EIN Number: </w:t>
      </w:r>
      <w:r>
        <w:rPr>
          <w:rFonts w:ascii="Arial" w:cs="Arial" w:eastAsia="Arial" w:hAnsi="Arial"/>
          <w:sz w:val="18"/>
          <w:szCs w:val="18"/>
          <w:b w:val="1"/>
          <w:bCs w:val="1"/>
          <w:color w:val="auto"/>
        </w:rPr>
        <w:t>[PROVIDE THIS UNDER SEPARATE COVER]</w:t>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 PAGES CONTINUE]</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 Page to Active Power 2007 PIPE Securities Purchase Agreement]</w:t>
      </w:r>
    </w:p>
    <w:p>
      <w:pPr>
        <w:sectPr>
          <w:pgSz w:w="11900" w:h="16838" w:orient="portrait"/>
          <w:cols w:equalWidth="0" w:num="1">
            <w:col w:w="11320"/>
          </w:cols>
          <w:pgMar w:left="240" w:top="280" w:right="339" w:bottom="1440" w:gutter="0" w:footer="0" w:header="0"/>
        </w:sectPr>
      </w:pPr>
    </w:p>
    <w:bookmarkStart w:id="64" w:name="page65"/>
    <w:bookmarkEnd w:id="64"/>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[PURCHASER SIGNATURE PAGES TO ACPW SECURITIES PURCHASE AGREEMENT]</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WITNESS WHEREOF, the undersigned have caused this Securities Purchase Agreement to be duly executed by their respective authorized signatories as of the date first indicated above.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Name of Purchaser: Parworld Environmental Opportunities Fund (Registered Holder: Parworld Environmental Opportunities)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Purchaser</w:t>
      </w:r>
      <w:r>
        <w:rPr>
          <w:rFonts w:ascii="Arial" w:cs="Arial" w:eastAsia="Arial" w:hAnsi="Arial"/>
          <w:sz w:val="18"/>
          <w:szCs w:val="18"/>
          <w:color w:val="auto"/>
        </w:rPr>
        <w:t>: /s/ Bruce Jenkyn-Jones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Bruce Jenkyn-Jones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Director of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Email Address of Purchaser: b.jenkyn-jones@impax.co.uk.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Fax Number of Purchaser: +44(0)2074371245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Telephone Number of Purchaser: +44(0)2074322612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 of Purchaser: c/o Impax Asset Management Ltd. (Attn: Debbie Vanderkolk)</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Broughton House, 6-8 Sackville Street</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London W1S 3DG, UK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Address for Delivery of Shares for Purchaser (if not same as address for notice):</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BNP Paribas Securities Services Luxembourg</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33, Rue de GASPERICH</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Howald-Hesperange</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L-2085 Luxembourg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Subscription Amount: $630,000.00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Shares: 450,000</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EIN Number: </w:t>
      </w:r>
      <w:r>
        <w:rPr>
          <w:rFonts w:ascii="Arial" w:cs="Arial" w:eastAsia="Arial" w:hAnsi="Arial"/>
          <w:sz w:val="18"/>
          <w:szCs w:val="18"/>
          <w:b w:val="1"/>
          <w:bCs w:val="1"/>
          <w:color w:val="auto"/>
        </w:rPr>
        <w:t>[PROVIDE THIS UNDER SEPARATE COVER]</w:t>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 Page to Active Power 2007 PIPE Securities Purchase Agreement]</w:t>
      </w:r>
    </w:p>
    <w:p>
      <w:pPr>
        <w:sectPr>
          <w:pgSz w:w="11900" w:h="16838" w:orient="portrait"/>
          <w:cols w:equalWidth="0" w:num="1">
            <w:col w:w="11320"/>
          </w:cols>
          <w:pgMar w:left="240" w:top="280" w:right="339" w:bottom="1440" w:gutter="0" w:footer="0" w:header="0"/>
        </w:sectPr>
      </w:pPr>
    </w:p>
    <w:bookmarkStart w:id="65" w:name="page66"/>
    <w:bookmarkEnd w:id="65"/>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PAGES CONTINUE]</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[Signature Page to Active Power 2007 PIPE Securities Purchase Agreement]</w:t>
      </w:r>
    </w:p>
    <w:p>
      <w:pPr>
        <w:sectPr>
          <w:pgSz w:w="11900" w:h="16838" w:orient="portrait"/>
          <w:cols w:equalWidth="0" w:num="1">
            <w:col w:w="9019"/>
          </w:cols>
          <w:pgMar w:left="1440" w:top="280" w:right="1440" w:bottom="1440" w:gutter="0" w:footer="0" w:header="0"/>
        </w:sectPr>
      </w:pPr>
    </w:p>
    <w:bookmarkStart w:id="66" w:name="page67"/>
    <w:bookmarkEnd w:id="66"/>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[PURCHASER SIGNATURE PAGES TO ACPW SECURITIES PURCHASE AGREEMENT]</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WITNESS WHEREOF, the undersigned have caused this Securities Purchase Agreement to be duly executed by their respective authorized signatories as of the date first indicated above.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Name of Purchaser: Impax Environmental Markets (Ireland) Fund (Registered Holder: RBC Dexia Investor Services Bank)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Purchaser</w:t>
      </w:r>
      <w:r>
        <w:rPr>
          <w:rFonts w:ascii="Arial" w:cs="Arial" w:eastAsia="Arial" w:hAnsi="Arial"/>
          <w:sz w:val="18"/>
          <w:szCs w:val="18"/>
          <w:color w:val="auto"/>
        </w:rPr>
        <w:t>: /s/ Bruce Jenkyn-Jones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Bruce Jenkyn-Jones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Director of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Email Address of Purchaser: b.jenkyn-jones@impax.co.uk.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Fax Number of Purchaser: +44(0)2074371245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Telephone Number of Purchaser: +44(0)2074322612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 of Purchaser: c/o Impax Asset Management Ltd. (Attn: Debbie Vanderkolk)</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Broughton House, 6-8 Sackville Street</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London W1S 3DG, UK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Address for Delivery of Shares for Purchaser (if not same as address for notice):</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Brown Brothers Harriman</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140 Broadway, Ground Floor</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New York, NY 10006</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Attn: Trade Processing Dept.</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Ralph Firneno, For Deposit To Account 8050056</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Subscription Amount: $560,000.00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Shares: 400,000</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 Page to Active Power 2007 PIPE Securities Purchase Agreement]</w:t>
      </w:r>
    </w:p>
    <w:p>
      <w:pPr>
        <w:sectPr>
          <w:pgSz w:w="11900" w:h="16838" w:orient="portrait"/>
          <w:cols w:equalWidth="0" w:num="1">
            <w:col w:w="11320"/>
          </w:cols>
          <w:pgMar w:left="240" w:top="280"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EIN Number: </w:t>
      </w:r>
      <w:r>
        <w:rPr>
          <w:rFonts w:ascii="Arial" w:cs="Arial" w:eastAsia="Arial" w:hAnsi="Arial"/>
          <w:sz w:val="18"/>
          <w:szCs w:val="18"/>
          <w:b w:val="1"/>
          <w:bCs w:val="1"/>
          <w:color w:val="auto"/>
        </w:rPr>
        <w:t>[PROVIDE THIS UNDER SEPARATE COVER]</w:t>
      </w:r>
    </w:p>
    <w:p>
      <w:pPr>
        <w:spacing w:after="0" w:line="17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[SIGNATURE PAGES CONTINUE]</w:t>
      </w:r>
    </w:p>
    <w:p>
      <w:pPr>
        <w:spacing w:after="0" w:line="171" w:lineRule="exact"/>
        <w:rPr>
          <w:sz w:val="20"/>
          <w:szCs w:val="20"/>
          <w:color w:val="auto"/>
        </w:rPr>
      </w:pPr>
    </w:p>
    <w:p>
      <w:pPr>
        <w:jc w:val="right"/>
        <w:ind w:right="1799"/>
        <w:spacing w:after="0"/>
        <w:rPr>
          <w:sz w:val="20"/>
          <w:szCs w:val="20"/>
          <w:color w:val="auto"/>
        </w:rPr>
      </w:pPr>
      <w:r>
        <w:rPr>
          <w:rFonts w:ascii="Arial" w:cs="Arial" w:eastAsia="Arial" w:hAnsi="Arial"/>
          <w:sz w:val="18"/>
          <w:szCs w:val="18"/>
          <w:color w:val="auto"/>
        </w:rPr>
        <w:t>[Signature Page to Active Power 2007 PIPE Securities Purchase Agreement]</w:t>
      </w:r>
    </w:p>
    <w:p>
      <w:pPr>
        <w:sectPr>
          <w:pgSz w:w="11900" w:h="16838" w:orient="portrait"/>
          <w:cols w:equalWidth="0" w:num="1">
            <w:col w:w="10219"/>
          </w:cols>
          <w:pgMar w:left="240" w:top="274" w:right="1440" w:bottom="1440" w:gutter="0" w:footer="0" w:header="0"/>
        </w:sectPr>
      </w:pPr>
    </w:p>
    <w:bookmarkStart w:id="68" w:name="page69"/>
    <w:bookmarkEnd w:id="68"/>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[PURCHASER SIGNATURE PAGES TO ACPW SECURITIES PURCHASE AGREEMENT]</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WITNESS WHEREOF, the undersigned have caused this Securities Purchase Agreement to be duly executed by their respective authorized signatories as of the date first indicated above.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Name of Purchaser: Impax Environmental Markets PLC (Registered Holder: Nortrust Nominees Limited Account: IEM01)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Purchaser</w:t>
      </w:r>
      <w:r>
        <w:rPr>
          <w:rFonts w:ascii="Arial" w:cs="Arial" w:eastAsia="Arial" w:hAnsi="Arial"/>
          <w:sz w:val="18"/>
          <w:szCs w:val="18"/>
          <w:color w:val="auto"/>
        </w:rPr>
        <w:t>: /s/ Bruce Jenkyn-Jones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Bruce Jenkyn-Jones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Director of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Email Address of Purchaser: b.jenkyn-jones@impax.co.uk.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Fax Number of Purchaser: +44(0)2074371245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Telephone Number of Purchaser: +44(0)2074322612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 of Purchaser: c/o Cavendish Administration (Attn: Russell Scott)</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145-157 St Johns Street</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London EC1V 4RU, UK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Address for Delivery of Shares for Purchaser (if not same as address for notice):</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Same as above.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Subscription Amount: $490,000.00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Shares: 350,000</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EIN Number: </w:t>
      </w:r>
      <w:r>
        <w:rPr>
          <w:rFonts w:ascii="Arial" w:cs="Arial" w:eastAsia="Arial" w:hAnsi="Arial"/>
          <w:sz w:val="18"/>
          <w:szCs w:val="18"/>
          <w:b w:val="1"/>
          <w:bCs w:val="1"/>
          <w:color w:val="auto"/>
        </w:rPr>
        <w:t>[PROVIDE THIS UNDER SEPARATE COVER]</w:t>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 PAGES CONTINUE]</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 Page to Active Power 2007 PIPE Securities Purchase Agreement]</w:t>
      </w:r>
    </w:p>
    <w:p>
      <w:pPr>
        <w:sectPr>
          <w:pgSz w:w="11900" w:h="16838" w:orient="portrait"/>
          <w:cols w:equalWidth="0" w:num="1">
            <w:col w:w="11320"/>
          </w:cols>
          <w:pgMar w:left="240" w:top="280"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consent to the reference to our firm under the caption “Experts” in the Registration Statement (Form S-1) and related Prospectus of Active Power, Inc. for the registration of 10,000,000 shares of its common stock and to the incorporation by reference therein of our reports dated May 10, 2007, with respect to the consolidated financial statements of Active Power, Inc., Active Power, Inc.’s management’s assessment of the effectiveness of internal control over financial reporting, and the effectiveness of internal control over financial reporting of Active Power, Inc., included in its Annual Report (Form 10-K) for the year ended December 31, 2006, filed with the Securities and Exchange Commission.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Ernst &amp; Young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Ernst &amp; Young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7, 2007</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1)"/>
      <w:numFmt w:val="decimal"/>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lowerRoman"/>
      <w:start w:val="1"/>
    </w:lvl>
  </w:abstractNum>
  <w:abstractNum w:abstractNumId="3">
    <w:nsid w:val="2D1D5AE9"/>
    <w:multiLevelType w:val="hybridMultilevel"/>
    <w:lvl w:ilvl="0">
      <w:lvlJc w:val="left"/>
      <w:lvlText w:val="(%1)"/>
      <w:numFmt w:val="decimal"/>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1)"/>
      <w:numFmt w:val="decimal"/>
      <w:start w:val="2"/>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1)"/>
      <w:numFmt w:val="lowerLetter"/>
      <w:start w:val="1"/>
    </w:lvl>
  </w:abstractNum>
  <w:abstractNum w:abstractNumId="10">
    <w:nsid w:val="189A769B"/>
    <w:multiLevelType w:val="hybridMultilevel"/>
    <w:lvl w:ilvl="0">
      <w:lvlJc w:val="left"/>
      <w:lvlText w:val="(%1)"/>
      <w:numFmt w:val="decimal"/>
      <w:start w:val="1"/>
    </w:lvl>
    <w:lvl w:ilvl="1">
      <w:lvlJc w:val="left"/>
      <w:lvlText w:val="(%2)"/>
      <w:numFmt w:val="lowerRoman"/>
      <w:start w:val="1"/>
    </w:lvl>
  </w:abstractNum>
  <w:abstractNum w:abstractNumId="11">
    <w:nsid w:val="54E49EB4"/>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3"/>
    </w:lvl>
    <w:lvl w:ilvl="3">
      <w:lvlJc w:val="left"/>
      <w:lvlText w:val="%4"/>
      <w:numFmt w:val="upperLetter"/>
      <w:start w:val="1"/>
    </w:lvl>
  </w:abstractNum>
  <w:abstractNum w:abstractNumId="12">
    <w:nsid w:val="71F32454"/>
    <w:multiLevelType w:val="hybridMultilevel"/>
    <w:lvl w:ilvl="0">
      <w:lvlJc w:val="left"/>
      <w:lvlText w:val="(%1)"/>
      <w:numFmt w:val="decimal"/>
      <w:start w:val="2"/>
    </w:lvl>
    <w:lvl w:ilvl="1">
      <w:lvlJc w:val="left"/>
      <w:lvlText w:val="(%2)"/>
      <w:numFmt w:val="lowerRoman"/>
      <w:start w:val="1"/>
    </w:lvl>
    <w:lvl w:ilvl="2">
      <w:lvlJc w:val="left"/>
      <w:lvlText w:val="(%3)"/>
      <w:numFmt w:val="lowerRoman"/>
      <w:start w:val="1"/>
    </w:lvl>
    <w:lvl w:ilvl="3">
      <w:lvlJc w:val="left"/>
      <w:lvlText w:val="%4."/>
      <w:numFmt w:val="upperLetter"/>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1)"/>
      <w:numFmt w:val="lowerRoman"/>
      <w:start w:val="4"/>
    </w:lvl>
  </w:abstractNum>
  <w:abstractNum w:abstractNumId="15">
    <w:nsid w:val="2901D82"/>
    <w:multiLevelType w:val="hybridMultilevel"/>
    <w:lvl w:ilvl="0">
      <w:lvlJc w:val="left"/>
      <w:lvlText w:val="(%1)"/>
      <w:numFmt w:val="lowerLetter"/>
      <w:start w:val="1"/>
    </w:lvl>
    <w:lvl w:ilvl="1">
      <w:lvlJc w:val="left"/>
      <w:lvlText w:val="(%2)"/>
      <w:numFmt w:val="lowerRoman"/>
      <w:start w:val="1"/>
    </w:lvl>
  </w:abstractNum>
  <w:abstractNum w:abstractNumId="16">
    <w:nsid w:val="3A95F874"/>
    <w:multiLevelType w:val="hybridMultilevel"/>
    <w:lvl w:ilvl="0">
      <w:lvlJc w:val="left"/>
      <w:lvlText w:val="(%1)"/>
      <w:numFmt w:val="lowerRoman"/>
      <w:start w:val="2"/>
    </w:lvl>
  </w:abstractNum>
  <w:abstractNum w:abstractNumId="17">
    <w:nsid w:val="8138641"/>
    <w:multiLevelType w:val="hybridMultilevel"/>
    <w:lvl w:ilvl="0">
      <w:lvlJc w:val="left"/>
      <w:lvlText w:val="(%1)"/>
      <w:numFmt w:val="lowerLetter"/>
      <w:start w:val="1"/>
    </w:lvl>
    <w:lvl w:ilvl="1">
      <w:lvlJc w:val="left"/>
      <w:lvlText w:val="(%2)"/>
      <w:numFmt w:val="lowerRoman"/>
      <w:start w:val="1"/>
    </w:lvl>
  </w:abstractNum>
  <w:abstractNum w:abstractNumId="18">
    <w:nsid w:val="1E7FF521"/>
    <w:multiLevelType w:val="hybridMultilevel"/>
    <w:lvl w:ilvl="0">
      <w:lvlJc w:val="left"/>
      <w:lvlText w:val="(%1)"/>
      <w:numFmt w:val="lowerLetter"/>
      <w:start w:val="1"/>
    </w:lvl>
  </w:abstractNum>
  <w:abstractNum w:abstractNumId="19">
    <w:nsid w:val="7C3DBD3D"/>
    <w:multiLevelType w:val="hybridMultilevel"/>
    <w:lvl w:ilvl="0">
      <w:lvlJc w:val="left"/>
      <w:lvlText w:val="(%1)"/>
      <w:numFmt w:val="lowerLetter"/>
      <w:start w:val="4"/>
    </w:lvl>
  </w:abstractNum>
  <w:abstractNum w:abstractNumId="20">
    <w:nsid w:val="737B8DDC"/>
    <w:multiLevelType w:val="hybridMultilevel"/>
    <w:lvl w:ilvl="0">
      <w:lvlJc w:val="left"/>
      <w:lvlText w:val="(%1)"/>
      <w:numFmt w:val="lowerLetter"/>
      <w:start w:val="6"/>
    </w:lvl>
  </w:abstractNum>
  <w:abstractNum w:abstractNumId="21">
    <w:nsid w:val="6CEAF087"/>
    <w:multiLevelType w:val="hybridMultilevel"/>
    <w:lvl w:ilvl="0">
      <w:lvlJc w:val="left"/>
      <w:lvlText w:val="(%1)"/>
      <w:numFmt w:val="lowerLetter"/>
      <w:start w:val="9"/>
    </w:lvl>
  </w:abstractNum>
  <w:abstractNum w:abstractNumId="22">
    <w:nsid w:val="22221A70"/>
    <w:multiLevelType w:val="hybridMultilevel"/>
    <w:lvl w:ilvl="0">
      <w:lvlJc w:val="left"/>
      <w:lvlText w:val="(%1)"/>
      <w:numFmt w:val="lowerLetter"/>
      <w:start w:val="11"/>
    </w:lvl>
  </w:abstractNum>
  <w:abstractNum w:abstractNumId="23">
    <w:nsid w:val="4516DDE9"/>
    <w:multiLevelType w:val="hybridMultilevel"/>
    <w:lvl w:ilvl="0">
      <w:lvlJc w:val="left"/>
      <w:lvlText w:val="(%1)"/>
      <w:numFmt w:val="lowerLetter"/>
      <w:start w:val="14"/>
    </w:lvl>
  </w:abstractNum>
  <w:abstractNum w:abstractNumId="24">
    <w:nsid w:val="3006C83E"/>
    <w:multiLevelType w:val="hybridMultilevel"/>
    <w:lvl w:ilvl="0">
      <w:lvlJc w:val="left"/>
      <w:lvlText w:val="(%1)"/>
      <w:numFmt w:val="lowerLetter"/>
      <w:start w:val="18"/>
    </w:lvl>
  </w:abstractNum>
  <w:abstractNum w:abstractNumId="25">
    <w:nsid w:val="614FD4A1"/>
    <w:multiLevelType w:val="hybridMultilevel"/>
    <w:lvl w:ilvl="0">
      <w:lvlJc w:val="left"/>
      <w:lvlText w:val="(%1)"/>
      <w:numFmt w:val="lowerLetter"/>
      <w:start w:val="22"/>
    </w:lvl>
  </w:abstractNum>
  <w:abstractNum w:abstractNumId="26">
    <w:nsid w:val="419AC241"/>
    <w:multiLevelType w:val="hybridMultilevel"/>
    <w:lvl w:ilvl="0">
      <w:lvlJc w:val="left"/>
      <w:lvlText w:val="(%1)"/>
      <w:numFmt w:val="lowerLetter"/>
      <w:start w:val="26"/>
    </w:lvl>
  </w:abstractNum>
  <w:abstractNum w:abstractNumId="27">
    <w:nsid w:val="5577F8E1"/>
    <w:multiLevelType w:val="hybridMultilevel"/>
    <w:lvl w:ilvl="0">
      <w:lvlJc w:val="left"/>
      <w:lvlText w:val="(%1)"/>
      <w:numFmt w:val="lowerLetter"/>
      <w:start w:val="27"/>
    </w:lvl>
  </w:abstractNum>
  <w:abstractNum w:abstractNumId="28">
    <w:nsid w:val="440BADFC"/>
    <w:multiLevelType w:val="hybridMultilevel"/>
    <w:lvl w:ilvl="0">
      <w:lvlJc w:val="left"/>
      <w:lvlText w:val="(%1)"/>
      <w:numFmt w:val="lowerLetter"/>
      <w:start w:val="29"/>
    </w:lvl>
  </w:abstractNum>
  <w:abstractNum w:abstractNumId="29">
    <w:nsid w:val="5072367"/>
    <w:multiLevelType w:val="hybridMultilevel"/>
    <w:lvl w:ilvl="0">
      <w:lvlJc w:val="left"/>
      <w:lvlText w:val="%1"/>
      <w:numFmt w:val="lowerRoman"/>
      <w:start w:val="1"/>
    </w:lvl>
    <w:lvl w:ilvl="1">
      <w:lvlJc w:val="left"/>
      <w:lvlText w:val="(%2)"/>
      <w:numFmt w:val="lowerLetter"/>
      <w:start w:val="34"/>
    </w:lvl>
  </w:abstractNum>
  <w:abstractNum w:abstractNumId="30">
    <w:nsid w:val="3804823E"/>
    <w:multiLevelType w:val="hybridMultilevel"/>
    <w:lvl w:ilvl="0">
      <w:lvlJc w:val="left"/>
      <w:lvlText w:val="(%1)"/>
      <w:numFmt w:val="lowerRoman"/>
      <w:start w:val="4"/>
    </w:lvl>
    <w:lvl w:ilvl="1">
      <w:lvlJc w:val="left"/>
      <w:lvlText w:val="(%2)"/>
      <w:numFmt w:val="lowerLetter"/>
      <w:start w:val="35"/>
    </w:lvl>
  </w:abstractNum>
  <w:abstractNum w:abstractNumId="31">
    <w:nsid w:val="77465F01"/>
    <w:multiLevelType w:val="hybridMultilevel"/>
    <w:lvl w:ilvl="0">
      <w:lvlJc w:val="left"/>
      <w:lvlText w:val="(%1)"/>
      <w:numFmt w:val="lowerLetter"/>
      <w:start w:val="1"/>
    </w:lvl>
  </w:abstractNum>
  <w:abstractNum w:abstractNumId="32">
    <w:nsid w:val="7724C67E"/>
    <w:multiLevelType w:val="hybridMultilevel"/>
    <w:lvl w:ilvl="0">
      <w:lvlJc w:val="left"/>
      <w:lvlText w:val="(%1)"/>
      <w:numFmt w:val="lowerLetter"/>
      <w:start w:val="5"/>
    </w:lvl>
  </w:abstractNum>
  <w:abstractNum w:abstractNumId="33">
    <w:nsid w:val="5C482A97"/>
    <w:multiLevelType w:val="hybridMultilevel"/>
    <w:lvl w:ilvl="0">
      <w:lvlJc w:val="left"/>
      <w:lvlText w:val="(%1)"/>
      <w:numFmt w:val="lowerLetter"/>
      <w:start w:val="2"/>
    </w:lvl>
  </w:abstractNum>
  <w:abstractNum w:abstractNumId="34">
    <w:nsid w:val="2463B9EA"/>
    <w:multiLevelType w:val="hybridMultilevel"/>
    <w:lvl w:ilvl="0">
      <w:lvlJc w:val="left"/>
      <w:lvlText w:val="%1"/>
      <w:numFmt w:val="decimal"/>
      <w:start w:val="1"/>
    </w:lvl>
    <w:lvl w:ilvl="1">
      <w:lvlJc w:val="left"/>
      <w:lvlText w:val="(%2)"/>
      <w:numFmt w:val="lowerLetter"/>
      <w:start w:val="3"/>
    </w:lvl>
  </w:abstractNum>
  <w:abstractNum w:abstractNumId="35">
    <w:nsid w:val="5E884ADC"/>
    <w:multiLevelType w:val="hybridMultilevel"/>
    <w:lvl w:ilvl="0">
      <w:lvlJc w:val="left"/>
      <w:lvlText w:val="(%1)"/>
      <w:numFmt w:val="decimal"/>
      <w:start w:val="5"/>
    </w:lvl>
    <w:lvl w:ilvl="1">
      <w:lvlJc w:val="left"/>
      <w:lvlText w:val="(%2)"/>
      <w:numFmt w:val="lowerLetter"/>
      <w:start w:val="4"/>
    </w:lvl>
  </w:abstractNum>
  <w:abstractNum w:abstractNumId="36">
    <w:nsid w:val="51EAD36B"/>
    <w:multiLevelType w:val="hybridMultilevel"/>
    <w:lvl w:ilvl="0">
      <w:lvlJc w:val="left"/>
      <w:lvlText w:val="%1"/>
      <w:numFmt w:val="upperLetter"/>
      <w:start w:val="1"/>
    </w:lvl>
    <w:lvl w:ilvl="1">
      <w:lvlJc w:val="left"/>
      <w:lvlText w:val="(%2)"/>
      <w:numFmt w:val="lowerLetter"/>
      <w:start w:val="1"/>
    </w:lvl>
  </w:abstractNum>
  <w:abstractNum w:abstractNumId="37">
    <w:nsid w:val="2D517796"/>
    <w:multiLevelType w:val="hybridMultilevel"/>
    <w:lvl w:ilvl="0">
      <w:lvlJc w:val="left"/>
      <w:lvlText w:val="(%1)"/>
      <w:numFmt w:val="upperLetter"/>
      <w:start w:val="1"/>
    </w:lvl>
    <w:lvl w:ilvl="1">
      <w:lvlJc w:val="left"/>
      <w:lvlText w:val="(%2)"/>
      <w:numFmt w:val="lowerLetter"/>
      <w:start w:val="3"/>
    </w:lvl>
  </w:abstractNum>
  <w:abstractNum w:abstractNumId="38">
    <w:nsid w:val="580BD78F"/>
    <w:multiLevelType w:val="hybridMultilevel"/>
    <w:lvl w:ilvl="0">
      <w:lvlJc w:val="left"/>
      <w:lvlText w:val="(%1)"/>
      <w:numFmt w:val="lowerLetter"/>
      <w:start w:val="1"/>
    </w:lvl>
  </w:abstractNum>
  <w:abstractNum w:abstractNumId="39">
    <w:nsid w:val="153EA438"/>
    <w:multiLevelType w:val="hybridMultilevel"/>
    <w:lvl w:ilvl="0">
      <w:lvlJc w:val="left"/>
      <w:lvlText w:val="%1"/>
      <w:numFmt w:val="lowerLetter"/>
      <w:start w:val="1"/>
    </w:lvl>
    <w:lvl w:ilvl="1">
      <w:lvlJc w:val="left"/>
      <w:lvlText w:val="(%2)"/>
      <w:numFmt w:val="lowerLetter"/>
      <w:start w:val="2"/>
    </w:lvl>
  </w:abstractNum>
  <w:abstractNum w:abstractNumId="40">
    <w:nsid w:val="3855585C"/>
    <w:multiLevelType w:val="hybridMultilevel"/>
    <w:lvl w:ilvl="0">
      <w:lvlJc w:val="left"/>
      <w:lvlText w:val="(%1)"/>
      <w:numFmt w:val="lowerLetter"/>
      <w:start w:val="24"/>
    </w:lvl>
    <w:lvl w:ilvl="1">
      <w:lvlJc w:val="left"/>
      <w:lvlText w:val="(%2)"/>
      <w:numFmt w:val="lowerLetter"/>
      <w:start w:val="6"/>
    </w:lvl>
  </w:abstractNum>
  <w:abstractNum w:abstractNumId="41">
    <w:nsid w:val="70A64E2A"/>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2019-12-14T17:10:58Z</dcterms:created>
  <dcterms:modified xsi:type="dcterms:W3CDTF">2019-12-14T17:10:58Z</dcterms:modified>
</cp:coreProperties>
</file>