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5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325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Under the Securities Exchange Act of 1934</w:t>
      </w:r>
    </w:p>
    <w:p>
      <w:pPr>
        <w:ind w:left="2440"/>
        <w:spacing w:after="0" w:line="238" w:lineRule="auto"/>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4"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Active Power, Inc.</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ind w:left="286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Common Stock, $0.001 par value</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ind w:left="232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00504W100</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ind w:left="296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December 31, 2000</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640" w:right="7779"/>
        <w:spacing w:after="0" w:line="536" w:lineRule="auto"/>
        <w:tabs>
          <w:tab w:leader="none" w:pos="85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Rule 13d-1(b) [x] Rule 13d-1(c)</w:t>
      </w:r>
    </w:p>
    <w:p>
      <w:pPr>
        <w:ind w:left="860" w:hanging="220"/>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7" w:lineRule="exact"/>
        <w:rPr>
          <w:sz w:val="24"/>
          <w:szCs w:val="24"/>
          <w:color w:val="auto"/>
        </w:rPr>
      </w:pPr>
    </w:p>
    <w:p>
      <w:pPr>
        <w:ind w:right="2319" w:firstLine="632"/>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199" w:firstLine="632"/>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CUSIP No. 00504W100</w:t>
      </w:r>
    </w:p>
    <w:p>
      <w:pPr>
        <w:spacing w:after="0" w:line="200" w:lineRule="exact"/>
        <w:rPr>
          <w:sz w:val="24"/>
          <w:szCs w:val="24"/>
          <w:color w:val="auto"/>
        </w:rPr>
      </w:pPr>
    </w:p>
    <w:p>
      <w:pPr>
        <w:spacing w:after="0" w:line="204"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 (entities only).</w:t>
      </w: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Rho Management Company, Inc.</w:t>
      </w:r>
    </w:p>
    <w:p>
      <w:pPr>
        <w:spacing w:after="0" w:line="200" w:lineRule="exact"/>
        <w:rPr>
          <w:sz w:val="24"/>
          <w:szCs w:val="24"/>
          <w:color w:val="auto"/>
        </w:rPr>
      </w:pPr>
    </w:p>
    <w:p>
      <w:pPr>
        <w:spacing w:after="0" w:line="204"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spacing w:after="0" w:line="201" w:lineRule="exact"/>
        <w:rPr>
          <w:sz w:val="24"/>
          <w:szCs w:val="24"/>
          <w:color w:val="auto"/>
        </w:rPr>
      </w:pPr>
    </w:p>
    <w:p>
      <w:pPr>
        <w:ind w:left="5800"/>
        <w:spacing w:after="0"/>
        <w:tabs>
          <w:tab w:leader="none" w:pos="6520" w:val="left"/>
        </w:tabs>
        <w:rPr>
          <w:sz w:val="20"/>
          <w:szCs w:val="20"/>
          <w:color w:val="auto"/>
        </w:rPr>
      </w:pPr>
      <w:r>
        <w:rPr>
          <w:rFonts w:ascii="Courier New" w:cs="Courier New" w:eastAsia="Courier New" w:hAnsi="Courier New"/>
          <w:sz w:val="18"/>
          <w:szCs w:val="18"/>
          <w:color w:val="auto"/>
        </w:rPr>
        <w:t>(a) [</w:t>
      </w:r>
      <w:r>
        <w:rPr>
          <w:sz w:val="20"/>
          <w:szCs w:val="20"/>
          <w:color w:val="auto"/>
        </w:rPr>
        <w:tab/>
      </w:r>
      <w:r>
        <w:rPr>
          <w:rFonts w:ascii="Courier New" w:cs="Courier New" w:eastAsia="Courier New" w:hAnsi="Courier New"/>
          <w:sz w:val="16"/>
          <w:szCs w:val="16"/>
          <w:color w:val="auto"/>
        </w:rPr>
        <w:t>]</w:t>
      </w:r>
    </w:p>
    <w:p>
      <w:pPr>
        <w:ind w:left="5800"/>
        <w:spacing w:after="0"/>
        <w:tabs>
          <w:tab w:leader="none" w:pos="6520" w:val="left"/>
        </w:tabs>
        <w:rPr>
          <w:sz w:val="20"/>
          <w:szCs w:val="20"/>
          <w:color w:val="auto"/>
        </w:rPr>
      </w:pPr>
      <w:r>
        <w:rPr>
          <w:rFonts w:ascii="Courier New" w:cs="Courier New" w:eastAsia="Courier New" w:hAnsi="Courier New"/>
          <w:sz w:val="18"/>
          <w:szCs w:val="18"/>
          <w:color w:val="auto"/>
        </w:rPr>
        <w:t>(b) [</w:t>
      </w:r>
      <w:r>
        <w:rPr>
          <w:sz w:val="20"/>
          <w:szCs w:val="20"/>
          <w:color w:val="auto"/>
        </w:rPr>
        <w:tab/>
      </w:r>
      <w:r>
        <w:rPr>
          <w:rFonts w:ascii="Courier New" w:cs="Courier New" w:eastAsia="Courier New" w:hAnsi="Courier New"/>
          <w:sz w:val="16"/>
          <w:szCs w:val="16"/>
          <w:color w:val="auto"/>
        </w:rPr>
        <w:t>]</w:t>
      </w:r>
    </w:p>
    <w:p>
      <w:pPr>
        <w:spacing w:after="0" w:line="202"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9" w:lineRule="exact"/>
        <w:rPr>
          <w:sz w:val="24"/>
          <w:szCs w:val="24"/>
          <w:color w:val="auto"/>
        </w:rPr>
      </w:pPr>
    </w:p>
    <w:p>
      <w:pPr>
        <w:ind w:left="640" w:right="5899" w:hanging="632"/>
        <w:spacing w:after="0" w:line="470" w:lineRule="auto"/>
        <w:tabs>
          <w:tab w:leader="none" w:pos="5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New York</w:t>
      </w:r>
    </w:p>
    <w:p>
      <w:pPr>
        <w:spacing w:after="0" w:line="209"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NUMBER OF SHARES BENEFICIALLY OWNED BY</w:t>
      </w:r>
    </w:p>
    <w:p>
      <w:pPr>
        <w:ind w:left="540"/>
        <w:spacing w:after="0" w:line="238" w:lineRule="auto"/>
        <w:rPr>
          <w:sz w:val="20"/>
          <w:szCs w:val="20"/>
          <w:color w:val="auto"/>
        </w:rPr>
      </w:pPr>
      <w:r>
        <w:rPr>
          <w:rFonts w:ascii="Courier New" w:cs="Courier New" w:eastAsia="Courier New" w:hAnsi="Courier New"/>
          <w:sz w:val="18"/>
          <w:szCs w:val="18"/>
          <w:color w:val="auto"/>
        </w:rPr>
        <w:t>EACH REPORTING PERSON WITH:</w:t>
      </w:r>
    </w:p>
    <w:p>
      <w:pPr>
        <w:spacing w:after="0" w:line="202" w:lineRule="exact"/>
        <w:rPr>
          <w:sz w:val="24"/>
          <w:szCs w:val="24"/>
          <w:color w:val="auto"/>
        </w:rPr>
      </w:pPr>
    </w:p>
    <w:p>
      <w:pPr>
        <w:ind w:left="640"/>
        <w:spacing w:after="0"/>
        <w:tabs>
          <w:tab w:leader="none" w:pos="1260" w:val="left"/>
        </w:tabs>
        <w:rPr>
          <w:sz w:val="20"/>
          <w:szCs w:val="20"/>
          <w:color w:val="auto"/>
        </w:rPr>
      </w:pP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8"/>
          <w:szCs w:val="18"/>
          <w:color w:val="auto"/>
        </w:rPr>
        <w:t>SOLE VOTING POWER</w:t>
      </w:r>
    </w:p>
    <w:p>
      <w:pPr>
        <w:sectPr>
          <w:pgSz w:w="11900" w:h="16838" w:orient="portrait"/>
          <w:cols w:equalWidth="0" w:num="1">
            <w:col w:w="10219"/>
          </w:cols>
          <w:pgMar w:left="240" w:top="649" w:right="1440" w:bottom="0" w:gutter="0" w:footer="0" w:header="0"/>
        </w:sectPr>
      </w:pPr>
    </w:p>
    <w:bookmarkStart w:id="1" w:name="page2"/>
    <w:bookmarkEnd w:id="1"/>
    <w:p>
      <w:pPr>
        <w:ind w:left="1272"/>
        <w:spacing w:after="0"/>
        <w:rPr>
          <w:sz w:val="20"/>
          <w:szCs w:val="20"/>
          <w:color w:val="auto"/>
        </w:rPr>
      </w:pPr>
      <w:r>
        <w:rPr>
          <w:rFonts w:ascii="Courier New" w:cs="Courier New" w:eastAsia="Courier New" w:hAnsi="Courier New"/>
          <w:sz w:val="18"/>
          <w:szCs w:val="18"/>
          <w:color w:val="auto"/>
        </w:rPr>
        <w:t>2,220,255 Shares</w:t>
      </w:r>
    </w:p>
    <w:p>
      <w:pPr>
        <w:spacing w:after="0" w:line="207" w:lineRule="exact"/>
        <w:rPr>
          <w:sz w:val="20"/>
          <w:szCs w:val="20"/>
          <w:color w:val="auto"/>
        </w:rPr>
      </w:pPr>
    </w:p>
    <w:p>
      <w:pPr>
        <w:ind w:left="1272" w:right="6939" w:hanging="640"/>
        <w:spacing w:after="0" w:line="470" w:lineRule="auto"/>
        <w:tabs>
          <w:tab w:leader="none" w:pos="127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 Shares</w:t>
      </w:r>
    </w:p>
    <w:p>
      <w:pPr>
        <w:spacing w:after="0" w:line="214" w:lineRule="exact"/>
        <w:rPr>
          <w:sz w:val="20"/>
          <w:szCs w:val="20"/>
          <w:color w:val="auto"/>
        </w:rPr>
      </w:pPr>
    </w:p>
    <w:p>
      <w:pPr>
        <w:ind w:left="1272" w:right="6639" w:hanging="640"/>
        <w:spacing w:after="0" w:line="558" w:lineRule="auto"/>
        <w:tabs>
          <w:tab w:leader="none" w:pos="127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2,220,255 Shares</w:t>
      </w:r>
    </w:p>
    <w:p>
      <w:pPr>
        <w:spacing w:after="0" w:line="170" w:lineRule="exact"/>
        <w:rPr>
          <w:sz w:val="20"/>
          <w:szCs w:val="20"/>
          <w:color w:val="auto"/>
        </w:rPr>
      </w:pPr>
    </w:p>
    <w:p>
      <w:pPr>
        <w:ind w:left="1272" w:right="6419" w:hanging="640"/>
        <w:spacing w:after="0" w:line="470" w:lineRule="auto"/>
        <w:tabs>
          <w:tab w:leader="none" w:pos="127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 Shares</w:t>
      </w:r>
    </w:p>
    <w:p>
      <w:pPr>
        <w:spacing w:after="0" w:line="214" w:lineRule="exact"/>
        <w:rPr>
          <w:sz w:val="20"/>
          <w:szCs w:val="20"/>
          <w:color w:val="auto"/>
        </w:rPr>
      </w:pPr>
    </w:p>
    <w:p>
      <w:pPr>
        <w:ind w:left="632" w:right="3359" w:hanging="632"/>
        <w:spacing w:after="0" w:line="470" w:lineRule="auto"/>
        <w:tabs>
          <w:tab w:leader="none" w:pos="5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2,220,255 Shares</w:t>
      </w:r>
    </w:p>
    <w:p>
      <w:pPr>
        <w:spacing w:after="0" w:line="200" w:lineRule="exact"/>
        <w:rPr>
          <w:sz w:val="20"/>
          <w:szCs w:val="20"/>
          <w:color w:val="auto"/>
        </w:rPr>
      </w:pPr>
    </w:p>
    <w:p>
      <w:pPr>
        <w:spacing w:after="0" w:line="217" w:lineRule="exact"/>
        <w:rPr>
          <w:sz w:val="20"/>
          <w:szCs w:val="20"/>
          <w:color w:val="auto"/>
        </w:rPr>
      </w:pPr>
    </w:p>
    <w:p>
      <w:pPr>
        <w:ind w:left="632" w:right="2419" w:hanging="632"/>
        <w:spacing w:after="0" w:line="235" w:lineRule="auto"/>
        <w:tabs>
          <w:tab w:leader="none" w:pos="63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7"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632"/>
        <w:spacing w:after="0"/>
        <w:rPr>
          <w:sz w:val="20"/>
          <w:szCs w:val="20"/>
          <w:color w:val="auto"/>
        </w:rPr>
      </w:pPr>
      <w:r>
        <w:rPr>
          <w:rFonts w:ascii="Courier New" w:cs="Courier New" w:eastAsia="Courier New" w:hAnsi="Courier New"/>
          <w:sz w:val="18"/>
          <w:szCs w:val="18"/>
          <w:color w:val="auto"/>
        </w:rPr>
        <w:t>5.7%</w:t>
      </w:r>
    </w:p>
    <w:p>
      <w:pPr>
        <w:spacing w:after="0" w:line="200" w:lineRule="exact"/>
        <w:rPr>
          <w:sz w:val="20"/>
          <w:szCs w:val="20"/>
          <w:color w:val="auto"/>
        </w:rPr>
      </w:pPr>
    </w:p>
    <w:p>
      <w:pPr>
        <w:spacing w:after="0" w:line="209" w:lineRule="exact"/>
        <w:rPr>
          <w:sz w:val="20"/>
          <w:szCs w:val="20"/>
          <w:color w:val="auto"/>
        </w:rPr>
      </w:pPr>
    </w:p>
    <w:p>
      <w:pPr>
        <w:ind w:left="632" w:right="5159" w:hanging="632"/>
        <w:spacing w:after="0" w:line="470" w:lineRule="auto"/>
        <w:tabs>
          <w:tab w:leader="none" w:pos="5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CO/IA</w:t>
      </w:r>
    </w:p>
    <w:p>
      <w:pPr>
        <w:sectPr>
          <w:pgSz w:w="11900" w:h="16838" w:orient="portrait"/>
          <w:cols w:equalWidth="0" w:num="1">
            <w:col w:w="10211"/>
          </w:cols>
          <w:pgMar w:left="248" w:top="339" w:right="1440" w:bottom="1440" w:gutter="0" w:footer="0" w:header="0"/>
        </w:sectPr>
      </w:pPr>
    </w:p>
    <w:bookmarkStart w:id="2" w:name="page3"/>
    <w:bookmarkEnd w:id="2"/>
    <w:p>
      <w:pPr>
        <w:ind w:left="3580"/>
        <w:spacing w:after="0"/>
        <w:rPr>
          <w:sz w:val="20"/>
          <w:szCs w:val="20"/>
          <w:color w:val="auto"/>
        </w:rPr>
      </w:pPr>
      <w:r>
        <w:rPr>
          <w:rFonts w:ascii="Courier New" w:cs="Courier New" w:eastAsia="Courier New" w:hAnsi="Courier New"/>
          <w:sz w:val="18"/>
          <w:szCs w:val="18"/>
          <w:color w:val="auto"/>
        </w:rPr>
        <w:t>CUSIP No. 00504W100</w:t>
      </w:r>
    </w:p>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540" w:right="357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 (entities only). Joshua Ruch</w:t>
      </w:r>
    </w:p>
    <w:p>
      <w:pPr>
        <w:spacing w:after="0" w:line="20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5800"/>
        <w:spacing w:after="0"/>
        <w:tabs>
          <w:tab w:leader="none" w:pos="6520" w:val="left"/>
        </w:tabs>
        <w:rPr>
          <w:sz w:val="20"/>
          <w:szCs w:val="20"/>
          <w:color w:val="auto"/>
        </w:rPr>
      </w:pPr>
      <w:r>
        <w:rPr>
          <w:rFonts w:ascii="Courier New" w:cs="Courier New" w:eastAsia="Courier New" w:hAnsi="Courier New"/>
          <w:sz w:val="18"/>
          <w:szCs w:val="18"/>
          <w:color w:val="auto"/>
        </w:rPr>
        <w:t>(a) [</w:t>
      </w:r>
      <w:r>
        <w:rPr>
          <w:sz w:val="20"/>
          <w:szCs w:val="20"/>
          <w:color w:val="auto"/>
        </w:rPr>
        <w:tab/>
      </w:r>
      <w:r>
        <w:rPr>
          <w:rFonts w:ascii="Courier New" w:cs="Courier New" w:eastAsia="Courier New" w:hAnsi="Courier New"/>
          <w:sz w:val="16"/>
          <w:szCs w:val="16"/>
          <w:color w:val="auto"/>
        </w:rPr>
        <w:t>]</w:t>
      </w:r>
    </w:p>
    <w:p>
      <w:pPr>
        <w:ind w:left="5800"/>
        <w:spacing w:after="0"/>
        <w:tabs>
          <w:tab w:leader="none" w:pos="6520" w:val="left"/>
        </w:tabs>
        <w:rPr>
          <w:sz w:val="20"/>
          <w:szCs w:val="20"/>
          <w:color w:val="auto"/>
        </w:rPr>
      </w:pPr>
      <w:r>
        <w:rPr>
          <w:rFonts w:ascii="Courier New" w:cs="Courier New" w:eastAsia="Courier New" w:hAnsi="Courier New"/>
          <w:sz w:val="18"/>
          <w:szCs w:val="18"/>
          <w:color w:val="auto"/>
        </w:rPr>
        <w:t>(b) [</w:t>
      </w:r>
      <w:r>
        <w:rPr>
          <w:sz w:val="20"/>
          <w:szCs w:val="20"/>
          <w:color w:val="auto"/>
        </w:rPr>
        <w:tab/>
      </w:r>
      <w:r>
        <w:rPr>
          <w:rFonts w:ascii="Courier New" w:cs="Courier New" w:eastAsia="Courier New" w:hAnsi="Courier New"/>
          <w:sz w:val="16"/>
          <w:szCs w:val="16"/>
          <w:color w:val="auto"/>
        </w:rPr>
        <w:t>]</w:t>
      </w:r>
    </w:p>
    <w:p>
      <w:pPr>
        <w:spacing w:after="0" w:line="202" w:lineRule="exact"/>
        <w:rPr>
          <w:sz w:val="20"/>
          <w:szCs w:val="20"/>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9" w:lineRule="exact"/>
        <w:rPr>
          <w:sz w:val="20"/>
          <w:szCs w:val="20"/>
          <w:color w:val="auto"/>
        </w:rPr>
      </w:pPr>
    </w:p>
    <w:p>
      <w:pPr>
        <w:ind w:left="540" w:right="5899" w:hanging="532"/>
        <w:spacing w:after="0" w:line="558" w:lineRule="auto"/>
        <w:tabs>
          <w:tab w:leader="none" w:pos="5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Republic of South Africa</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NUMBER OF SHARES BENEFICIALLY OWNED BY</w:t>
      </w:r>
    </w:p>
    <w:p>
      <w:pPr>
        <w:ind w:left="540"/>
        <w:spacing w:after="0" w:line="238" w:lineRule="auto"/>
        <w:rPr>
          <w:sz w:val="20"/>
          <w:szCs w:val="20"/>
          <w:color w:val="auto"/>
        </w:rPr>
      </w:pPr>
      <w:r>
        <w:rPr>
          <w:rFonts w:ascii="Courier New" w:cs="Courier New" w:eastAsia="Courier New" w:hAnsi="Courier New"/>
          <w:sz w:val="18"/>
          <w:szCs w:val="18"/>
          <w:color w:val="auto"/>
        </w:rPr>
        <w:t>EACH REPORTING PERSON WITH:</w:t>
      </w:r>
    </w:p>
    <w:p>
      <w:pPr>
        <w:spacing w:after="0" w:line="202" w:lineRule="exact"/>
        <w:rPr>
          <w:sz w:val="20"/>
          <w:szCs w:val="20"/>
          <w:color w:val="auto"/>
        </w:rPr>
      </w:pPr>
    </w:p>
    <w:p>
      <w:pPr>
        <w:ind w:left="1280" w:hanging="640"/>
        <w:spacing w:after="0"/>
        <w:tabs>
          <w:tab w:leader="none" w:pos="1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52,594 Shares</w:t>
      </w:r>
    </w:p>
    <w:p>
      <w:pPr>
        <w:spacing w:after="0" w:line="207" w:lineRule="exact"/>
        <w:rPr>
          <w:sz w:val="20"/>
          <w:szCs w:val="20"/>
          <w:color w:val="auto"/>
        </w:rPr>
      </w:pPr>
    </w:p>
    <w:p>
      <w:pPr>
        <w:ind w:left="1280" w:right="6939" w:hanging="640"/>
        <w:spacing w:after="0" w:line="558" w:lineRule="auto"/>
        <w:tabs>
          <w:tab w:leader="none" w:pos="12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VOTING POWER 2,220,255 Shares</w:t>
      </w:r>
    </w:p>
    <w:p>
      <w:pPr>
        <w:spacing w:after="0" w:line="170" w:lineRule="exact"/>
        <w:rPr>
          <w:sz w:val="20"/>
          <w:szCs w:val="20"/>
          <w:color w:val="auto"/>
        </w:rPr>
      </w:pPr>
    </w:p>
    <w:p>
      <w:pPr>
        <w:ind w:left="1280" w:right="6639" w:hanging="640"/>
        <w:spacing w:after="0" w:line="470" w:lineRule="auto"/>
        <w:tabs>
          <w:tab w:leader="none" w:pos="12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52,594 Shares</w:t>
      </w:r>
    </w:p>
    <w:p>
      <w:pPr>
        <w:spacing w:after="0" w:line="214" w:lineRule="exact"/>
        <w:rPr>
          <w:sz w:val="20"/>
          <w:szCs w:val="20"/>
          <w:color w:val="auto"/>
        </w:rPr>
      </w:pPr>
    </w:p>
    <w:p>
      <w:pPr>
        <w:ind w:left="1280" w:right="6419" w:hanging="640"/>
        <w:spacing w:after="0" w:line="470" w:lineRule="auto"/>
        <w:tabs>
          <w:tab w:leader="none" w:pos="12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2,220,255 Shares</w:t>
      </w:r>
    </w:p>
    <w:p>
      <w:pPr>
        <w:spacing w:after="0" w:line="214" w:lineRule="exact"/>
        <w:rPr>
          <w:sz w:val="20"/>
          <w:szCs w:val="20"/>
          <w:color w:val="auto"/>
        </w:rPr>
      </w:pPr>
    </w:p>
    <w:p>
      <w:pPr>
        <w:ind w:left="640" w:right="3359" w:hanging="632"/>
        <w:spacing w:after="0" w:line="470" w:lineRule="auto"/>
        <w:tabs>
          <w:tab w:leader="none" w:pos="53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2,272,849 Shares</w:t>
      </w:r>
    </w:p>
    <w:p>
      <w:pPr>
        <w:spacing w:after="0" w:line="200" w:lineRule="exact"/>
        <w:rPr>
          <w:sz w:val="20"/>
          <w:szCs w:val="20"/>
          <w:color w:val="auto"/>
        </w:rPr>
      </w:pPr>
    </w:p>
    <w:p>
      <w:pPr>
        <w:spacing w:after="0" w:line="217" w:lineRule="exact"/>
        <w:rPr>
          <w:sz w:val="20"/>
          <w:szCs w:val="20"/>
          <w:color w:val="auto"/>
        </w:rPr>
      </w:pPr>
    </w:p>
    <w:p>
      <w:pPr>
        <w:ind w:left="640" w:right="2419" w:hanging="632"/>
        <w:spacing w:after="0" w:line="235" w:lineRule="auto"/>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5.9%</w:t>
      </w:r>
    </w:p>
    <w:p>
      <w:pPr>
        <w:spacing w:after="0" w:line="200" w:lineRule="exact"/>
        <w:rPr>
          <w:sz w:val="20"/>
          <w:szCs w:val="20"/>
          <w:color w:val="auto"/>
        </w:rPr>
      </w:pPr>
    </w:p>
    <w:p>
      <w:pPr>
        <w:spacing w:after="0" w:line="209" w:lineRule="exact"/>
        <w:rPr>
          <w:sz w:val="20"/>
          <w:szCs w:val="20"/>
          <w:color w:val="auto"/>
        </w:rPr>
      </w:pPr>
    </w:p>
    <w:p>
      <w:pPr>
        <w:ind w:left="640" w:right="5159" w:hanging="632"/>
        <w:spacing w:after="0" w:line="470" w:lineRule="auto"/>
        <w:tabs>
          <w:tab w:leader="none" w:pos="535"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IN</w:t>
      </w:r>
    </w:p>
    <w:p>
      <w:pPr>
        <w:sectPr>
          <w:pgSz w:w="11900" w:h="16838" w:orient="portrait"/>
          <w:cols w:equalWidth="0" w:num="1">
            <w:col w:w="10219"/>
          </w:cols>
          <w:pgMar w:left="240" w:top="717" w:right="1440" w:bottom="1440" w:gutter="0" w:footer="0" w:header="0"/>
        </w:sectPr>
      </w:pPr>
    </w:p>
    <w:bookmarkStart w:id="3" w:name="page4"/>
    <w:bookmarkEnd w:id="3"/>
    <w:p>
      <w:pPr>
        <w:ind w:right="2319" w:firstLine="632"/>
        <w:spacing w:after="0" w:line="236" w:lineRule="auto"/>
        <w:rPr>
          <w:sz w:val="20"/>
          <w:szCs w:val="20"/>
          <w:color w:val="auto"/>
        </w:rPr>
      </w:pPr>
      <w:r>
        <w:rPr>
          <w:rFonts w:ascii="Courier New" w:cs="Courier New" w:eastAsia="Courier New" w:hAnsi="Courier New"/>
          <w:sz w:val="18"/>
          <w:szCs w:val="18"/>
          <w:color w:val="auto"/>
        </w:rPr>
        <w:t>This Statement on Schedule 13G relates to shares of Common Stock (the "Shares") of Active Power, Inc. (the "Company") beneficially owned by Rho Management Company, Inc. and Joshua Ruch, as follows below.</w:t>
      </w:r>
    </w:p>
    <w:p>
      <w:pPr>
        <w:spacing w:after="0" w:line="200" w:lineRule="exact"/>
        <w:rPr>
          <w:sz w:val="20"/>
          <w:szCs w:val="20"/>
          <w:color w:val="auto"/>
        </w:rPr>
      </w:pPr>
    </w:p>
    <w:p>
      <w:pPr>
        <w:spacing w:after="0" w:line="211" w:lineRule="exact"/>
        <w:rPr>
          <w:sz w:val="20"/>
          <w:szCs w:val="20"/>
          <w:color w:val="auto"/>
        </w:rPr>
      </w:pPr>
    </w:p>
    <w:p>
      <w:pPr>
        <w:ind w:right="2199" w:firstLine="632"/>
        <w:spacing w:after="0" w:line="235" w:lineRule="auto"/>
        <w:rPr>
          <w:sz w:val="20"/>
          <w:szCs w:val="20"/>
          <w:color w:val="auto"/>
        </w:rPr>
      </w:pPr>
      <w:r>
        <w:rPr>
          <w:rFonts w:ascii="Courier New" w:cs="Courier New" w:eastAsia="Courier New" w:hAnsi="Courier New"/>
          <w:sz w:val="18"/>
          <w:szCs w:val="18"/>
          <w:color w:val="auto"/>
        </w:rPr>
        <w:t>Item 1(a) Name of issuer: Active Power, Inc., a Delaware corporation (the "Company").</w:t>
      </w:r>
    </w:p>
    <w:p>
      <w:pPr>
        <w:spacing w:after="0" w:line="208" w:lineRule="exact"/>
        <w:rPr>
          <w:sz w:val="20"/>
          <w:szCs w:val="20"/>
          <w:color w:val="auto"/>
        </w:rPr>
      </w:pPr>
    </w:p>
    <w:p>
      <w:pPr>
        <w:ind w:right="2739" w:firstLine="632"/>
        <w:spacing w:after="0" w:line="235" w:lineRule="auto"/>
        <w:rPr>
          <w:sz w:val="20"/>
          <w:szCs w:val="20"/>
          <w:color w:val="auto"/>
        </w:rPr>
      </w:pPr>
      <w:r>
        <w:rPr>
          <w:rFonts w:ascii="Courier New" w:cs="Courier New" w:eastAsia="Courier New" w:hAnsi="Courier New"/>
          <w:sz w:val="18"/>
          <w:szCs w:val="18"/>
          <w:color w:val="auto"/>
        </w:rPr>
        <w:t>Item 1(b) Address of issuer's principal executive offices: 11525 Stonehollow Drive, Suite 110, Austin, Texas 78578.</w:t>
      </w:r>
    </w:p>
    <w:p>
      <w:pPr>
        <w:spacing w:after="0" w:line="200" w:lineRule="exact"/>
        <w:rPr>
          <w:sz w:val="20"/>
          <w:szCs w:val="20"/>
          <w:color w:val="auto"/>
        </w:rPr>
      </w:pPr>
    </w:p>
    <w:p>
      <w:pPr>
        <w:spacing w:after="0" w:line="205" w:lineRule="exact"/>
        <w:rPr>
          <w:sz w:val="20"/>
          <w:szCs w:val="20"/>
          <w:color w:val="auto"/>
        </w:rPr>
      </w:pPr>
    </w:p>
    <w:p>
      <w:pPr>
        <w:ind w:left="540"/>
        <w:spacing w:after="0"/>
        <w:tabs>
          <w:tab w:leader="none" w:pos="188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of Persons Filing.</w:t>
      </w:r>
    </w:p>
    <w:p>
      <w:pPr>
        <w:spacing w:after="0" w:line="207" w:lineRule="exact"/>
        <w:rPr>
          <w:sz w:val="20"/>
          <w:szCs w:val="20"/>
          <w:color w:val="auto"/>
        </w:rPr>
      </w:pPr>
    </w:p>
    <w:p>
      <w:pPr>
        <w:ind w:right="2099" w:firstLine="640"/>
        <w:spacing w:after="0" w:line="271" w:lineRule="auto"/>
        <w:tabs>
          <w:tab w:leader="none" w:pos="1159"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Statement is being filed by Rho Management Company, Inc. ("Rho"), a New York corporation, and Joshua Ruch. Rho serves as investment advisor to a number of investment vehicles, and as such may be deemed to exercise investment and voting control over Shares registered in the names of such vehicles. Joshua Ruch, a controlling stockholder of Rho, may be deemed to have shared authority over the Shares reported by Rho herein, and to exercise independent investment and voting authority over certain Shares.</w:t>
      </w:r>
    </w:p>
    <w:p>
      <w:pPr>
        <w:spacing w:after="0" w:line="188" w:lineRule="exact"/>
        <w:rPr>
          <w:sz w:val="20"/>
          <w:szCs w:val="20"/>
          <w:color w:val="auto"/>
        </w:rPr>
      </w:pPr>
    </w:p>
    <w:p>
      <w:pPr>
        <w:ind w:right="2419" w:firstLine="632"/>
        <w:spacing w:after="0" w:line="235" w:lineRule="auto"/>
        <w:rPr>
          <w:sz w:val="20"/>
          <w:szCs w:val="20"/>
          <w:color w:val="auto"/>
        </w:rPr>
      </w:pPr>
      <w:r>
        <w:rPr>
          <w:rFonts w:ascii="Courier New" w:cs="Courier New" w:eastAsia="Courier New" w:hAnsi="Courier New"/>
          <w:sz w:val="18"/>
          <w:szCs w:val="18"/>
          <w:color w:val="auto"/>
        </w:rPr>
        <w:t>(b)-(c) Rho is a New York corporation, with its address at 152 West 57th Street, 23rd Floor, New York, New York 10019.</w:t>
      </w:r>
    </w:p>
    <w:p>
      <w:pPr>
        <w:spacing w:after="0" w:line="208" w:lineRule="exact"/>
        <w:rPr>
          <w:sz w:val="20"/>
          <w:szCs w:val="20"/>
          <w:color w:val="auto"/>
        </w:rPr>
      </w:pPr>
    </w:p>
    <w:p>
      <w:pPr>
        <w:ind w:right="2099" w:firstLine="632"/>
        <w:spacing w:after="0" w:line="290" w:lineRule="auto"/>
        <w:rPr>
          <w:sz w:val="20"/>
          <w:szCs w:val="20"/>
          <w:color w:val="auto"/>
        </w:rPr>
      </w:pPr>
      <w:r>
        <w:rPr>
          <w:rFonts w:ascii="Courier New" w:cs="Courier New" w:eastAsia="Courier New" w:hAnsi="Courier New"/>
          <w:sz w:val="16"/>
          <w:szCs w:val="16"/>
          <w:color w:val="auto"/>
        </w:rPr>
        <w:t>Mr. Ruch is a citizen of the Republic of South Africa, with his address c/o Rho, 152 West 57th Street, 23rd Floor, New York, New York 10019.</w:t>
      </w:r>
    </w:p>
    <w:p>
      <w:pPr>
        <w:spacing w:after="0" w:line="164" w:lineRule="exact"/>
        <w:rPr>
          <w:sz w:val="20"/>
          <w:szCs w:val="20"/>
          <w:color w:val="auto"/>
        </w:rPr>
      </w:pPr>
    </w:p>
    <w:p>
      <w:pPr>
        <w:ind w:left="640"/>
        <w:spacing w:after="0"/>
        <w:tabs>
          <w:tab w:leader="none" w:pos="1260" w:val="left"/>
        </w:tabs>
        <w:rPr>
          <w:sz w:val="20"/>
          <w:szCs w:val="20"/>
          <w:color w:val="auto"/>
        </w:rPr>
      </w:pPr>
      <w:r>
        <w:rPr>
          <w:rFonts w:ascii="Courier New" w:cs="Courier New" w:eastAsia="Courier New" w:hAnsi="Courier New"/>
          <w:sz w:val="18"/>
          <w:szCs w:val="18"/>
          <w:color w:val="auto"/>
        </w:rPr>
        <w:t>2(d)</w:t>
        <w:tab/>
        <w:t>Title of class of securities: [Common Stock]</w:t>
      </w:r>
    </w:p>
    <w:p>
      <w:pPr>
        <w:spacing w:after="0" w:line="201" w:lineRule="exact"/>
        <w:rPr>
          <w:sz w:val="20"/>
          <w:szCs w:val="20"/>
          <w:color w:val="auto"/>
        </w:rPr>
      </w:pPr>
    </w:p>
    <w:p>
      <w:pPr>
        <w:ind w:left="640"/>
        <w:spacing w:after="0"/>
        <w:tabs>
          <w:tab w:leader="none" w:pos="1260" w:val="left"/>
          <w:tab w:leader="none" w:pos="2620" w:val="left"/>
        </w:tabs>
        <w:rPr>
          <w:sz w:val="20"/>
          <w:szCs w:val="20"/>
          <w:color w:val="auto"/>
        </w:rPr>
      </w:pPr>
      <w:r>
        <w:rPr>
          <w:rFonts w:ascii="Courier New" w:cs="Courier New" w:eastAsia="Courier New" w:hAnsi="Courier New"/>
          <w:sz w:val="18"/>
          <w:szCs w:val="18"/>
          <w:color w:val="auto"/>
        </w:rPr>
        <w:t>2(e)</w:t>
        <w:tab/>
        <w:t>CUSIP No.:</w:t>
      </w:r>
      <w:r>
        <w:rPr>
          <w:sz w:val="20"/>
          <w:szCs w:val="20"/>
          <w:color w:val="auto"/>
        </w:rPr>
        <w:tab/>
      </w:r>
      <w:r>
        <w:rPr>
          <w:rFonts w:ascii="Courier New" w:cs="Courier New" w:eastAsia="Courier New" w:hAnsi="Courier New"/>
          <w:sz w:val="16"/>
          <w:szCs w:val="16"/>
          <w:color w:val="auto"/>
        </w:rPr>
        <w:t>00504W100</w:t>
      </w:r>
    </w:p>
    <w:p>
      <w:pPr>
        <w:spacing w:after="0" w:line="207" w:lineRule="exact"/>
        <w:rPr>
          <w:sz w:val="20"/>
          <w:szCs w:val="20"/>
          <w:color w:val="auto"/>
        </w:rPr>
      </w:pPr>
    </w:p>
    <w:p>
      <w:pPr>
        <w:ind w:right="2319" w:firstLine="632"/>
        <w:spacing w:after="0" w:line="235" w:lineRule="auto"/>
        <w:rPr>
          <w:sz w:val="20"/>
          <w:szCs w:val="20"/>
          <w:color w:val="auto"/>
        </w:rPr>
      </w:pPr>
      <w:r>
        <w:rPr>
          <w:rFonts w:ascii="Courier New" w:cs="Courier New" w:eastAsia="Courier New" w:hAnsi="Courier New"/>
          <w:sz w:val="18"/>
          <w:szCs w:val="18"/>
          <w:color w:val="auto"/>
        </w:rPr>
        <w:t>Item 3. If this statement is filed pursuant to Rule 13d-1(b) or Rule 13d-2(b) or (c), check whether the person filing is a:</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 [ ] Broker or dealer registered under Section 15 of the Exchange</w:t>
      </w:r>
    </w:p>
    <w:p>
      <w:pPr>
        <w:spacing w:after="0" w:line="238" w:lineRule="auto"/>
        <w:rPr>
          <w:sz w:val="20"/>
          <w:szCs w:val="20"/>
          <w:color w:val="auto"/>
        </w:rPr>
      </w:pPr>
      <w:r>
        <w:rPr>
          <w:rFonts w:ascii="Courier New" w:cs="Courier New" w:eastAsia="Courier New" w:hAnsi="Courier New"/>
          <w:sz w:val="18"/>
          <w:szCs w:val="18"/>
          <w:color w:val="auto"/>
        </w:rPr>
        <w:t>Act.</w:t>
      </w:r>
    </w:p>
    <w:p>
      <w:pPr>
        <w:spacing w:after="0" w:line="202" w:lineRule="exact"/>
        <w:rPr>
          <w:sz w:val="20"/>
          <w:szCs w:val="20"/>
          <w:color w:val="auto"/>
        </w:rPr>
      </w:pPr>
    </w:p>
    <w:p>
      <w:pPr>
        <w:ind w:left="1060" w:hanging="420"/>
        <w:spacing w:after="0"/>
        <w:tabs>
          <w:tab w:leader="none" w:pos="10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Exchange Act.</w:t>
      </w:r>
    </w:p>
    <w:p>
      <w:pPr>
        <w:spacing w:after="0" w:line="206" w:lineRule="exact"/>
        <w:rPr>
          <w:rFonts w:ascii="Courier New" w:cs="Courier New" w:eastAsia="Courier New" w:hAnsi="Courier New"/>
          <w:sz w:val="18"/>
          <w:szCs w:val="18"/>
          <w:color w:val="auto"/>
        </w:rPr>
      </w:pPr>
    </w:p>
    <w:p>
      <w:pPr>
        <w:ind w:left="1060" w:hanging="420"/>
        <w:spacing w:after="0"/>
        <w:tabs>
          <w:tab w:leader="none" w:pos="106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Insurance company as defined in section 3(a)(19) of the Exchange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Act.</w:t>
      </w:r>
    </w:p>
    <w:p>
      <w:pPr>
        <w:spacing w:after="0" w:line="207" w:lineRule="exact"/>
        <w:rPr>
          <w:sz w:val="20"/>
          <w:szCs w:val="20"/>
          <w:color w:val="auto"/>
        </w:rPr>
      </w:pPr>
    </w:p>
    <w:p>
      <w:pPr>
        <w:ind w:right="2099" w:firstLine="640"/>
        <w:spacing w:after="0" w:line="235" w:lineRule="auto"/>
        <w:tabs>
          <w:tab w:leader="none" w:pos="1053"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202" w:lineRule="exact"/>
        <w:rPr>
          <w:rFonts w:ascii="Courier New" w:cs="Courier New" w:eastAsia="Courier New" w:hAnsi="Courier New"/>
          <w:sz w:val="18"/>
          <w:szCs w:val="18"/>
          <w:color w:val="auto"/>
        </w:rPr>
      </w:pPr>
    </w:p>
    <w:p>
      <w:pPr>
        <w:ind w:left="1060" w:hanging="420"/>
        <w:spacing w:after="0"/>
        <w:tabs>
          <w:tab w:leader="none" w:pos="10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Rule</w:t>
      </w:r>
    </w:p>
    <w:p>
      <w:pPr>
        <w:spacing w:after="0" w:line="238" w:lineRule="auto"/>
        <w:rPr>
          <w:sz w:val="20"/>
          <w:szCs w:val="20"/>
          <w:color w:val="auto"/>
        </w:rPr>
      </w:pPr>
      <w:r>
        <w:rPr>
          <w:rFonts w:ascii="Courier New" w:cs="Courier New" w:eastAsia="Courier New" w:hAnsi="Courier New"/>
          <w:sz w:val="18"/>
          <w:szCs w:val="18"/>
          <w:color w:val="auto"/>
        </w:rPr>
        <w:t>13d-1(b)(1)(ii)(E);</w:t>
      </w:r>
    </w:p>
    <w:p>
      <w:pPr>
        <w:spacing w:after="0" w:line="207" w:lineRule="exact"/>
        <w:rPr>
          <w:sz w:val="20"/>
          <w:szCs w:val="20"/>
          <w:color w:val="auto"/>
        </w:rPr>
      </w:pPr>
    </w:p>
    <w:p>
      <w:pPr>
        <w:ind w:right="2319" w:firstLine="640"/>
        <w:spacing w:after="0" w:line="235" w:lineRule="auto"/>
        <w:tabs>
          <w:tab w:leader="none" w:pos="1053"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right="2319" w:firstLine="640"/>
        <w:spacing w:after="0" w:line="235" w:lineRule="auto"/>
        <w:tabs>
          <w:tab w:leader="none" w:pos="1053"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Rule 13d-1(b)(1)(ii)(G);</w:t>
      </w:r>
    </w:p>
    <w:p>
      <w:pPr>
        <w:spacing w:after="0" w:line="208" w:lineRule="exact"/>
        <w:rPr>
          <w:rFonts w:ascii="Courier New" w:cs="Courier New" w:eastAsia="Courier New" w:hAnsi="Courier New"/>
          <w:sz w:val="18"/>
          <w:szCs w:val="18"/>
          <w:color w:val="auto"/>
        </w:rPr>
      </w:pPr>
    </w:p>
    <w:p>
      <w:pPr>
        <w:ind w:right="1999" w:firstLine="640"/>
        <w:spacing w:after="0" w:line="235" w:lineRule="auto"/>
        <w:tabs>
          <w:tab w:leader="none" w:pos="1053"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w:t>
      </w:r>
    </w:p>
    <w:p>
      <w:pPr>
        <w:spacing w:after="0" w:line="208" w:lineRule="exact"/>
        <w:rPr>
          <w:rFonts w:ascii="Courier New" w:cs="Courier New" w:eastAsia="Courier New" w:hAnsi="Courier New"/>
          <w:sz w:val="18"/>
          <w:szCs w:val="18"/>
          <w:color w:val="auto"/>
        </w:rPr>
      </w:pPr>
    </w:p>
    <w:p>
      <w:pPr>
        <w:ind w:right="2619" w:firstLine="640"/>
        <w:spacing w:after="0" w:line="290" w:lineRule="auto"/>
        <w:tabs>
          <w:tab w:leader="none" w:pos="1053"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 church plan that is excluded from the definition of an investment company under section 3(c)(14) of the Investment Company Act;</w:t>
      </w:r>
    </w:p>
    <w:p>
      <w:pPr>
        <w:spacing w:after="0" w:line="164" w:lineRule="exact"/>
        <w:rPr>
          <w:rFonts w:ascii="Courier New" w:cs="Courier New" w:eastAsia="Courier New" w:hAnsi="Courier New"/>
          <w:sz w:val="16"/>
          <w:szCs w:val="16"/>
          <w:color w:val="auto"/>
        </w:rPr>
      </w:pPr>
    </w:p>
    <w:p>
      <w:pPr>
        <w:ind w:left="1060" w:hanging="420"/>
        <w:spacing w:after="0"/>
        <w:tabs>
          <w:tab w:leader="none" w:pos="10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If this statement is filed pursuant to Rule 13d-1(c), check this box.</w:t>
      </w:r>
    </w:p>
    <w:p>
      <w:pPr>
        <w:spacing w:after="0" w:line="238" w:lineRule="auto"/>
        <w:rPr>
          <w:sz w:val="20"/>
          <w:szCs w:val="20"/>
          <w:color w:val="auto"/>
        </w:rPr>
      </w:pPr>
      <w:r>
        <w:rPr>
          <w:rFonts w:ascii="Courier New" w:cs="Courier New" w:eastAsia="Courier New" w:hAnsi="Courier New"/>
          <w:sz w:val="18"/>
          <w:szCs w:val="18"/>
          <w:color w:val="auto"/>
        </w:rPr>
        <w:t>[x]</w:t>
      </w:r>
    </w:p>
    <w:p>
      <w:pPr>
        <w:spacing w:after="0" w:line="200" w:lineRule="exact"/>
        <w:rPr>
          <w:sz w:val="20"/>
          <w:szCs w:val="20"/>
          <w:color w:val="auto"/>
        </w:rPr>
      </w:pPr>
    </w:p>
    <w:p>
      <w:pPr>
        <w:spacing w:after="0" w:line="204" w:lineRule="exact"/>
        <w:rPr>
          <w:sz w:val="20"/>
          <w:szCs w:val="20"/>
          <w:color w:val="auto"/>
        </w:rPr>
      </w:pPr>
    </w:p>
    <w:p>
      <w:pPr>
        <w:ind w:left="640"/>
        <w:spacing w:after="0"/>
        <w:tabs>
          <w:tab w:leader="none" w:pos="15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See cover page for each reporting person.</w:t>
      </w:r>
    </w:p>
    <w:p>
      <w:pPr>
        <w:spacing w:after="0" w:line="207"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As the ultimate holder of voting and investment authority over the Shares owned by its investment advisory clients, Rho may be deemed, for purposes of Rule 13d-3 under the Securities Exchange Act of 1934, as amended, to be the beneficial owner of 2,220,255 Shares reported hereby, constituting 5.7% of the Company's outstanding shares reported as of the reporting event date.</w:t>
      </w:r>
    </w:p>
    <w:p>
      <w:pPr>
        <w:sectPr>
          <w:pgSz w:w="11900" w:h="16838" w:orient="portrait"/>
          <w:cols w:equalWidth="0" w:num="1">
            <w:col w:w="10219"/>
          </w:cols>
          <w:pgMar w:left="240" w:top="723" w:right="1440" w:bottom="0" w:gutter="0" w:footer="0" w:header="0"/>
        </w:sectPr>
      </w:pPr>
    </w:p>
    <w:bookmarkStart w:id="4" w:name="page5"/>
    <w:bookmarkEnd w:id="4"/>
    <w:p>
      <w:pPr>
        <w:ind w:right="1999" w:firstLine="632"/>
        <w:spacing w:after="0" w:line="237" w:lineRule="auto"/>
        <w:rPr>
          <w:sz w:val="20"/>
          <w:szCs w:val="20"/>
          <w:color w:val="auto"/>
        </w:rPr>
      </w:pPr>
      <w:r>
        <w:rPr>
          <w:rFonts w:ascii="Courier New" w:cs="Courier New" w:eastAsia="Courier New" w:hAnsi="Courier New"/>
          <w:sz w:val="18"/>
          <w:szCs w:val="18"/>
          <w:color w:val="auto"/>
        </w:rPr>
        <w:t>Joshua Ruch is a controlling stockholder of Rho, and as such may be deemed to have shared control over the Shares reported for Rho. Mr. Ruch additionally exercises investment and voting control over certain other Shares held in personal accounts, over which he may be deemed to have sole beneficial ownership. Mr. Ruch accordingly may be deemed, for purposes of Rule 13d-3 under the Securities Exchange Act of 1934, as amended, to be the beneficial owner of 2,272,849 Shares reported hereby,</w:t>
      </w:r>
    </w:p>
    <w:p>
      <w:pPr>
        <w:spacing w:after="0" w:line="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constituting 5.9% of the Company's outstanding shares reported as of the reporting event date. Other than Shares in which he has a pecuniary interest, Mr. Ruch disclaims beneficial ownership of the Shares reported by this Statement.</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20" w:type="dxa"/>
            <w:vAlign w:val="bottom"/>
          </w:tcPr>
          <w:p>
            <w:pPr>
              <w:ind w:left="640"/>
              <w:spacing w:after="0"/>
              <w:rPr>
                <w:sz w:val="20"/>
                <w:szCs w:val="20"/>
                <w:color w:val="auto"/>
              </w:rPr>
            </w:pPr>
            <w:r>
              <w:rPr>
                <w:rFonts w:ascii="Courier New" w:cs="Courier New" w:eastAsia="Courier New" w:hAnsi="Courier New"/>
                <w:sz w:val="18"/>
                <w:szCs w:val="18"/>
                <w:color w:val="auto"/>
              </w:rPr>
              <w:t>Item</w:t>
            </w:r>
          </w:p>
        </w:tc>
        <w:tc>
          <w:tcPr>
            <w:tcW w:w="360" w:type="dxa"/>
            <w:vAlign w:val="bottom"/>
          </w:tcPr>
          <w:p>
            <w:pPr>
              <w:ind w:left="40"/>
              <w:spacing w:after="0"/>
              <w:rPr>
                <w:sz w:val="20"/>
                <w:szCs w:val="20"/>
                <w:color w:val="auto"/>
              </w:rPr>
            </w:pPr>
            <w:r>
              <w:rPr>
                <w:rFonts w:ascii="Courier New" w:cs="Courier New" w:eastAsia="Courier New" w:hAnsi="Courier New"/>
                <w:sz w:val="18"/>
                <w:szCs w:val="18"/>
                <w:color w:val="auto"/>
              </w:rPr>
              <w:t>5.</w:t>
            </w:r>
          </w:p>
        </w:tc>
        <w:tc>
          <w:tcPr>
            <w:tcW w:w="1420" w:type="dxa"/>
            <w:vAlign w:val="bottom"/>
          </w:tcPr>
          <w:p>
            <w:pPr>
              <w:ind w:left="100"/>
              <w:spacing w:after="0"/>
              <w:rPr>
                <w:sz w:val="20"/>
                <w:szCs w:val="20"/>
                <w:color w:val="auto"/>
              </w:rPr>
            </w:pPr>
            <w:r>
              <w:rPr>
                <w:rFonts w:ascii="Courier New" w:cs="Courier New" w:eastAsia="Courier New" w:hAnsi="Courier New"/>
                <w:sz w:val="18"/>
                <w:szCs w:val="18"/>
                <w:color w:val="auto"/>
              </w:rPr>
              <w:t>Ownership of</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5 Percent or Less of</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a</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Class.</w:t>
            </w: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5120" w:type="dxa"/>
            <w:vAlign w:val="bottom"/>
            <w:gridSpan w:val="4"/>
          </w:tcPr>
          <w:p>
            <w:pPr>
              <w:ind w:left="640"/>
              <w:spacing w:after="0"/>
              <w:rPr>
                <w:sz w:val="20"/>
                <w:szCs w:val="20"/>
                <w:color w:val="auto"/>
              </w:rPr>
            </w:pPr>
            <w:r>
              <w:rPr>
                <w:rFonts w:ascii="Courier New" w:cs="Courier New" w:eastAsia="Courier New" w:hAnsi="Courier New"/>
                <w:sz w:val="18"/>
                <w:szCs w:val="18"/>
                <w:color w:val="auto"/>
                <w:w w:val="98"/>
              </w:rPr>
              <w:t>If this statement is being filed to report</w:t>
            </w:r>
          </w:p>
        </w:tc>
        <w:tc>
          <w:tcPr>
            <w:tcW w:w="9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the fact</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that as of</w:t>
            </w:r>
          </w:p>
        </w:tc>
        <w:tc>
          <w:tcPr>
            <w:tcW w:w="1000" w:type="dxa"/>
            <w:vAlign w:val="bottom"/>
          </w:tcPr>
          <w:p>
            <w:pPr>
              <w:ind w:left="60"/>
              <w:spacing w:after="0"/>
              <w:rPr>
                <w:sz w:val="20"/>
                <w:szCs w:val="20"/>
                <w:color w:val="auto"/>
              </w:rPr>
            </w:pPr>
            <w:r>
              <w:rPr>
                <w:rFonts w:ascii="Courier New" w:cs="Courier New" w:eastAsia="Courier New" w:hAnsi="Courier New"/>
                <w:sz w:val="18"/>
                <w:szCs w:val="18"/>
                <w:color w:val="auto"/>
              </w:rPr>
              <w:t>the date</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hereof the</w:t>
            </w:r>
          </w:p>
        </w:tc>
        <w:tc>
          <w:tcPr>
            <w:tcW w:w="1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reporting person</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has ceased to be the</w:t>
            </w:r>
          </w:p>
        </w:tc>
        <w:tc>
          <w:tcPr>
            <w:tcW w:w="21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9"/>
              </w:rPr>
              <w:t>beneficial owner of</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more than</w:t>
            </w:r>
          </w:p>
        </w:tc>
      </w:tr>
      <w:tr>
        <w:trPr>
          <w:trHeight w:val="203"/>
        </w:trPr>
        <w:tc>
          <w:tcPr>
            <w:tcW w:w="532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7"/>
              </w:rPr>
              <w:t>five percent of the class of securities, check the</w:t>
            </w:r>
          </w:p>
        </w:tc>
        <w:tc>
          <w:tcPr>
            <w:tcW w:w="1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following:</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1120" w:type="dxa"/>
            <w:vAlign w:val="bottom"/>
          </w:tcPr>
          <w:p>
            <w:pPr>
              <w:ind w:left="640"/>
              <w:spacing w:after="0"/>
              <w:rPr>
                <w:sz w:val="20"/>
                <w:szCs w:val="20"/>
                <w:color w:val="auto"/>
              </w:rPr>
            </w:pPr>
            <w:r>
              <w:rPr>
                <w:rFonts w:ascii="Courier New" w:cs="Courier New" w:eastAsia="Courier New" w:hAnsi="Courier New"/>
                <w:sz w:val="18"/>
                <w:szCs w:val="18"/>
                <w:color w:val="auto"/>
              </w:rPr>
              <w:t>Item</w:t>
            </w:r>
          </w:p>
        </w:tc>
        <w:tc>
          <w:tcPr>
            <w:tcW w:w="360" w:type="dxa"/>
            <w:vAlign w:val="bottom"/>
          </w:tcPr>
          <w:p>
            <w:pPr>
              <w:ind w:left="40"/>
              <w:spacing w:after="0"/>
              <w:rPr>
                <w:sz w:val="20"/>
                <w:szCs w:val="20"/>
                <w:color w:val="auto"/>
              </w:rPr>
            </w:pPr>
            <w:r>
              <w:rPr>
                <w:rFonts w:ascii="Courier New" w:cs="Courier New" w:eastAsia="Courier New" w:hAnsi="Courier New"/>
                <w:sz w:val="18"/>
                <w:szCs w:val="18"/>
                <w:color w:val="auto"/>
              </w:rPr>
              <w:t>6.</w:t>
            </w:r>
          </w:p>
        </w:tc>
        <w:tc>
          <w:tcPr>
            <w:tcW w:w="1420" w:type="dxa"/>
            <w:vAlign w:val="bottom"/>
          </w:tcPr>
          <w:p>
            <w:pPr>
              <w:ind w:left="100"/>
              <w:spacing w:after="0"/>
              <w:rPr>
                <w:sz w:val="20"/>
                <w:szCs w:val="20"/>
                <w:color w:val="auto"/>
              </w:rPr>
            </w:pPr>
            <w:r>
              <w:rPr>
                <w:rFonts w:ascii="Courier New" w:cs="Courier New" w:eastAsia="Courier New" w:hAnsi="Courier New"/>
                <w:sz w:val="18"/>
                <w:szCs w:val="18"/>
                <w:color w:val="auto"/>
              </w:rPr>
              <w:t>Ownership of</w:t>
            </w:r>
          </w:p>
        </w:tc>
        <w:tc>
          <w:tcPr>
            <w:tcW w:w="24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More than 5 Percent on</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Behalf</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of Another</w:t>
            </w:r>
          </w:p>
        </w:tc>
        <w:tc>
          <w:tcPr>
            <w:tcW w:w="1000" w:type="dxa"/>
            <w:vAlign w:val="bottom"/>
          </w:tcPr>
          <w:p>
            <w:pPr>
              <w:ind w:left="60"/>
              <w:spacing w:after="0"/>
              <w:rPr>
                <w:sz w:val="20"/>
                <w:szCs w:val="20"/>
                <w:color w:val="auto"/>
              </w:rPr>
            </w:pPr>
            <w:r>
              <w:rPr>
                <w:rFonts w:ascii="Courier New" w:cs="Courier New" w:eastAsia="Courier New" w:hAnsi="Courier New"/>
                <w:sz w:val="18"/>
                <w:szCs w:val="18"/>
                <w:color w:val="auto"/>
              </w:rPr>
              <w:t>Person.</w:t>
            </w:r>
          </w:p>
        </w:tc>
      </w:tr>
      <w:tr>
        <w:trPr>
          <w:trHeight w:val="405"/>
        </w:trPr>
        <w:tc>
          <w:tcPr>
            <w:tcW w:w="2900" w:type="dxa"/>
            <w:vAlign w:val="bottom"/>
            <w:gridSpan w:val="3"/>
          </w:tcPr>
          <w:p>
            <w:pPr>
              <w:ind w:left="640"/>
              <w:spacing w:after="0"/>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pacing w:after="0" w:line="200" w:lineRule="exact"/>
        <w:rPr>
          <w:sz w:val="20"/>
          <w:szCs w:val="20"/>
          <w:color w:val="auto"/>
        </w:rPr>
      </w:pPr>
    </w:p>
    <w:p>
      <w:pPr>
        <w:spacing w:after="0" w:line="209" w:lineRule="exact"/>
        <w:rPr>
          <w:sz w:val="20"/>
          <w:szCs w:val="20"/>
          <w:color w:val="auto"/>
        </w:rPr>
      </w:pPr>
    </w:p>
    <w:p>
      <w:pPr>
        <w:ind w:right="2619" w:firstLine="632"/>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6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ind w:left="640"/>
        <w:spacing w:after="0"/>
        <w:tabs>
          <w:tab w:leader="none" w:pos="15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ind w:left="640"/>
        <w:spacing w:after="0"/>
        <w:tabs>
          <w:tab w:leader="none" w:pos="15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1999" w:firstLine="632"/>
        <w:spacing w:after="0" w:line="273"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219"/>
          </w:cols>
          <w:pgMar w:left="240" w:top="142" w:right="1440" w:bottom="1440" w:gutter="0" w:footer="0" w:header="0"/>
        </w:sectPr>
      </w:pPr>
    </w:p>
    <w:bookmarkStart w:id="5" w:name="page6"/>
    <w:bookmarkEnd w:id="5"/>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14, 2001.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RHO MANAGEMENT COMPANY, INC.</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By: /s/ Joshua Ruch</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Name: Joshua Ruch</w:t>
      </w:r>
    </w:p>
    <w:p>
      <w:pPr>
        <w:ind w:left="420"/>
        <w:spacing w:after="0" w:line="237" w:lineRule="auto"/>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JOSHUA RUCH</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 Joshua Ruch</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640"/>
        <w:spacing w:after="0"/>
        <w:rPr>
          <w:sz w:val="20"/>
          <w:szCs w:val="20"/>
          <w:color w:val="auto"/>
        </w:rPr>
      </w:pPr>
      <w:r>
        <w:rPr>
          <w:rFonts w:ascii="Courier New" w:cs="Courier New" w:eastAsia="Courier New" w:hAnsi="Courier New"/>
          <w:sz w:val="18"/>
          <w:szCs w:val="18"/>
          <w:color w:val="auto"/>
        </w:rPr>
        <w:t>Name: Joshua Ruch</w:t>
      </w:r>
    </w:p>
    <w:p>
      <w:pPr>
        <w:sectPr>
          <w:pgSz w:w="11900" w:h="16838" w:orient="portrait"/>
          <w:cols w:equalWidth="0" w:num="1">
            <w:col w:w="10219"/>
          </w:cols>
          <w:pgMar w:left="240" w:top="717" w:right="1440" w:bottom="1440" w:gutter="0" w:footer="0" w:header="0"/>
        </w:sectPr>
      </w:pPr>
    </w:p>
    <w:bookmarkStart w:id="6" w:name="page7"/>
    <w:bookmarkEnd w:id="6"/>
    <w:p>
      <w:pPr>
        <w:ind w:left="3700"/>
        <w:spacing w:after="0"/>
        <w:rPr>
          <w:sz w:val="20"/>
          <w:szCs w:val="20"/>
          <w:color w:val="auto"/>
        </w:rPr>
      </w:pPr>
      <w:r>
        <w:rPr>
          <w:rFonts w:ascii="Courier New" w:cs="Courier New" w:eastAsia="Courier New" w:hAnsi="Courier New"/>
          <w:sz w:val="18"/>
          <w:szCs w:val="18"/>
          <w:color w:val="auto"/>
        </w:rPr>
        <w:t>EXHIBIT A</w:t>
      </w:r>
    </w:p>
    <w:p>
      <w:pPr>
        <w:ind w:left="2960"/>
        <w:spacing w:after="0" w:line="238" w:lineRule="auto"/>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Pursuant to Rule 13d-1(k)(1) promulgated under the Securities Exchange Act of 1934, the undersigned agree to the joint filing of a Statement on Schedule 13G (including any and all amendments thereto, and any filing on Schedule 13D relating to the same investment) with respect to the shares of common stock, par value $0.001 per share, of Active Power, Inc., and further agree that this Joint Filing Agreement be included as an Exhibit thereto. In addition, each party to this Agreement expressly authorizes each other party to this Agreement to file on its behalf any and all amendments to such Statement.</w:t>
      </w:r>
    </w:p>
    <w:p>
      <w:pPr>
        <w:spacing w:after="0" w:line="180"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14, 2001.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RHO MANAGEMENT COMPANY, INC.</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By: /s/ Joshua Ruch</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Name: Joshua Ruch</w:t>
      </w:r>
    </w:p>
    <w:p>
      <w:pPr>
        <w:ind w:left="420"/>
        <w:spacing w:after="0" w:line="237" w:lineRule="auto"/>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JOSHUA RUCH</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 Joshua Ruch</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640"/>
        <w:spacing w:after="0"/>
        <w:rPr>
          <w:sz w:val="20"/>
          <w:szCs w:val="20"/>
          <w:color w:val="auto"/>
        </w:rPr>
      </w:pPr>
      <w:r>
        <w:rPr>
          <w:rFonts w:ascii="Courier New" w:cs="Courier New" w:eastAsia="Courier New" w:hAnsi="Courier New"/>
          <w:sz w:val="18"/>
          <w:szCs w:val="18"/>
          <w:color w:val="auto"/>
        </w:rPr>
        <w:t>Name: Joshua Ruch</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1"/>
      <w:numFmt w:val="bullet"/>
      <w:start w:val="1"/>
    </w:lvl>
  </w:abstractNum>
  <w:abstractNum w:abstractNumId="2">
    <w:nsid w:val="109CF92E"/>
    <w:multiLevelType w:val="hybridMultilevel"/>
    <w:lvl w:ilvl="0">
      <w:lvlJc w:val="left"/>
      <w:lvlText w:val="3"/>
      <w:numFmt w:val="bullet"/>
      <w:start w:val="1"/>
    </w:lvl>
  </w:abstractNum>
  <w:abstractNum w:abstractNumId="3">
    <w:nsid w:val="DED7263"/>
    <w:multiLevelType w:val="hybridMultilevel"/>
    <w:lvl w:ilvl="0">
      <w:lvlJc w:val="left"/>
      <w:lvlText w:val="4"/>
      <w:numFmt w:val="bullet"/>
      <w:start w:val="1"/>
    </w:lvl>
  </w:abstractNum>
  <w:abstractNum w:abstractNumId="4">
    <w:nsid w:val="7FDCC233"/>
    <w:multiLevelType w:val="hybridMultilevel"/>
    <w:lvl w:ilvl="0">
      <w:lvlJc w:val="left"/>
      <w:lvlText w:val="6"/>
      <w:numFmt w:val="bullet"/>
      <w:start w:val="1"/>
    </w:lvl>
  </w:abstractNum>
  <w:abstractNum w:abstractNumId="5">
    <w:nsid w:val="1BEFD79F"/>
    <w:multiLevelType w:val="hybridMultilevel"/>
    <w:lvl w:ilvl="0">
      <w:lvlJc w:val="left"/>
      <w:lvlText w:val="7"/>
      <w:numFmt w:val="bullet"/>
      <w:start w:val="1"/>
    </w:lvl>
  </w:abstractNum>
  <w:abstractNum w:abstractNumId="6">
    <w:nsid w:val="41A7C4C9"/>
    <w:multiLevelType w:val="hybridMultilevel"/>
    <w:lvl w:ilvl="0">
      <w:lvlJc w:val="left"/>
      <w:lvlText w:val="8"/>
      <w:numFmt w:val="bullet"/>
      <w:start w:val="1"/>
    </w:lvl>
  </w:abstractNum>
  <w:abstractNum w:abstractNumId="7">
    <w:nsid w:val="6B68079A"/>
    <w:multiLevelType w:val="hybridMultilevel"/>
    <w:lvl w:ilvl="0">
      <w:lvlJc w:val="left"/>
      <w:lvlText w:val="9"/>
      <w:numFmt w:val="bullet"/>
      <w:start w:val="1"/>
    </w:lvl>
  </w:abstractNum>
  <w:abstractNum w:abstractNumId="8">
    <w:nsid w:val="4E6AFB66"/>
    <w:multiLevelType w:val="hybridMultilevel"/>
    <w:lvl w:ilvl="0">
      <w:lvlJc w:val="left"/>
      <w:lvlText w:val="%1"/>
      <w:numFmt w:val="decimal"/>
      <w:start w:val="10"/>
    </w:lvl>
  </w:abstractNum>
  <w:abstractNum w:abstractNumId="9">
    <w:nsid w:val="25E45D32"/>
    <w:multiLevelType w:val="hybridMultilevel"/>
    <w:lvl w:ilvl="0">
      <w:lvlJc w:val="left"/>
      <w:lvlText w:val="%1"/>
      <w:numFmt w:val="decimal"/>
      <w:start w:val="12"/>
    </w:lvl>
  </w:abstractNum>
  <w:abstractNum w:abstractNumId="10">
    <w:nsid w:val="519B500D"/>
    <w:multiLevelType w:val="hybridMultilevel"/>
    <w:lvl w:ilvl="0">
      <w:lvlJc w:val="left"/>
      <w:lvlText w:val="1"/>
      <w:numFmt w:val="bullet"/>
      <w:start w:val="1"/>
    </w:lvl>
  </w:abstractNum>
  <w:abstractNum w:abstractNumId="11">
    <w:nsid w:val="431BD7B7"/>
    <w:multiLevelType w:val="hybridMultilevel"/>
    <w:lvl w:ilvl="0">
      <w:lvlJc w:val="left"/>
      <w:lvlText w:val="3"/>
      <w:numFmt w:val="bullet"/>
      <w:start w:val="1"/>
    </w:lvl>
  </w:abstractNum>
  <w:abstractNum w:abstractNumId="12">
    <w:nsid w:val="3F2DBA31"/>
    <w:multiLevelType w:val="hybridMultilevel"/>
    <w:lvl w:ilvl="0">
      <w:lvlJc w:val="left"/>
      <w:lvlText w:val="4"/>
      <w:numFmt w:val="bullet"/>
      <w:start w:val="1"/>
    </w:lvl>
  </w:abstractNum>
  <w:abstractNum w:abstractNumId="13">
    <w:nsid w:val="7C83E458"/>
    <w:multiLevelType w:val="hybridMultilevel"/>
    <w:lvl w:ilvl="0">
      <w:lvlJc w:val="left"/>
      <w:lvlText w:val="5"/>
      <w:numFmt w:val="bullet"/>
      <w:start w:val="1"/>
    </w:lvl>
  </w:abstractNum>
  <w:abstractNum w:abstractNumId="14">
    <w:nsid w:val="257130A3"/>
    <w:multiLevelType w:val="hybridMultilevel"/>
    <w:lvl w:ilvl="0">
      <w:lvlJc w:val="left"/>
      <w:lvlText w:val="6"/>
      <w:numFmt w:val="bullet"/>
      <w:start w:val="1"/>
    </w:lvl>
  </w:abstractNum>
  <w:abstractNum w:abstractNumId="15">
    <w:nsid w:val="62BBD95A"/>
    <w:multiLevelType w:val="hybridMultilevel"/>
    <w:lvl w:ilvl="0">
      <w:lvlJc w:val="left"/>
      <w:lvlText w:val="7"/>
      <w:numFmt w:val="bullet"/>
      <w:start w:val="1"/>
    </w:lvl>
  </w:abstractNum>
  <w:abstractNum w:abstractNumId="16">
    <w:nsid w:val="436C6125"/>
    <w:multiLevelType w:val="hybridMultilevel"/>
    <w:lvl w:ilvl="0">
      <w:lvlJc w:val="left"/>
      <w:lvlText w:val="8"/>
      <w:numFmt w:val="bullet"/>
      <w:start w:val="1"/>
    </w:lvl>
  </w:abstractNum>
  <w:abstractNum w:abstractNumId="17">
    <w:nsid w:val="628C895D"/>
    <w:multiLevelType w:val="hybridMultilevel"/>
    <w:lvl w:ilvl="0">
      <w:lvlJc w:val="left"/>
      <w:lvlText w:val="9"/>
      <w:numFmt w:val="bullet"/>
      <w:start w:val="1"/>
    </w:lvl>
  </w:abstractNum>
  <w:abstractNum w:abstractNumId="18">
    <w:nsid w:val="333AB105"/>
    <w:multiLevelType w:val="hybridMultilevel"/>
    <w:lvl w:ilvl="0">
      <w:lvlJc w:val="left"/>
      <w:lvlText w:val="%1"/>
      <w:numFmt w:val="decimal"/>
      <w:start w:val="10"/>
    </w:lvl>
  </w:abstractNum>
  <w:abstractNum w:abstractNumId="19">
    <w:nsid w:val="721DA317"/>
    <w:multiLevelType w:val="hybridMultilevel"/>
    <w:lvl w:ilvl="0">
      <w:lvlJc w:val="left"/>
      <w:lvlText w:val="%1"/>
      <w:numFmt w:val="decimal"/>
      <w:start w:val="12"/>
    </w:lvl>
  </w:abstractNum>
  <w:abstractNum w:abstractNumId="20">
    <w:nsid w:val="2443A858"/>
    <w:multiLevelType w:val="hybridMultilevel"/>
    <w:lvl w:ilvl="0">
      <w:lvlJc w:val="left"/>
      <w:lvlText w:val="(%1)"/>
      <w:numFmt w:val="lowerLetter"/>
      <w:start w:val="1"/>
    </w:lvl>
  </w:abstractNum>
  <w:abstractNum w:abstractNumId="21">
    <w:nsid w:val="2D1D5AE9"/>
    <w:multiLevelType w:val="hybridMultilevel"/>
    <w:lvl w:ilvl="0">
      <w:lvlJc w:val="left"/>
      <w:lvlText w:val="(%1)"/>
      <w:numFmt w:val="lowerLetter"/>
      <w:start w:val="2"/>
    </w:lvl>
  </w:abstractNum>
  <w:abstractNum w:abstractNumId="22">
    <w:nsid w:val="6763845E"/>
    <w:multiLevelType w:val="hybridMultilevel"/>
    <w:lvl w:ilvl="0">
      <w:lvlJc w:val="left"/>
      <w:lvlText w:val="(%1)"/>
      <w:numFmt w:val="lowerLetter"/>
      <w:start w:val="4"/>
    </w:lvl>
  </w:abstractNum>
  <w:abstractNum w:abstractNumId="23">
    <w:nsid w:val="75A2A8D4"/>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2019-12-14T18:17:46Z</dcterms:created>
  <dcterms:modified xsi:type="dcterms:W3CDTF">2019-12-14T18:17:46Z</dcterms:modified>
</cp:coreProperties>
</file>