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1308100</wp:posOffset>
            </wp:positionH>
            <wp:positionV relativeFrom="page">
              <wp:posOffset>143510</wp:posOffset>
            </wp:positionV>
            <wp:extent cx="493903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9030" cy="6350"/>
                    </a:xfrm>
                    <a:prstGeom prst="rect">
                      <a:avLst/>
                    </a:prstGeom>
                    <a:noFill/>
                  </pic:spPr>
                </pic:pic>
              </a:graphicData>
            </a:graphic>
          </wp:anchor>
        </w:drawing>
        <w:drawing>
          <wp:anchor simplePos="0" relativeHeight="251657728" behindDoc="1" locked="0" layoutInCell="0" allowOverlap="1">
            <wp:simplePos x="0" y="0"/>
            <wp:positionH relativeFrom="page">
              <wp:posOffset>1308100</wp:posOffset>
            </wp:positionH>
            <wp:positionV relativeFrom="page">
              <wp:posOffset>173355</wp:posOffset>
            </wp:positionV>
            <wp:extent cx="49390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9030" cy="635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635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159385</wp:posOffset>
            </wp:positionV>
            <wp:extent cx="10350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635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156210</wp:posOffset>
            </wp:positionV>
            <wp:extent cx="10350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6350"/>
                    </a:xfrm>
                    <a:prstGeom prst="rect">
                      <a:avLst/>
                    </a:prstGeom>
                    <a:noFill/>
                  </pic:spPr>
                </pic:pic>
              </a:graphicData>
            </a:graphic>
          </wp:anchor>
        </w:drawing>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P10,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146685</wp:posOffset>
            </wp:positionV>
            <wp:extent cx="103505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635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68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1260"/>
        <w:spacing w:after="0"/>
        <w:rPr>
          <w:sz w:val="20"/>
          <w:szCs w:val="20"/>
          <w:color w:val="auto"/>
        </w:rPr>
      </w:pPr>
      <w:r>
        <w:rPr>
          <w:rFonts w:ascii="Arial" w:cs="Arial" w:eastAsia="Arial" w:hAnsi="Arial"/>
          <w:sz w:val="11"/>
          <w:szCs w:val="11"/>
          <w:b w:val="1"/>
          <w:bCs w:val="1"/>
          <w:color w:val="auto"/>
        </w:rPr>
        <w:t>001-40937</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87-2908160</w:t>
      </w:r>
    </w:p>
    <w:p>
      <w:pPr>
        <w:spacing w:after="0" w:line="24" w:lineRule="exact"/>
        <w:rPr>
          <w:sz w:val="24"/>
          <w:szCs w:val="24"/>
          <w:color w:val="auto"/>
        </w:rPr>
      </w:pPr>
    </w:p>
    <w:p>
      <w:pPr>
        <w:sectPr>
          <w:pgSz w:w="11900" w:h="16838" w:orient="portrait"/>
          <w:cols w:equalWidth="0" w:num="3">
            <w:col w:w="3580" w:space="720"/>
            <w:col w:w="1820" w:space="720"/>
            <w:col w:w="2179"/>
          </w:cols>
          <w:pgMar w:left="1440" w:top="300" w:right="1440" w:bottom="1440" w:gutter="0" w:footer="0" w:header="0"/>
          <w:type w:val="continuous"/>
        </w:sectPr>
      </w:pPr>
    </w:p>
    <w:p>
      <w:pPr>
        <w:spacing w:after="0" w:line="11" w:lineRule="exact"/>
        <w:rPr>
          <w:sz w:val="24"/>
          <w:szCs w:val="24"/>
          <w:color w:val="auto"/>
        </w:rPr>
      </w:pPr>
    </w:p>
    <w:p>
      <w:pPr>
        <w:jc w:val="center"/>
        <w:ind w:left="280"/>
        <w:spacing w:after="0"/>
        <w:rPr>
          <w:sz w:val="20"/>
          <w:szCs w:val="20"/>
          <w:color w:val="auto"/>
        </w:rPr>
      </w:pPr>
      <w:r>
        <w:rPr>
          <w:rFonts w:ascii="Arial" w:cs="Arial" w:eastAsia="Arial" w:hAnsi="Arial"/>
          <w:sz w:val="9"/>
          <w:szCs w:val="9"/>
          <w:b w:val="1"/>
          <w:bCs w:val="1"/>
          <w:color w:val="auto"/>
        </w:rPr>
        <w:t>(State or other Jurisdiction</w:t>
      </w:r>
    </w:p>
    <w:p>
      <w:pPr>
        <w:jc w:val="center"/>
        <w:ind w:left="2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79"/>
        <w:spacing w:after="0"/>
        <w:rPr>
          <w:sz w:val="20"/>
          <w:szCs w:val="20"/>
          <w:color w:val="auto"/>
        </w:rPr>
      </w:pPr>
      <w:r>
        <w:rPr>
          <w:rFonts w:ascii="Arial" w:cs="Arial" w:eastAsia="Arial" w:hAnsi="Arial"/>
          <w:sz w:val="10"/>
          <w:szCs w:val="10"/>
          <w:b w:val="1"/>
          <w:bCs w:val="1"/>
          <w:color w:val="auto"/>
        </w:rPr>
        <w:t>(IRS Employer</w:t>
      </w:r>
    </w:p>
    <w:p>
      <w:pPr>
        <w:jc w:val="center"/>
        <w:ind w:right="1479"/>
        <w:spacing w:after="0"/>
        <w:rPr>
          <w:sz w:val="20"/>
          <w:szCs w:val="20"/>
          <w:color w:val="auto"/>
        </w:rPr>
      </w:pPr>
      <w:r>
        <w:rPr>
          <w:rFonts w:ascii="Arial" w:cs="Arial" w:eastAsia="Arial" w:hAnsi="Arial"/>
          <w:sz w:val="9"/>
          <w:szCs w:val="9"/>
          <w:b w:val="1"/>
          <w:bCs w:val="1"/>
          <w:color w:val="auto"/>
        </w:rPr>
        <w:t>Identification No.)</w:t>
      </w:r>
    </w:p>
    <w:p>
      <w:pPr>
        <w:spacing w:after="0" w:line="126" w:lineRule="exact"/>
        <w:rPr>
          <w:sz w:val="24"/>
          <w:szCs w:val="24"/>
          <w:color w:val="auto"/>
        </w:rPr>
      </w:pPr>
    </w:p>
    <w:p>
      <w:pPr>
        <w:sectPr>
          <w:pgSz w:w="11900" w:h="16838" w:orient="portrait"/>
          <w:cols w:equalWidth="0" w:num="3">
            <w:col w:w="3580" w:space="720"/>
            <w:col w:w="1740" w:space="720"/>
            <w:col w:w="2259"/>
          </w:cols>
          <w:pgMar w:left="1440" w:top="300" w:right="1440" w:bottom="1440" w:gutter="0" w:footer="0" w:header="0"/>
          <w:type w:val="continuous"/>
        </w:sectPr>
      </w:pPr>
    </w:p>
    <w:p>
      <w:pPr>
        <w:ind w:left="3700"/>
        <w:spacing w:after="0"/>
        <w:rPr>
          <w:sz w:val="20"/>
          <w:szCs w:val="20"/>
          <w:color w:val="auto"/>
        </w:rPr>
      </w:pPr>
      <w:r>
        <w:rPr>
          <w:rFonts w:ascii="Arial" w:cs="Arial" w:eastAsia="Arial" w:hAnsi="Arial"/>
          <w:sz w:val="13"/>
          <w:szCs w:val="13"/>
          <w:b w:val="1"/>
          <w:bCs w:val="1"/>
          <w:color w:val="auto"/>
        </w:rPr>
        <w:t>4514 Cole Avenue, Suite 1600</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Dallas, Texas 75205</w:t>
      </w:r>
    </w:p>
    <w:p>
      <w:pPr>
        <w:jc w:val="center"/>
        <w:spacing w:after="0"/>
        <w:rPr>
          <w:sz w:val="20"/>
          <w:szCs w:val="20"/>
          <w:color w:val="auto"/>
        </w:rPr>
      </w:pPr>
      <w:r>
        <w:rPr>
          <w:rFonts w:ascii="Arial" w:cs="Arial" w:eastAsia="Arial" w:hAnsi="Arial"/>
          <w:sz w:val="9"/>
          <w:szCs w:val="9"/>
          <w:b w:val="1"/>
          <w:bCs w:val="1"/>
          <w:color w:val="auto"/>
        </w:rPr>
        <w:t>(Address of principal executive offices and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(214) 865-7998</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635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type w:val="continuous"/>
        </w:sectPr>
      </w:pPr>
    </w:p>
    <w:p>
      <w:pPr>
        <w:spacing w:after="0" w:line="369" w:lineRule="exact"/>
        <w:rPr>
          <w:sz w:val="24"/>
          <w:szCs w:val="24"/>
          <w:color w:val="auto"/>
        </w:rPr>
      </w:pPr>
    </w:p>
    <w:p>
      <w:pPr>
        <w:ind w:left="620" w:right="959"/>
        <w:spacing w:after="0" w:line="263"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 below):</w:t>
      </w:r>
    </w:p>
    <w:p>
      <w:pPr>
        <w:spacing w:after="0" w:line="63" w:lineRule="exact"/>
        <w:rPr>
          <w:sz w:val="24"/>
          <w:szCs w:val="24"/>
          <w:color w:val="auto"/>
        </w:rPr>
      </w:pPr>
    </w:p>
    <w:p>
      <w:pPr>
        <w:ind w:left="920" w:hanging="305"/>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8" w:lineRule="exact"/>
        <w:rPr>
          <w:rFonts w:ascii="MS PGothic" w:cs="MS PGothic" w:eastAsia="MS PGothic" w:hAnsi="MS PGothic"/>
          <w:sz w:val="13"/>
          <w:szCs w:val="13"/>
          <w:color w:val="auto"/>
        </w:rPr>
      </w:pPr>
    </w:p>
    <w:p>
      <w:pPr>
        <w:ind w:left="920" w:hanging="305"/>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8" w:lineRule="exact"/>
        <w:rPr>
          <w:rFonts w:ascii="MS PGothic" w:cs="MS PGothic" w:eastAsia="MS PGothic" w:hAnsi="MS PGothic"/>
          <w:sz w:val="13"/>
          <w:szCs w:val="13"/>
          <w:color w:val="auto"/>
        </w:rPr>
      </w:pPr>
    </w:p>
    <w:p>
      <w:pPr>
        <w:ind w:left="920" w:hanging="305"/>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8" w:lineRule="exact"/>
        <w:rPr>
          <w:rFonts w:ascii="MS PGothic" w:cs="MS PGothic" w:eastAsia="MS PGothic" w:hAnsi="MS PGothic"/>
          <w:sz w:val="13"/>
          <w:szCs w:val="13"/>
          <w:color w:val="auto"/>
        </w:rPr>
      </w:pPr>
    </w:p>
    <w:p>
      <w:pPr>
        <w:ind w:left="920" w:hanging="305"/>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27" w:lineRule="exact"/>
        <w:rPr>
          <w:sz w:val="24"/>
          <w:szCs w:val="24"/>
          <w:color w:val="auto"/>
        </w:rPr>
      </w:pPr>
    </w:p>
    <w:p>
      <w:pPr>
        <w:ind w:left="62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9" w:lineRule="exact"/>
        <w:rPr>
          <w:sz w:val="24"/>
          <w:szCs w:val="24"/>
          <w:color w:val="auto"/>
        </w:rPr>
      </w:pPr>
    </w:p>
    <w:tbl>
      <w:tblPr>
        <w:tblLayout w:type="fixed"/>
        <w:tblInd w:w="62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500" w:type="dxa"/>
            <w:vAlign w:val="bottom"/>
          </w:tcPr>
          <w:p>
            <w:pPr>
              <w:jc w:val="center"/>
              <w:spacing w:after="0"/>
              <w:rPr>
                <w:sz w:val="20"/>
                <w:szCs w:val="20"/>
                <w:color w:val="auto"/>
              </w:rPr>
            </w:pPr>
            <w:r>
              <w:rPr>
                <w:rFonts w:ascii="Arial" w:cs="Arial" w:eastAsia="Arial" w:hAnsi="Arial"/>
                <w:sz w:val="10"/>
                <w:szCs w:val="10"/>
                <w:b w:val="1"/>
                <w:bCs w:val="1"/>
                <w:color w:val="auto"/>
                <w:w w:val="89"/>
              </w:rPr>
              <w:t>Name of each exchange</w:t>
            </w:r>
          </w:p>
        </w:tc>
      </w:tr>
      <w:tr>
        <w:trPr>
          <w:trHeight w:val="129"/>
        </w:trPr>
        <w:tc>
          <w:tcPr>
            <w:tcW w:w="27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500" w:type="dxa"/>
            <w:vAlign w:val="bottom"/>
          </w:tcPr>
          <w:p>
            <w:pPr>
              <w:jc w:val="center"/>
              <w:spacing w:after="0"/>
              <w:rPr>
                <w:sz w:val="20"/>
                <w:szCs w:val="20"/>
                <w:color w:val="auto"/>
              </w:rPr>
            </w:pPr>
            <w:r>
              <w:rPr>
                <w:rFonts w:ascii="Arial" w:cs="Arial" w:eastAsia="Arial" w:hAnsi="Arial"/>
                <w:sz w:val="10"/>
                <w:szCs w:val="10"/>
                <w:b w:val="1"/>
                <w:bCs w:val="1"/>
                <w:color w:val="auto"/>
                <w:w w:val="90"/>
              </w:rPr>
              <w:t>on which registered</w:t>
            </w:r>
          </w:p>
        </w:tc>
      </w:tr>
      <w:tr>
        <w:trPr>
          <w:trHeight w:val="129"/>
        </w:trPr>
        <w:tc>
          <w:tcPr>
            <w:tcW w:w="2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Class A Common Stock, par value $0.001 per</w:t>
            </w:r>
          </w:p>
        </w:tc>
        <w:tc>
          <w:tcPr>
            <w:tcW w:w="80" w:type="dxa"/>
            <w:vAlign w:val="bottom"/>
          </w:tcPr>
          <w:p>
            <w:pPr>
              <w:spacing w:after="0"/>
              <w:rPr>
                <w:sz w:val="11"/>
                <w:szCs w:val="11"/>
                <w:color w:val="auto"/>
              </w:rPr>
            </w:pPr>
          </w:p>
        </w:tc>
        <w:tc>
          <w:tcPr>
            <w:tcW w:w="2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1"/>
              </w:rPr>
              <w:t>PX</w:t>
            </w:r>
          </w:p>
        </w:tc>
        <w:tc>
          <w:tcPr>
            <w:tcW w:w="60" w:type="dxa"/>
            <w:vAlign w:val="bottom"/>
          </w:tcPr>
          <w:p>
            <w:pPr>
              <w:spacing w:after="0"/>
              <w:rPr>
                <w:sz w:val="11"/>
                <w:szCs w:val="11"/>
                <w:color w:val="auto"/>
              </w:rPr>
            </w:pPr>
          </w:p>
        </w:tc>
        <w:tc>
          <w:tcPr>
            <w:tcW w:w="2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New York Stock Exchange LLC</w:t>
            </w:r>
          </w:p>
        </w:tc>
      </w:tr>
      <w:tr>
        <w:trPr>
          <w:trHeight w:val="153"/>
        </w:trPr>
        <w:tc>
          <w:tcPr>
            <w:tcW w:w="2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share</w:t>
            </w:r>
          </w:p>
        </w:tc>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2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Series A Junior Participating Preferred Stock</w:t>
            </w:r>
          </w:p>
        </w:tc>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5"/>
        </w:trPr>
        <w:tc>
          <w:tcPr>
            <w:tcW w:w="2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Purchase Rights</w:t>
            </w:r>
          </w:p>
        </w:tc>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125" w:lineRule="exact"/>
        <w:rPr>
          <w:sz w:val="24"/>
          <w:szCs w:val="24"/>
          <w:color w:val="auto"/>
        </w:rPr>
      </w:pPr>
    </w:p>
    <w:p>
      <w:pPr>
        <w:ind w:left="620" w:right="839"/>
        <w:spacing w:after="0" w:line="26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52" w:lineRule="exact"/>
        <w:rPr>
          <w:sz w:val="24"/>
          <w:szCs w:val="24"/>
          <w:color w:val="auto"/>
        </w:rPr>
      </w:pPr>
    </w:p>
    <w:p>
      <w:pPr>
        <w:ind w:left="620" w:right="839"/>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393700</wp:posOffset>
            </wp:positionH>
            <wp:positionV relativeFrom="paragraph">
              <wp:posOffset>93980</wp:posOffset>
            </wp:positionV>
            <wp:extent cx="493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030" cy="635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124460</wp:posOffset>
            </wp:positionV>
            <wp:extent cx="49390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9030" cy="635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type w:val="continuous"/>
        </w:sectPr>
      </w:pPr>
    </w:p>
    <w:bookmarkStart w:id="1" w:name="page2"/>
    <w:bookmarkEnd w:id="1"/>
    <w:p>
      <w:pPr>
        <w:ind w:left="620"/>
        <w:spacing w:after="0"/>
        <w:tabs>
          <w:tab w:leader="none" w:pos="144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3" w:lineRule="exact"/>
        <w:rPr>
          <w:sz w:val="20"/>
          <w:szCs w:val="20"/>
          <w:color w:val="auto"/>
        </w:rPr>
      </w:pPr>
    </w:p>
    <w:p>
      <w:pPr>
        <w:ind w:left="620" w:right="679" w:firstLine="311"/>
        <w:spacing w:after="0" w:line="254" w:lineRule="auto"/>
        <w:rPr>
          <w:sz w:val="20"/>
          <w:szCs w:val="20"/>
          <w:color w:val="auto"/>
        </w:rPr>
      </w:pPr>
      <w:r>
        <w:rPr>
          <w:rFonts w:ascii="Arial" w:cs="Arial" w:eastAsia="Arial" w:hAnsi="Arial"/>
          <w:sz w:val="13"/>
          <w:szCs w:val="13"/>
          <w:color w:val="auto"/>
        </w:rPr>
        <w:t>On March 1, 2022, P10, Inc. (the “Company”) issued a press release and detailed presentation announcing its financial results for the fourth fiscal quarter and year ended December 31, 2021. A copy of the press release and presentation are furnished as Exhibit 99.1 to this Current Report on Form 8-K and are incorporated by reference into this Item 2.02 as if fully set forth herein.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2"/>
          <w:szCs w:val="12"/>
          <w:color w:val="auto"/>
        </w:rPr>
        <w:t>The information furnished by the Company pursuant to this Item 2.02, including Exhibit 99.1, shall not be deemed “filed” for purposes of</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Section 18 of the Securities Exchange Act of 1934, as amended (the “Exchange Act”) or otherwise subject to the liability of that section, and shall not be</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1"/>
          <w:szCs w:val="11"/>
          <w:color w:val="auto"/>
        </w:rPr>
        <w:t>deemed to be incorporated by reference into any Company filing under the Securities Act of 1933, as amended, or the Exchange Act, regardless of any</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general incorporation language in such filing.</w:t>
      </w:r>
    </w:p>
    <w:p>
      <w:pPr>
        <w:spacing w:after="0" w:line="248"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83" w:lineRule="exact"/>
        <w:rPr>
          <w:sz w:val="20"/>
          <w:szCs w:val="20"/>
          <w:color w:val="auto"/>
        </w:rPr>
      </w:pPr>
    </w:p>
    <w:p>
      <w:pPr>
        <w:ind w:left="620" w:right="699"/>
        <w:spacing w:after="0" w:line="305" w:lineRule="auto"/>
        <w:rPr>
          <w:sz w:val="20"/>
          <w:szCs w:val="20"/>
          <w:color w:val="auto"/>
        </w:rPr>
      </w:pPr>
      <w:r>
        <w:rPr>
          <w:rFonts w:ascii="Arial" w:cs="Arial" w:eastAsia="Arial" w:hAnsi="Arial"/>
          <w:sz w:val="12"/>
          <w:szCs w:val="12"/>
          <w:color w:val="auto"/>
        </w:rPr>
        <w:t xml:space="preserve">On March 1, 2022, P10, Inc. (the “Company”) posted the Q4 2021 and Year End Company Overview to its website at </w:t>
      </w:r>
      <w:r>
        <w:rPr>
          <w:rFonts w:ascii="Arial" w:cs="Arial" w:eastAsia="Arial" w:hAnsi="Arial"/>
          <w:sz w:val="12"/>
          <w:szCs w:val="12"/>
          <w:u w:val="single" w:color="auto"/>
          <w:color w:val="auto"/>
        </w:rPr>
        <w:t>https://ir.p10alts.com/</w:t>
      </w:r>
      <w:r>
        <w:rPr>
          <w:rFonts w:ascii="Arial" w:cs="Arial" w:eastAsia="Arial" w:hAnsi="Arial"/>
          <w:sz w:val="12"/>
          <w:szCs w:val="12"/>
          <w:color w:val="auto"/>
        </w:rPr>
        <w:t>. A copy of the Q4 2021 and Year End Company Overview is attached as Exhibit 99.2 to this Current Report on Form 8-K.</w:t>
      </w:r>
    </w:p>
    <w:p>
      <w:pPr>
        <w:spacing w:after="0" w:line="107" w:lineRule="exact"/>
        <w:rPr>
          <w:sz w:val="20"/>
          <w:szCs w:val="20"/>
          <w:color w:val="auto"/>
        </w:rPr>
      </w:pPr>
    </w:p>
    <w:p>
      <w:pPr>
        <w:ind w:left="620" w:right="719"/>
        <w:spacing w:after="0" w:line="275" w:lineRule="auto"/>
        <w:rPr>
          <w:sz w:val="20"/>
          <w:szCs w:val="20"/>
          <w:color w:val="auto"/>
        </w:rPr>
      </w:pPr>
      <w:r>
        <w:rPr>
          <w:rFonts w:ascii="Arial" w:cs="Arial" w:eastAsia="Arial" w:hAnsi="Arial"/>
          <w:sz w:val="12"/>
          <w:szCs w:val="12"/>
          <w:color w:val="auto"/>
        </w:rPr>
        <w:t>The information in this Current Report on Form 8-K, including Exhibit 99.2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25"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93" w:lineRule="exact"/>
        <w:rPr>
          <w:sz w:val="20"/>
          <w:szCs w:val="20"/>
          <w:color w:val="auto"/>
        </w:rPr>
      </w:pPr>
    </w:p>
    <w:p>
      <w:pPr>
        <w:ind w:left="920" w:hanging="305"/>
        <w:spacing w:after="0"/>
        <w:tabs>
          <w:tab w:leader="none" w:pos="9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0"/>
          <w:szCs w:val="10"/>
          <w:color w:val="auto"/>
        </w:rPr>
        <w:t>Exhibit</w:t>
      </w:r>
    </w:p>
    <w:p>
      <w:pPr>
        <w:ind w:left="1000"/>
        <w:spacing w:after="0"/>
        <w:tabs>
          <w:tab w:leader="none" w:pos="1500" w:val="left"/>
        </w:tabs>
        <w:rPr>
          <w:sz w:val="20"/>
          <w:szCs w:val="20"/>
          <w:color w:val="auto"/>
        </w:rPr>
      </w:pPr>
      <w:r>
        <w:rPr>
          <w:rFonts w:ascii="Arial" w:cs="Arial" w:eastAsia="Arial" w:hAnsi="Arial"/>
          <w:sz w:val="10"/>
          <w:szCs w:val="10"/>
          <w:color w:val="auto"/>
        </w:rPr>
        <w:t>No.</w:t>
      </w:r>
      <w:r>
        <w:rPr>
          <w:sz w:val="20"/>
          <w:szCs w:val="20"/>
          <w:color w:val="auto"/>
        </w:rPr>
        <w:tab/>
      </w:r>
      <w:r>
        <w:rPr>
          <w:rFonts w:ascii="Arial" w:cs="Arial" w:eastAsia="Arial" w:hAnsi="Arial"/>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-2540</wp:posOffset>
            </wp:positionV>
            <wp:extent cx="1873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325" cy="6350"/>
                    </a:xfrm>
                    <a:prstGeom prst="rect">
                      <a:avLst/>
                    </a:prstGeom>
                    <a:noFill/>
                  </pic:spPr>
                </pic:pic>
              </a:graphicData>
            </a:graphic>
          </wp:anchor>
        </w:drawing>
      </w:r>
    </w:p>
    <w:p>
      <w:pPr>
        <w:spacing w:after="0" w:line="52" w:lineRule="exact"/>
        <w:rPr>
          <w:sz w:val="20"/>
          <w:szCs w:val="20"/>
          <w:color w:val="auto"/>
        </w:rPr>
      </w:pPr>
    </w:p>
    <w:p>
      <w:pPr>
        <w:ind w:left="920"/>
        <w:spacing w:after="0"/>
        <w:tabs>
          <w:tab w:leader="none" w:pos="1500" w:val="left"/>
        </w:tabs>
        <w:rPr>
          <w:rFonts w:ascii="Arial" w:cs="Arial" w:eastAsia="Arial" w:hAnsi="Arial"/>
          <w:sz w:val="11"/>
          <w:szCs w:val="11"/>
          <w:u w:val="single" w:color="auto"/>
          <w:color w:val="0000EE"/>
        </w:rPr>
      </w:pPr>
      <w:r>
        <w:rPr>
          <w:rFonts w:ascii="Arial" w:cs="Arial" w:eastAsia="Arial" w:hAnsi="Arial"/>
          <w:sz w:val="13"/>
          <w:szCs w:val="13"/>
          <w:color w:val="auto"/>
        </w:rPr>
        <w:t>99.1</w:t>
      </w:r>
      <w:r>
        <w:rPr>
          <w:sz w:val="20"/>
          <w:szCs w:val="20"/>
          <w:color w:val="auto"/>
        </w:rPr>
        <w:tab/>
      </w:r>
      <w:hyperlink w:anchor="page4">
        <w:r>
          <w:rPr>
            <w:rFonts w:ascii="Arial" w:cs="Arial" w:eastAsia="Arial" w:hAnsi="Arial"/>
            <w:sz w:val="11"/>
            <w:szCs w:val="11"/>
            <w:u w:val="single" w:color="auto"/>
            <w:color w:val="0000EE"/>
          </w:rPr>
          <w:t>Press Release, dated March 1, 2022 and Q4 2021 earnings presentation</w:t>
        </w:r>
      </w:hyperlink>
    </w:p>
    <w:p>
      <w:pPr>
        <w:spacing w:after="0" w:line="79" w:lineRule="exact"/>
        <w:rPr>
          <w:sz w:val="20"/>
          <w:szCs w:val="20"/>
          <w:color w:val="auto"/>
        </w:rPr>
      </w:pPr>
    </w:p>
    <w:p>
      <w:pPr>
        <w:ind w:left="920"/>
        <w:spacing w:after="0"/>
        <w:tabs>
          <w:tab w:leader="none" w:pos="1500" w:val="left"/>
        </w:tabs>
        <w:rPr>
          <w:rFonts w:ascii="Arial" w:cs="Arial" w:eastAsia="Arial" w:hAnsi="Arial"/>
          <w:sz w:val="11"/>
          <w:szCs w:val="11"/>
          <w:u w:val="single" w:color="auto"/>
          <w:color w:val="0000EE"/>
        </w:rPr>
      </w:pPr>
      <w:r>
        <w:rPr>
          <w:rFonts w:ascii="Arial" w:cs="Arial" w:eastAsia="Arial" w:hAnsi="Arial"/>
          <w:sz w:val="13"/>
          <w:szCs w:val="13"/>
          <w:color w:val="auto"/>
        </w:rPr>
        <w:t>99.2</w:t>
      </w:r>
      <w:r>
        <w:rPr>
          <w:sz w:val="20"/>
          <w:szCs w:val="20"/>
          <w:color w:val="auto"/>
        </w:rPr>
        <w:tab/>
      </w:r>
      <w:hyperlink w:anchor="page33">
        <w:r>
          <w:rPr>
            <w:rFonts w:ascii="Arial" w:cs="Arial" w:eastAsia="Arial" w:hAnsi="Arial"/>
            <w:sz w:val="11"/>
            <w:szCs w:val="11"/>
            <w:u w:val="single" w:color="auto"/>
            <w:color w:val="0000EE"/>
          </w:rPr>
          <w:t>Q4 2021 and Year End Company Overview dated March 1, 2022</w:t>
        </w:r>
      </w:hyperlink>
    </w:p>
    <w:p>
      <w:pPr>
        <w:spacing w:after="0" w:line="79"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(formatted as inline XBRL)</w:t>
      </w:r>
    </w:p>
    <w:p>
      <w:pPr>
        <w:sectPr>
          <w:pgSz w:w="11900" w:h="16838" w:orient="portrait"/>
          <w:cols w:equalWidth="0" w:num="1">
            <w:col w:w="9019"/>
          </w:cols>
          <w:pgMar w:left="1440" w:top="25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3180"/>
                    </a:xfrm>
                    <a:prstGeom prst="rect">
                      <a:avLst/>
                    </a:prstGeom>
                    <a:noFill/>
                  </pic:spPr>
                </pic:pic>
              </a:graphicData>
            </a:graphic>
          </wp:anchor>
        </w:drawing>
        <w:t>SIGNATURE</w:t>
      </w:r>
    </w:p>
    <w:p>
      <w:pPr>
        <w:spacing w:after="0" w:line="160" w:lineRule="exact"/>
        <w:rPr>
          <w:sz w:val="20"/>
          <w:szCs w:val="20"/>
          <w:color w:val="auto"/>
        </w:rPr>
      </w:pPr>
    </w:p>
    <w:p>
      <w:pPr>
        <w:ind w:left="620" w:right="839" w:firstLine="311"/>
        <w:spacing w:after="0" w:line="263"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P10, INC.</w:t>
      </w:r>
    </w:p>
    <w:p>
      <w:pPr>
        <w:spacing w:after="0" w:line="156" w:lineRule="exact"/>
        <w:rPr>
          <w:sz w:val="20"/>
          <w:szCs w:val="20"/>
          <w:color w:val="auto"/>
        </w:rPr>
      </w:pPr>
    </w:p>
    <w:p>
      <w:pPr>
        <w:ind w:left="620"/>
        <w:spacing w:after="0"/>
        <w:tabs>
          <w:tab w:leader="none" w:pos="4560" w:val="left"/>
          <w:tab w:leader="none" w:pos="4880" w:val="left"/>
        </w:tabs>
        <w:rPr>
          <w:sz w:val="20"/>
          <w:szCs w:val="20"/>
          <w:color w:val="auto"/>
        </w:rPr>
      </w:pPr>
      <w:r>
        <w:rPr>
          <w:rFonts w:ascii="Arial" w:cs="Arial" w:eastAsia="Arial" w:hAnsi="Arial"/>
          <w:sz w:val="13"/>
          <w:szCs w:val="13"/>
          <w:color w:val="auto"/>
        </w:rPr>
        <w:t>Date: March 1,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7620</wp:posOffset>
            </wp:positionV>
            <wp:extent cx="222123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1230" cy="6350"/>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Amanda Coussens</w:t>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9019"/>
          </w:cols>
          <w:pgMar w:left="1440" w:top="251" w:right="1440" w:bottom="1440" w:gutter="0" w:footer="0" w:header="0"/>
        </w:sectPr>
      </w:pPr>
    </w:p>
    <w:bookmarkStart w:id="3" w:name="page4"/>
    <w:bookmarkEnd w:id="3"/>
    <w:p>
      <w:pPr>
        <w:jc w:val="right"/>
        <w:ind w:right="61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173355</wp:posOffset>
            </wp:positionV>
            <wp:extent cx="666115" cy="314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115" cy="31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PRESS RELEASE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P10 Reports Fourth Quarter and Year End 2021 Results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1"/>
          <w:szCs w:val="11"/>
          <w:i w:val="1"/>
          <w:iCs w:val="1"/>
          <w:color w:val="auto"/>
        </w:rPr>
        <w:t>Record Results Driven by a 123% increase in Year-Over-Year Revenue and a 36% Increase in Year-Over-Year Fee Paying Assets Under Management</w:t>
      </w:r>
    </w:p>
    <w:p>
      <w:pPr>
        <w:spacing w:after="0" w:line="98" w:lineRule="exact"/>
        <w:rPr>
          <w:sz w:val="20"/>
          <w:szCs w:val="20"/>
          <w:color w:val="auto"/>
        </w:rPr>
      </w:pPr>
    </w:p>
    <w:p>
      <w:pPr>
        <w:ind w:left="620" w:right="899"/>
        <w:spacing w:after="0" w:line="270" w:lineRule="auto"/>
        <w:rPr>
          <w:sz w:val="20"/>
          <w:szCs w:val="20"/>
          <w:color w:val="auto"/>
        </w:rPr>
      </w:pPr>
      <w:r>
        <w:rPr>
          <w:rFonts w:ascii="Arial" w:cs="Arial" w:eastAsia="Arial" w:hAnsi="Arial"/>
          <w:sz w:val="13"/>
          <w:szCs w:val="13"/>
          <w:b w:val="1"/>
          <w:bCs w:val="1"/>
          <w:color w:val="auto"/>
        </w:rPr>
        <w:t xml:space="preserve">Dallas, Texas – March 1, 2022 </w:t>
      </w:r>
      <w:r>
        <w:rPr>
          <w:rFonts w:ascii="Arial" w:cs="Arial" w:eastAsia="Arial" w:hAnsi="Arial"/>
          <w:sz w:val="13"/>
          <w:szCs w:val="13"/>
          <w:color w:val="auto"/>
        </w:rPr>
        <w:t>– P10, Inc. (NYSE: PX), a leading private markets solutions provider, today reported financial results for the fourth</w:t>
      </w:r>
      <w:r>
        <w:rPr>
          <w:rFonts w:ascii="Arial" w:cs="Arial" w:eastAsia="Arial" w:hAnsi="Arial"/>
          <w:sz w:val="13"/>
          <w:szCs w:val="13"/>
          <w:b w:val="1"/>
          <w:bCs w:val="1"/>
          <w:color w:val="auto"/>
        </w:rPr>
        <w:t xml:space="preserve"> </w:t>
      </w:r>
      <w:r>
        <w:rPr>
          <w:rFonts w:ascii="Arial" w:cs="Arial" w:eastAsia="Arial" w:hAnsi="Arial"/>
          <w:sz w:val="13"/>
          <w:szCs w:val="13"/>
          <w:color w:val="auto"/>
        </w:rPr>
        <w:t>quarter and year ended December 31, 2021.</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Fourth Quarter 2021 Financial Highlights:</w:t>
      </w:r>
    </w:p>
    <w:p>
      <w:pPr>
        <w:spacing w:after="0" w:line="89" w:lineRule="exact"/>
        <w:rPr>
          <w:sz w:val="20"/>
          <w:szCs w:val="20"/>
          <w:color w:val="auto"/>
        </w:rPr>
      </w:pPr>
    </w:p>
    <w:p>
      <w:pPr>
        <w:ind w:left="920" w:hanging="229"/>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Paying Assets Under Management: $17.3 billion, a 36% increase year-over-year.</w:t>
      </w:r>
    </w:p>
    <w:p>
      <w:pPr>
        <w:spacing w:after="0" w:line="88" w:lineRule="exact"/>
        <w:rPr>
          <w:rFonts w:ascii="Arial" w:cs="Arial" w:eastAsia="Arial" w:hAnsi="Arial"/>
          <w:sz w:val="13"/>
          <w:szCs w:val="13"/>
          <w:color w:val="auto"/>
        </w:rPr>
      </w:pPr>
    </w:p>
    <w:p>
      <w:pPr>
        <w:ind w:left="920" w:hanging="229"/>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$45.6 million for the quarter, an 85% increase year-over-year.</w:t>
      </w:r>
    </w:p>
    <w:p>
      <w:pPr>
        <w:spacing w:after="0" w:line="88" w:lineRule="exact"/>
        <w:rPr>
          <w:rFonts w:ascii="Arial" w:cs="Arial" w:eastAsia="Arial" w:hAnsi="Arial"/>
          <w:sz w:val="13"/>
          <w:szCs w:val="13"/>
          <w:color w:val="auto"/>
        </w:rPr>
      </w:pPr>
    </w:p>
    <w:p>
      <w:pPr>
        <w:jc w:val="both"/>
        <w:ind w:left="920" w:right="739" w:hanging="229"/>
        <w:spacing w:after="0" w:line="254"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GAAP Net Income: $1.5 million, a 93% decrease year-over-year, primarily attributable to non-cash expenses incurred during the quarter for debt refinance, contingent consideration costs associated with the Hark Capital and Bonaccord Capital Partners acquisitions, and additional intangible asset amortization expense from acquisitions.</w:t>
      </w:r>
    </w:p>
    <w:p>
      <w:pPr>
        <w:spacing w:after="0" w:line="68" w:lineRule="exact"/>
        <w:rPr>
          <w:rFonts w:ascii="Arial" w:cs="Arial" w:eastAsia="Arial" w:hAnsi="Arial"/>
          <w:sz w:val="13"/>
          <w:szCs w:val="13"/>
          <w:color w:val="auto"/>
        </w:rPr>
      </w:pPr>
    </w:p>
    <w:p>
      <w:pPr>
        <w:ind w:left="920" w:hanging="229"/>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EBITDA: $26.4 million, a 114% increase year-over-year.</w:t>
      </w:r>
    </w:p>
    <w:p>
      <w:pPr>
        <w:spacing w:after="0" w:line="88" w:lineRule="exact"/>
        <w:rPr>
          <w:rFonts w:ascii="Arial" w:cs="Arial" w:eastAsia="Arial" w:hAnsi="Arial"/>
          <w:sz w:val="13"/>
          <w:szCs w:val="13"/>
          <w:color w:val="auto"/>
        </w:rPr>
      </w:pPr>
    </w:p>
    <w:p>
      <w:pPr>
        <w:ind w:left="920" w:hanging="229"/>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Net Income: $21.9 million, a 157% increase year-over-year.</w:t>
      </w:r>
    </w:p>
    <w:p>
      <w:pPr>
        <w:spacing w:after="0" w:line="88" w:lineRule="exact"/>
        <w:rPr>
          <w:rFonts w:ascii="Arial" w:cs="Arial" w:eastAsia="Arial" w:hAnsi="Arial"/>
          <w:sz w:val="13"/>
          <w:szCs w:val="13"/>
          <w:color w:val="auto"/>
        </w:rPr>
      </w:pPr>
    </w:p>
    <w:p>
      <w:pPr>
        <w:ind w:left="920" w:right="939" w:hanging="229"/>
        <w:spacing w:after="0" w:line="263"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Fully diluted GAAP EPS: $.02, a 94% decrease year-over-year year primarily attributable to the Company’s debt refinancing and acquisition costs.</w:t>
      </w:r>
    </w:p>
    <w:p>
      <w:pPr>
        <w:spacing w:after="0" w:line="63" w:lineRule="exact"/>
        <w:rPr>
          <w:rFonts w:ascii="Arial" w:cs="Arial" w:eastAsia="Arial" w:hAnsi="Arial"/>
          <w:sz w:val="13"/>
          <w:szCs w:val="13"/>
          <w:color w:val="auto"/>
        </w:rPr>
      </w:pPr>
    </w:p>
    <w:p>
      <w:pPr>
        <w:ind w:left="920" w:hanging="229"/>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Fully diluted ANI per share: $.18, a 125% increase year-over-year.</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Fiscal Year End 2021 Financial Highlights:</w:t>
      </w:r>
    </w:p>
    <w:p>
      <w:pPr>
        <w:spacing w:after="0" w:line="89" w:lineRule="exact"/>
        <w:rPr>
          <w:sz w:val="20"/>
          <w:szCs w:val="20"/>
          <w:color w:val="auto"/>
        </w:rPr>
      </w:pPr>
    </w:p>
    <w:p>
      <w:pPr>
        <w:ind w:left="920" w:hanging="229"/>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$150.5 million, a 123% increase year-over-year.</w:t>
      </w:r>
    </w:p>
    <w:p>
      <w:pPr>
        <w:spacing w:after="0" w:line="88" w:lineRule="exact"/>
        <w:rPr>
          <w:rFonts w:ascii="Arial" w:cs="Arial" w:eastAsia="Arial" w:hAnsi="Arial"/>
          <w:sz w:val="13"/>
          <w:szCs w:val="13"/>
          <w:color w:val="auto"/>
        </w:rPr>
      </w:pPr>
    </w:p>
    <w:p>
      <w:pPr>
        <w:ind w:left="920" w:right="739" w:hanging="229"/>
        <w:spacing w:after="0" w:line="254" w:lineRule="auto"/>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GAAP Net Income: $10.8 million, a 55% decrease year-over-year, primarily attributable to non-cash expenses incurred during Q4 for debt refinance, contingent consideration costs associated with the Hark Capital and Bonaccord Capital Partners acquisitions, and additional intangible asset amortization expense from acquisitions.</w:t>
      </w:r>
    </w:p>
    <w:p>
      <w:pPr>
        <w:spacing w:after="0" w:line="68" w:lineRule="exact"/>
        <w:rPr>
          <w:rFonts w:ascii="Arial" w:cs="Arial" w:eastAsia="Arial" w:hAnsi="Arial"/>
          <w:sz w:val="13"/>
          <w:szCs w:val="13"/>
          <w:color w:val="auto"/>
        </w:rPr>
      </w:pPr>
    </w:p>
    <w:p>
      <w:pPr>
        <w:ind w:left="920" w:hanging="229"/>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$83.1 million, a 139% increase year-over-year.</w:t>
      </w:r>
    </w:p>
    <w:p>
      <w:pPr>
        <w:spacing w:after="0" w:line="88" w:lineRule="exact"/>
        <w:rPr>
          <w:rFonts w:ascii="Arial" w:cs="Arial" w:eastAsia="Arial" w:hAnsi="Arial"/>
          <w:sz w:val="13"/>
          <w:szCs w:val="13"/>
          <w:color w:val="auto"/>
        </w:rPr>
      </w:pPr>
    </w:p>
    <w:p>
      <w:pPr>
        <w:ind w:left="920" w:hanging="229"/>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Net Income: $62.8 million, a 162% increase year-over-year.</w:t>
      </w:r>
    </w:p>
    <w:p>
      <w:pPr>
        <w:spacing w:after="0" w:line="88" w:lineRule="exact"/>
        <w:rPr>
          <w:rFonts w:ascii="Arial" w:cs="Arial" w:eastAsia="Arial" w:hAnsi="Arial"/>
          <w:sz w:val="13"/>
          <w:szCs w:val="13"/>
          <w:color w:val="auto"/>
        </w:rPr>
      </w:pPr>
    </w:p>
    <w:p>
      <w:pPr>
        <w:ind w:left="920" w:hanging="229"/>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Fully diluted GAAP EPS: $.08, a 78% decrease year-over-year primarily attributable to the Company’s debt refinancing and acquisition costs.</w:t>
      </w:r>
    </w:p>
    <w:p>
      <w:pPr>
        <w:spacing w:after="0" w:line="100" w:lineRule="exact"/>
        <w:rPr>
          <w:rFonts w:ascii="Arial" w:cs="Arial" w:eastAsia="Arial" w:hAnsi="Arial"/>
          <w:sz w:val="12"/>
          <w:szCs w:val="12"/>
          <w:color w:val="auto"/>
        </w:rPr>
      </w:pPr>
    </w:p>
    <w:p>
      <w:pPr>
        <w:ind w:left="920" w:hanging="229"/>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Fully diluted ANI per share: $.56, a 93% increase year-over-year.</w:t>
      </w:r>
    </w:p>
    <w:p>
      <w:pPr>
        <w:spacing w:after="0" w:line="79" w:lineRule="exact"/>
        <w:rPr>
          <w:sz w:val="20"/>
          <w:szCs w:val="20"/>
          <w:color w:val="auto"/>
        </w:rPr>
      </w:pPr>
    </w:p>
    <w:p>
      <w:pPr>
        <w:ind w:left="620" w:right="639"/>
        <w:spacing w:after="0" w:line="254" w:lineRule="auto"/>
        <w:rPr>
          <w:sz w:val="20"/>
          <w:szCs w:val="20"/>
          <w:color w:val="auto"/>
        </w:rPr>
      </w:pPr>
      <w:r>
        <w:rPr>
          <w:rFonts w:ascii="Arial" w:cs="Arial" w:eastAsia="Arial" w:hAnsi="Arial"/>
          <w:sz w:val="13"/>
          <w:szCs w:val="13"/>
          <w:color w:val="auto"/>
        </w:rPr>
        <w:t>Robert Alpert, Chairman and Co-CEO, and Co-CEO Clark Webb said, “In 2021, P10 strengthened its position as the premier specialized private markets solution provider in the middle and lower middle market. We deepened our market presence by expanding product offerings and adding two leading investment firms to our lineup, Hark Capital and</w:t>
      </w:r>
    </w:p>
    <w:p>
      <w:pPr>
        <w:sectPr>
          <w:pgSz w:w="11900" w:h="16838" w:orient="portrait"/>
          <w:cols w:equalWidth="0" w:num="1">
            <w:col w:w="9019"/>
          </w:cols>
          <w:pgMar w:left="1440" w:top="127" w:right="1440" w:bottom="1440" w:gutter="0" w:footer="0" w:header="0"/>
        </w:sectPr>
      </w:pPr>
    </w:p>
    <w:bookmarkStart w:id="4" w:name="page5"/>
    <w:bookmarkEnd w:id="4"/>
    <w:p>
      <w:pPr>
        <w:ind w:left="620" w:right="779"/>
        <w:spacing w:after="0" w:line="2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Bonaccord Capital Partners. During 2021, investors purchased 20 million Class A shares at $12 per share through an initial public offering and concurrent listing on the New York Stock Exchange and we refinanced $250 million of debt with a new facility that is estimated to save the Company approximately $8 million in 2022. We are well positioned for continued growth.”</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 presentation of the fourth quarter and year end 2021 financials may be accessed HERE and is available on the Company’s website.</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Conference Call Details:</w:t>
      </w:r>
    </w:p>
    <w:p>
      <w:pPr>
        <w:spacing w:after="0" w:line="79" w:lineRule="exact"/>
        <w:rPr>
          <w:sz w:val="20"/>
          <w:szCs w:val="20"/>
          <w:color w:val="auto"/>
        </w:rPr>
      </w:pPr>
    </w:p>
    <w:p>
      <w:pPr>
        <w:ind w:left="620" w:right="979"/>
        <w:spacing w:after="0" w:line="263" w:lineRule="auto"/>
        <w:rPr>
          <w:sz w:val="20"/>
          <w:szCs w:val="20"/>
          <w:color w:val="auto"/>
        </w:rPr>
      </w:pPr>
      <w:r>
        <w:rPr>
          <w:rFonts w:ascii="Arial" w:cs="Arial" w:eastAsia="Arial" w:hAnsi="Arial"/>
          <w:sz w:val="13"/>
          <w:szCs w:val="13"/>
          <w:color w:val="auto"/>
        </w:rPr>
        <w:t>The company will host a conference call at 8:30 a.m. Eastern Time on Tuesday, March 1, 2022. The call will be webcast live and may be accessed HERE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All participants joining by telephone should dial one of the following numbers, followed by the Participant Code provided:</w:t>
      </w:r>
    </w:p>
    <w:p>
      <w:pPr>
        <w:spacing w:after="0" w:line="156"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3"/>
          <w:szCs w:val="13"/>
          <w:color w:val="auto"/>
        </w:rPr>
        <w:t>United States:</w:t>
      </w:r>
      <w:r>
        <w:rPr>
          <w:sz w:val="20"/>
          <w:szCs w:val="20"/>
          <w:color w:val="auto"/>
        </w:rPr>
        <w:tab/>
      </w:r>
      <w:r>
        <w:rPr>
          <w:rFonts w:ascii="Arial" w:cs="Arial" w:eastAsia="Arial" w:hAnsi="Arial"/>
          <w:sz w:val="11"/>
          <w:szCs w:val="11"/>
          <w:color w:val="auto"/>
        </w:rPr>
        <w:t>1-646-904-5544 or 1-844-200-6205</w:t>
      </w:r>
    </w:p>
    <w:p>
      <w:pPr>
        <w:spacing w:after="0" w:line="12"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3"/>
          <w:szCs w:val="13"/>
          <w:color w:val="auto"/>
        </w:rPr>
        <w:t>Canada:</w:t>
        <w:tab/>
        <w:t>1-226-828-7575</w:t>
      </w:r>
    </w:p>
    <w:p>
      <w:pPr>
        <w:spacing w:after="0" w:line="3"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3"/>
          <w:szCs w:val="13"/>
          <w:color w:val="auto"/>
        </w:rPr>
        <w:t>All other locations:</w:t>
      </w:r>
      <w:r>
        <w:rPr>
          <w:sz w:val="20"/>
          <w:szCs w:val="20"/>
          <w:color w:val="auto"/>
        </w:rPr>
        <w:tab/>
      </w:r>
      <w:r>
        <w:rPr>
          <w:rFonts w:ascii="Arial" w:cs="Arial" w:eastAsia="Arial" w:hAnsi="Arial"/>
          <w:sz w:val="11"/>
          <w:szCs w:val="11"/>
          <w:color w:val="auto"/>
        </w:rPr>
        <w:t>1-929-526-1599</w:t>
      </w:r>
    </w:p>
    <w:p>
      <w:pPr>
        <w:spacing w:after="0" w:line="147"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3"/>
          <w:szCs w:val="13"/>
          <w:color w:val="auto"/>
        </w:rPr>
        <w:t>Participant Code:</w:t>
      </w:r>
      <w:r>
        <w:rPr>
          <w:sz w:val="20"/>
          <w:szCs w:val="20"/>
          <w:color w:val="auto"/>
        </w:rPr>
        <w:tab/>
      </w:r>
      <w:r>
        <w:rPr>
          <w:rFonts w:ascii="Arial" w:cs="Arial" w:eastAsia="Arial" w:hAnsi="Arial"/>
          <w:sz w:val="11"/>
          <w:szCs w:val="11"/>
          <w:color w:val="auto"/>
        </w:rPr>
        <w:t>181724</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For those unable to participate in the live call, a replay will be made available on P10’s investor relations page.</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About P10</w:t>
      </w:r>
    </w:p>
    <w:p>
      <w:pPr>
        <w:spacing w:after="0" w:line="83" w:lineRule="exact"/>
        <w:rPr>
          <w:sz w:val="20"/>
          <w:szCs w:val="20"/>
          <w:color w:val="auto"/>
        </w:rPr>
      </w:pPr>
    </w:p>
    <w:p>
      <w:pPr>
        <w:ind w:left="620" w:right="699"/>
        <w:spacing w:after="0" w:line="278" w:lineRule="auto"/>
        <w:rPr>
          <w:sz w:val="20"/>
          <w:szCs w:val="20"/>
          <w:color w:val="auto"/>
        </w:rPr>
      </w:pPr>
      <w:r>
        <w:rPr>
          <w:rFonts w:ascii="Arial" w:cs="Arial" w:eastAsia="Arial" w:hAnsi="Arial"/>
          <w:sz w:val="12"/>
          <w:szCs w:val="12"/>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December 31, 2021, P10 has a global investor base of over 2,400 investors across 46 states, 29 countries and six continents, which includes some of the world’s largest pension funds, endowments, foundations, corporate pensions and financial institutions. Visit www.p10alts.com.</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Forward Looking Statements</w:t>
      </w:r>
    </w:p>
    <w:p>
      <w:pPr>
        <w:spacing w:after="0" w:line="83" w:lineRule="exact"/>
        <w:rPr>
          <w:sz w:val="20"/>
          <w:szCs w:val="20"/>
          <w:color w:val="auto"/>
        </w:rPr>
      </w:pPr>
    </w:p>
    <w:p>
      <w:pPr>
        <w:ind w:left="620" w:right="839"/>
        <w:spacing w:after="0" w:line="285" w:lineRule="auto"/>
        <w:rPr>
          <w:sz w:val="20"/>
          <w:szCs w:val="20"/>
          <w:color w:val="auto"/>
        </w:rPr>
      </w:pPr>
      <w:r>
        <w:rPr>
          <w:rFonts w:ascii="Arial" w:cs="Arial" w:eastAsia="Arial" w:hAnsi="Arial"/>
          <w:sz w:val="12"/>
          <w:szCs w:val="12"/>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w:t>
      </w:r>
    </w:p>
    <w:p>
      <w:pPr>
        <w:sectPr>
          <w:pgSz w:w="11900" w:h="16838" w:orient="portrait"/>
          <w:cols w:equalWidth="0" w:num="1">
            <w:col w:w="9019"/>
          </w:cols>
          <w:pgMar w:left="1440" w:top="236" w:right="1440" w:bottom="1440" w:gutter="0" w:footer="0" w:header="0"/>
        </w:sectPr>
      </w:pPr>
    </w:p>
    <w:bookmarkStart w:id="5" w:name="page6"/>
    <w:bookmarkEnd w:id="5"/>
    <w:p>
      <w:pPr>
        <w:ind w:left="620" w:right="679"/>
        <w:spacing w:after="0" w:line="29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w:t>
      </w:r>
    </w:p>
    <w:p>
      <w:pPr>
        <w:spacing w:after="0" w:line="116" w:lineRule="exact"/>
        <w:rPr>
          <w:sz w:val="20"/>
          <w:szCs w:val="20"/>
          <w:color w:val="auto"/>
        </w:rPr>
      </w:pPr>
    </w:p>
    <w:p>
      <w:pPr>
        <w:jc w:val="both"/>
        <w:ind w:left="620" w:right="679"/>
        <w:spacing w:after="0" w:line="248" w:lineRule="auto"/>
        <w:rPr>
          <w:sz w:val="20"/>
          <w:szCs w:val="20"/>
          <w:color w:val="auto"/>
        </w:rPr>
      </w:pPr>
      <w:r>
        <w:rPr>
          <w:rFonts w:ascii="Arial" w:cs="Arial" w:eastAsia="Arial" w:hAnsi="Arial"/>
          <w:sz w:val="13"/>
          <w:szCs w:val="13"/>
          <w:color w:val="auto"/>
        </w:rPr>
        <w:t>The foregoing list of factors is not exhaustive. For more information regarding these risks and uncertainties as well as additional risks that we face, you should refer to the “Risk Factors” included in our prospectus dated October 20, 2021, filed with the U.S. Securities and Exchange Commission (“SEC”) on October 22, 2021, and in our quarterly report on Form 10-Q for the quarter ended September 30, 2021 and in our subsequent reports filed from time to time with the Securities and Exchange Commission.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Use of Non-GAAP Financial Measures by P10, Inc.</w:t>
      </w:r>
    </w:p>
    <w:p>
      <w:pPr>
        <w:spacing w:after="0" w:line="83" w:lineRule="exact"/>
        <w:rPr>
          <w:sz w:val="20"/>
          <w:szCs w:val="20"/>
          <w:color w:val="auto"/>
        </w:rPr>
      </w:pPr>
    </w:p>
    <w:p>
      <w:pPr>
        <w:ind w:left="620" w:right="679"/>
        <w:spacing w:after="0" w:line="249" w:lineRule="auto"/>
        <w:rPr>
          <w:sz w:val="20"/>
          <w:szCs w:val="20"/>
          <w:color w:val="auto"/>
        </w:rPr>
      </w:pPr>
      <w:r>
        <w:rPr>
          <w:rFonts w:ascii="Arial" w:cs="Arial" w:eastAsia="Arial" w:hAnsi="Arial"/>
          <w:sz w:val="13"/>
          <w:szCs w:val="13"/>
          <w:color w:val="auto"/>
        </w:rPr>
        <w:t>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fourth quarter and year end financials. The Company believes</w:t>
      </w:r>
    </w:p>
    <w:p>
      <w:pPr>
        <w:sectPr>
          <w:pgSz w:w="11900" w:h="16838" w:orient="portrait"/>
          <w:cols w:equalWidth="0" w:num="1">
            <w:col w:w="9019"/>
          </w:cols>
          <w:pgMar w:left="1440" w:top="236" w:right="1440" w:bottom="1440" w:gutter="0" w:footer="0" w:header="0"/>
        </w:sectPr>
      </w:pPr>
    </w:p>
    <w:bookmarkStart w:id="6" w:name="page7"/>
    <w:bookmarkEnd w:id="6"/>
    <w:p>
      <w:pPr>
        <w:ind w:left="620" w:right="67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 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Ownership Limitations</w:t>
      </w:r>
    </w:p>
    <w:p>
      <w:pPr>
        <w:spacing w:after="0" w:line="83" w:lineRule="exact"/>
        <w:rPr>
          <w:sz w:val="20"/>
          <w:szCs w:val="20"/>
          <w:color w:val="auto"/>
        </w:rPr>
      </w:pPr>
    </w:p>
    <w:p>
      <w:pPr>
        <w:ind w:left="620" w:right="859"/>
        <w:spacing w:after="0" w:line="254" w:lineRule="auto"/>
        <w:rPr>
          <w:sz w:val="20"/>
          <w:szCs w:val="20"/>
          <w:color w:val="auto"/>
        </w:rPr>
      </w:pPr>
      <w:r>
        <w:rPr>
          <w:rFonts w:ascii="Arial" w:cs="Arial" w:eastAsia="Arial" w:hAnsi="Arial"/>
          <w:sz w:val="13"/>
          <w:szCs w:val="13"/>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P10 Press and Investor Contact:</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3"/>
          <w:szCs w:val="13"/>
          <w:u w:val="single" w:color="auto"/>
          <w:color w:val="auto"/>
        </w:rPr>
        <w:t>info@p10alts.com</w:t>
      </w:r>
    </w:p>
    <w:p>
      <w:pPr>
        <w:sectPr>
          <w:pgSz w:w="11900" w:h="16838" w:orient="portrait"/>
          <w:cols w:equalWidth="0" w:num="1">
            <w:col w:w="9019"/>
          </w:cols>
          <w:pgMar w:left="1440" w:top="236"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53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5053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7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7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82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2022-03-01T11:56:13Z</dcterms:created>
  <dcterms:modified xsi:type="dcterms:W3CDTF">2022-03-01T11:56:13Z</dcterms:modified>
</cp:coreProperties>
</file>