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0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542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Kelly Patrick T</w:t>
              </w:r>
            </w:hyperlink>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04/28/2016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LANE, BK 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1880" w:type="dxa"/>
            <w:vAlign w:val="bottom"/>
            <w:gridSpan w:val="3"/>
          </w:tcPr>
          <w:p>
            <w:pPr>
              <w:ind w:left="62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employee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Board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Member</w:t>
            </w: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0.57</w:t>
            </w:r>
          </w:p>
        </w:tc>
        <w:tc>
          <w:tcPr>
            <w:tcW w:w="80" w:type="dxa"/>
            <w:vAlign w:val="bottom"/>
          </w:tcPr>
          <w:p>
            <w:pPr>
              <w:spacing w:after="0"/>
              <w:rPr>
                <w:sz w:val="17"/>
                <w:szCs w:val="17"/>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04/28/2016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30,000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04/28/2026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Option</w:t>
      </w:r>
    </w:p>
    <w:p>
      <w:pPr>
        <w:ind w:left="80"/>
        <w:spacing w:after="0" w:line="237"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Subject to Section 15 of the Active Power, Inc. Amended and Restated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Beth P. Sarno, Attorney-in-Fact 04/28/2016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6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6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9012"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2019-12-06T18:44:29Z</dcterms:created>
  <dcterms:modified xsi:type="dcterms:W3CDTF">2019-12-06T18:44:29Z</dcterms:modified>
</cp:coreProperties>
</file>