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ind w:left="5240"/>
        <w:spacing w:after="0"/>
        <w:rPr>
          <w:sz w:val="20"/>
          <w:szCs w:val="20"/>
          <w:color w:val="auto"/>
        </w:rPr>
      </w:pPr>
      <w:r>
        <w:rPr>
          <w:rFonts w:ascii="Arial" w:cs="Arial" w:eastAsia="Arial" w:hAnsi="Arial"/>
          <w:sz w:val="22"/>
          <w:szCs w:val="22"/>
          <w:color w:val="auto"/>
        </w:rPr>
        <w:t>P10,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69376K106</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69376K106</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2,822,860</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2,822,860</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2,822,860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12.27%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2,822,860</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2,822,860</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2,822,860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12.27%</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2,822,860</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2,822,860</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2,822,860</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12.27%</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2,822,860</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2,822,860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2,822,860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12.27%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2,822,860</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2,822,860</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2,822,860</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12.27%</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right="7019" w:hanging="1098"/>
        <w:spacing w:after="0" w:line="519" w:lineRule="auto"/>
        <w:tabs>
          <w:tab w:leader="none" w:pos="18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Name of Issuer P10, INC.</w:t>
      </w:r>
    </w:p>
    <w:p>
      <w:pPr>
        <w:ind w:left="1800" w:right="4179" w:hanging="1098"/>
        <w:spacing w:after="0" w:line="44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4514 Cole Avenue, Suite 1600</w:t>
      </w:r>
    </w:p>
    <w:p>
      <w:pPr>
        <w:ind w:left="1800"/>
        <w:spacing w:after="0"/>
        <w:rPr>
          <w:rFonts w:ascii="Arial" w:cs="Arial" w:eastAsia="Arial" w:hAnsi="Arial"/>
          <w:sz w:val="22"/>
          <w:szCs w:val="22"/>
          <w:color w:val="auto"/>
        </w:rPr>
      </w:pPr>
      <w:r>
        <w:rPr>
          <w:rFonts w:ascii="Arial" w:cs="Arial" w:eastAsia="Arial" w:hAnsi="Arial"/>
          <w:sz w:val="22"/>
          <w:szCs w:val="22"/>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-1355090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69376K106</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12.27%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12.27%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12.27%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12.27%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12.27%</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2,822,860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73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(d) Investment company registered under Section 8 of the Investment Company</w:t>
            </w:r>
          </w:p>
        </w:tc>
      </w:tr>
      <w:tr>
        <w:trPr>
          <w:trHeight w:val="274"/>
        </w:trPr>
        <w:tc>
          <w:tcPr>
            <w:tcW w:w="3920" w:type="dxa"/>
            <w:vAlign w:val="bottom"/>
            <w:tcBorders>
              <w:left w:val="single" w:sz="8" w:color="auto"/>
              <w:right w:val="single" w:sz="8" w:color="auto"/>
            </w:tcBorders>
          </w:tcPr>
          <w:p>
            <w:pPr>
              <w:spacing w:after="0"/>
              <w:rPr>
                <w:sz w:val="23"/>
                <w:szCs w:val="23"/>
                <w:color w:val="auto"/>
              </w:rPr>
            </w:pP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Act of 1940 (15 U.S.C. 80a-8)</w:t>
            </w:r>
          </w:p>
        </w:tc>
      </w:tr>
      <w:tr>
        <w:trPr>
          <w:trHeight w:val="206"/>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3"/>
              </w:rPr>
              <w:t>Federated Equity Management Company</w:t>
            </w:r>
          </w:p>
        </w:tc>
        <w:tc>
          <w:tcPr>
            <w:tcW w:w="73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Act of 1940</w:t>
            </w:r>
          </w:p>
        </w:tc>
      </w:tr>
      <w:tr>
        <w:trPr>
          <w:trHeight w:val="206"/>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Federated Hermes, Inc.</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FII Holdings, Inc.</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Voting Shares Irrevocable Trust</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Thomas R.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Rhodora J.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 Christopher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(the “Investment Advisers”), which act as investment advisers to registered investment companies and separate accounts that own shares of common stock in P10,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2022-02-14T12:55:55Z</dcterms:created>
  <dcterms:modified xsi:type="dcterms:W3CDTF">2022-02-14T12:55:55Z</dcterms:modified>
</cp:coreProperties>
</file>