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Exchange Act of 1934 (Amendment No.  )</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3820" w:type="dxa"/>
            <w:vAlign w:val="bottom"/>
            <w:gridSpan w:val="3"/>
          </w:tcPr>
          <w:p>
            <w:pPr>
              <w:spacing w:after="0"/>
              <w:rPr>
                <w:sz w:val="20"/>
                <w:szCs w:val="20"/>
                <w:color w:val="auto"/>
              </w:rPr>
            </w:pPr>
            <w:r>
              <w:rPr>
                <w:rFonts w:ascii="Arial" w:cs="Arial" w:eastAsia="Arial" w:hAnsi="Arial"/>
                <w:sz w:val="22"/>
                <w:szCs w:val="22"/>
                <w:color w:val="auto"/>
              </w:rPr>
              <w:t>Filed by the Registrant [X]</w:t>
            </w:r>
          </w:p>
        </w:tc>
        <w:tc>
          <w:tcPr>
            <w:tcW w:w="164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3820" w:type="dxa"/>
            <w:vAlign w:val="bottom"/>
            <w:gridSpan w:val="3"/>
          </w:tcPr>
          <w:p>
            <w:pPr>
              <w:spacing w:after="0"/>
              <w:rPr>
                <w:sz w:val="20"/>
                <w:szCs w:val="20"/>
                <w:color w:val="auto"/>
              </w:rPr>
            </w:pPr>
            <w:r>
              <w:rPr>
                <w:rFonts w:ascii="Arial" w:cs="Arial" w:eastAsia="Arial" w:hAnsi="Arial"/>
                <w:sz w:val="22"/>
                <w:szCs w:val="22"/>
                <w:color w:val="auto"/>
                <w:w w:val="92"/>
              </w:rPr>
              <w:t>Filed by a party other than the Registrant [</w:t>
            </w:r>
          </w:p>
        </w:tc>
        <w:tc>
          <w:tcPr>
            <w:tcW w:w="1640" w:type="dxa"/>
            <w:vAlign w:val="bottom"/>
          </w:tcPr>
          <w:p>
            <w:pPr>
              <w:jc w:val="right"/>
              <w:ind w:right="1392"/>
              <w:spacing w:after="0"/>
              <w:rPr>
                <w:sz w:val="20"/>
                <w:szCs w:val="20"/>
                <w:color w:val="auto"/>
              </w:rPr>
            </w:pPr>
            <w:r>
              <w:rPr>
                <w:rFonts w:ascii="Arial" w:cs="Arial" w:eastAsia="Arial" w:hAnsi="Arial"/>
                <w:sz w:val="22"/>
                <w:szCs w:val="22"/>
                <w:color w:val="auto"/>
              </w:rPr>
              <w:t>]</w:t>
            </w: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20" w:type="dxa"/>
            <w:vAlign w:val="bottom"/>
            <w:gridSpan w:val="3"/>
          </w:tcPr>
          <w:p>
            <w:pPr>
              <w:spacing w:after="0"/>
              <w:rPr>
                <w:sz w:val="20"/>
                <w:szCs w:val="20"/>
                <w:color w:val="auto"/>
              </w:rPr>
            </w:pPr>
            <w:r>
              <w:rPr>
                <w:rFonts w:ascii="Arial" w:cs="Arial" w:eastAsia="Arial" w:hAnsi="Arial"/>
                <w:sz w:val="22"/>
                <w:szCs w:val="22"/>
                <w:color w:val="auto"/>
              </w:rPr>
              <w:t>Check the appropriate box:</w:t>
            </w:r>
          </w:p>
        </w:tc>
        <w:tc>
          <w:tcPr>
            <w:tcW w:w="16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80" w:type="dxa"/>
            <w:vAlign w:val="bottom"/>
            <w:vMerge w:val="restart"/>
          </w:tcPr>
          <w:p>
            <w:pPr>
              <w:ind w:left="20"/>
              <w:spacing w:after="0"/>
              <w:rPr>
                <w:sz w:val="20"/>
                <w:szCs w:val="20"/>
                <w:color w:val="auto"/>
              </w:rPr>
            </w:pPr>
            <w:r>
              <w:rPr>
                <w:rFonts w:ascii="Arial" w:cs="Arial" w:eastAsia="Arial" w:hAnsi="Arial"/>
                <w:sz w:val="22"/>
                <w:szCs w:val="22"/>
                <w:color w:val="auto"/>
              </w:rPr>
              <w:t>[</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3420" w:type="dxa"/>
            <w:vAlign w:val="bottom"/>
            <w:vMerge w:val="restart"/>
          </w:tcPr>
          <w:p>
            <w:pPr>
              <w:ind w:left="60"/>
              <w:spacing w:after="0"/>
              <w:rPr>
                <w:sz w:val="20"/>
                <w:szCs w:val="20"/>
                <w:color w:val="auto"/>
              </w:rPr>
            </w:pPr>
            <w:r>
              <w:rPr>
                <w:rFonts w:ascii="Arial" w:cs="Arial" w:eastAsia="Arial" w:hAnsi="Arial"/>
                <w:sz w:val="22"/>
                <w:szCs w:val="22"/>
                <w:color w:val="auto"/>
              </w:rPr>
              <w:t>Preliminary proxy statement</w:t>
            </w:r>
          </w:p>
        </w:tc>
        <w:tc>
          <w:tcPr>
            <w:tcW w:w="1640" w:type="dxa"/>
            <w:vAlign w:val="bottom"/>
            <w:vMerge w:val="restart"/>
          </w:tcPr>
          <w:p>
            <w:pPr>
              <w:jc w:val="right"/>
              <w:spacing w:after="0"/>
              <w:rPr>
                <w:sz w:val="20"/>
                <w:szCs w:val="20"/>
                <w:color w:val="auto"/>
              </w:rPr>
            </w:pPr>
            <w:r>
              <w:rPr>
                <w:rFonts w:ascii="Arial" w:cs="Arial" w:eastAsia="Arial" w:hAnsi="Arial"/>
                <w:sz w:val="22"/>
                <w:szCs w:val="22"/>
                <w:color w:val="auto"/>
              </w:rPr>
              <w:t>[  ]</w:t>
            </w:r>
          </w:p>
        </w:tc>
        <w:tc>
          <w:tcPr>
            <w:tcW w:w="5480" w:type="dxa"/>
            <w:vAlign w:val="bottom"/>
          </w:tcPr>
          <w:p>
            <w:pPr>
              <w:ind w:left="120"/>
              <w:spacing w:after="0"/>
              <w:rPr>
                <w:sz w:val="20"/>
                <w:szCs w:val="20"/>
                <w:color w:val="auto"/>
              </w:rPr>
            </w:pPr>
            <w:r>
              <w:rPr>
                <w:rFonts w:ascii="Arial" w:cs="Arial" w:eastAsia="Arial" w:hAnsi="Arial"/>
                <w:sz w:val="22"/>
                <w:szCs w:val="22"/>
                <w:color w:val="auto"/>
                <w:w w:val="89"/>
              </w:rPr>
              <w:t>Confidential, for use of the Commission only (as permitted by</w:t>
            </w:r>
          </w:p>
        </w:tc>
        <w:tc>
          <w:tcPr>
            <w:tcW w:w="0" w:type="dxa"/>
            <w:vAlign w:val="bottom"/>
          </w:tcPr>
          <w:p>
            <w:pPr>
              <w:spacing w:after="0"/>
              <w:rPr>
                <w:sz w:val="1"/>
                <w:szCs w:val="1"/>
                <w:color w:val="auto"/>
              </w:rPr>
            </w:pPr>
          </w:p>
        </w:tc>
      </w:tr>
      <w:tr>
        <w:trPr>
          <w:trHeight w:val="270"/>
        </w:trPr>
        <w:tc>
          <w:tcPr>
            <w:tcW w:w="180" w:type="dxa"/>
            <w:vAlign w:val="bottom"/>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3420" w:type="dxa"/>
            <w:vAlign w:val="bottom"/>
            <w:vMerge w:val="continue"/>
          </w:tcPr>
          <w:p>
            <w:pPr>
              <w:spacing w:after="0"/>
              <w:rPr>
                <w:sz w:val="23"/>
                <w:szCs w:val="23"/>
                <w:color w:val="auto"/>
              </w:rPr>
            </w:pPr>
          </w:p>
        </w:tc>
        <w:tc>
          <w:tcPr>
            <w:tcW w:w="1640" w:type="dxa"/>
            <w:vAlign w:val="bottom"/>
            <w:vMerge w:val="continue"/>
          </w:tcPr>
          <w:p>
            <w:pPr>
              <w:spacing w:after="0"/>
              <w:rPr>
                <w:sz w:val="23"/>
                <w:szCs w:val="23"/>
                <w:color w:val="auto"/>
              </w:rPr>
            </w:pPr>
          </w:p>
        </w:tc>
        <w:tc>
          <w:tcPr>
            <w:tcW w:w="5480" w:type="dxa"/>
            <w:vAlign w:val="bottom"/>
          </w:tcPr>
          <w:p>
            <w:pPr>
              <w:ind w:left="120"/>
              <w:spacing w:after="0"/>
              <w:rPr>
                <w:sz w:val="20"/>
                <w:szCs w:val="20"/>
                <w:color w:val="auto"/>
              </w:rPr>
            </w:pPr>
            <w:r>
              <w:rPr>
                <w:rFonts w:ascii="Arial" w:cs="Arial" w:eastAsia="Arial" w:hAnsi="Arial"/>
                <w:sz w:val="22"/>
                <w:szCs w:val="22"/>
                <w:color w:val="auto"/>
              </w:rPr>
              <w:t>Rule 14a-6(e) (2))</w:t>
            </w:r>
          </w:p>
        </w:tc>
        <w:tc>
          <w:tcPr>
            <w:tcW w:w="0" w:type="dxa"/>
            <w:vAlign w:val="bottom"/>
          </w:tcPr>
          <w:p>
            <w:pPr>
              <w:spacing w:after="0"/>
              <w:rPr>
                <w:sz w:val="1"/>
                <w:szCs w:val="1"/>
                <w:color w:val="auto"/>
              </w:rPr>
            </w:pPr>
          </w:p>
        </w:tc>
      </w:tr>
      <w:tr>
        <w:trPr>
          <w:trHeight w:val="270"/>
        </w:trPr>
        <w:tc>
          <w:tcPr>
            <w:tcW w:w="400" w:type="dxa"/>
            <w:vAlign w:val="bottom"/>
            <w:gridSpan w:val="2"/>
          </w:tcPr>
          <w:p>
            <w:pPr>
              <w:ind w:left="20"/>
              <w:spacing w:after="0"/>
              <w:rPr>
                <w:sz w:val="20"/>
                <w:szCs w:val="20"/>
                <w:color w:val="auto"/>
              </w:rPr>
            </w:pPr>
            <w:r>
              <w:rPr>
                <w:rFonts w:ascii="Arial" w:cs="Arial" w:eastAsia="Arial" w:hAnsi="Arial"/>
                <w:sz w:val="22"/>
                <w:szCs w:val="22"/>
                <w:color w:val="auto"/>
              </w:rPr>
              <w:t>[X]</w:t>
            </w:r>
          </w:p>
        </w:tc>
        <w:tc>
          <w:tcPr>
            <w:tcW w:w="3420" w:type="dxa"/>
            <w:vAlign w:val="bottom"/>
          </w:tcPr>
          <w:p>
            <w:pPr>
              <w:ind w:left="60"/>
              <w:spacing w:after="0"/>
              <w:rPr>
                <w:sz w:val="20"/>
                <w:szCs w:val="20"/>
                <w:color w:val="auto"/>
              </w:rPr>
            </w:pPr>
            <w:r>
              <w:rPr>
                <w:rFonts w:ascii="Arial" w:cs="Arial" w:eastAsia="Arial" w:hAnsi="Arial"/>
                <w:sz w:val="22"/>
                <w:szCs w:val="22"/>
                <w:color w:val="auto"/>
              </w:rPr>
              <w:t>Definitive proxy statement</w:t>
            </w:r>
          </w:p>
        </w:tc>
        <w:tc>
          <w:tcPr>
            <w:tcW w:w="164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 w:type="dxa"/>
            <w:vAlign w:val="bottom"/>
          </w:tcPr>
          <w:p>
            <w:pPr>
              <w:ind w:left="20"/>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3420" w:type="dxa"/>
            <w:vAlign w:val="bottom"/>
          </w:tcPr>
          <w:p>
            <w:pPr>
              <w:ind w:left="60"/>
              <w:spacing w:after="0"/>
              <w:rPr>
                <w:sz w:val="20"/>
                <w:szCs w:val="20"/>
                <w:color w:val="auto"/>
              </w:rPr>
            </w:pPr>
            <w:r>
              <w:rPr>
                <w:rFonts w:ascii="Arial" w:cs="Arial" w:eastAsia="Arial" w:hAnsi="Arial"/>
                <w:sz w:val="22"/>
                <w:szCs w:val="22"/>
                <w:color w:val="auto"/>
              </w:rPr>
              <w:t>Definitive additional materials</w:t>
            </w:r>
          </w:p>
        </w:tc>
        <w:tc>
          <w:tcPr>
            <w:tcW w:w="164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60" w:right="6520" w:hanging="438"/>
        <w:spacing w:after="0" w:line="181" w:lineRule="auto"/>
        <w:tabs>
          <w:tab w:leader="none" w:pos="248" w:val="left"/>
        </w:tabs>
        <w:numPr>
          <w:ilvl w:val="0"/>
          <w:numId w:val="1"/>
        </w:numPr>
        <w:rPr>
          <w:rFonts w:ascii="Arial" w:cs="Arial" w:eastAsia="Arial" w:hAnsi="Arial"/>
          <w:sz w:val="39"/>
          <w:szCs w:val="39"/>
          <w:color w:val="auto"/>
          <w:vertAlign w:val="subscript"/>
        </w:rPr>
      </w:pPr>
      <w:r>
        <w:rPr>
          <w:rFonts w:ascii="Arial" w:cs="Arial" w:eastAsia="Arial" w:hAnsi="Arial"/>
          <w:sz w:val="39"/>
          <w:szCs w:val="39"/>
          <w:color w:val="auto"/>
          <w:vertAlign w:val="subscript"/>
        </w:rPr>
        <w:t>]</w:t>
      </w:r>
      <w:r>
        <w:rPr>
          <w:rFonts w:ascii="Arial" w:cs="Arial" w:eastAsia="Arial" w:hAnsi="Arial"/>
          <w:sz w:val="20"/>
          <w:szCs w:val="20"/>
          <w:color w:val="auto"/>
        </w:rPr>
        <w:t xml:space="preserve"> Soliciting material pursuant to Rule 14a-11(C) or Rule 14a-12</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Active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1480185</wp:posOffset>
            </wp:positionH>
            <wp:positionV relativeFrom="paragraph">
              <wp:posOffset>60325</wp:posOffset>
            </wp:positionV>
            <wp:extent cx="43180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18000" cy="34290"/>
                    </a:xfrm>
                    <a:prstGeom prst="rect">
                      <a:avLst/>
                    </a:prstGeom>
                    <a:noFill/>
                  </pic:spPr>
                </pic:pic>
              </a:graphicData>
            </a:graphic>
          </wp:anchor>
        </w:drawing>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80645</wp:posOffset>
            </wp:positionV>
            <wp:extent cx="603313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3135" cy="34290"/>
                    </a:xfrm>
                    <a:prstGeom prst="rect">
                      <a:avLst/>
                    </a:prstGeom>
                    <a:noFill/>
                  </pic:spPr>
                </pic:pic>
              </a:graphicData>
            </a:graphic>
          </wp:anchor>
        </w:drawing>
      </w:r>
    </w:p>
    <w:p>
      <w:pPr>
        <w:spacing w:after="0" w:line="227" w:lineRule="exact"/>
        <w:rPr>
          <w:sz w:val="24"/>
          <w:szCs w:val="24"/>
          <w:color w:val="auto"/>
        </w:rPr>
      </w:pPr>
    </w:p>
    <w:p>
      <w:pPr>
        <w:ind w:left="26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20" w:lineRule="exact"/>
        <w:rPr>
          <w:sz w:val="24"/>
          <w:szCs w:val="24"/>
          <w:color w:val="auto"/>
        </w:rPr>
      </w:pPr>
    </w:p>
    <w:p>
      <w:pPr>
        <w:ind w:left="20"/>
        <w:spacing w:after="0"/>
        <w:tabs>
          <w:tab w:leader="none" w:pos="50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19"/>
          <w:szCs w:val="19"/>
          <w:color w:val="auto"/>
        </w:rPr>
        <w:t>No fee required.</w:t>
      </w:r>
    </w:p>
    <w:p>
      <w:pPr>
        <w:spacing w:after="0" w:line="22" w:lineRule="exact"/>
        <w:rPr>
          <w:sz w:val="24"/>
          <w:szCs w:val="24"/>
          <w:color w:val="auto"/>
        </w:rPr>
      </w:pPr>
    </w:p>
    <w:p>
      <w:pPr>
        <w:ind w:left="260" w:hanging="238"/>
        <w:spacing w:after="0"/>
        <w:tabs>
          <w:tab w:leader="none" w:pos="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  Fee computed on table below per Exchange Act Rules 14a-6(i)(1) and 0-11</w:t>
      </w:r>
    </w:p>
    <w:p>
      <w:pPr>
        <w:spacing w:after="0" w:line="282" w:lineRule="exact"/>
        <w:rPr>
          <w:rFonts w:ascii="Arial" w:cs="Arial" w:eastAsia="Arial" w:hAnsi="Arial"/>
          <w:sz w:val="22"/>
          <w:szCs w:val="22"/>
          <w:color w:val="auto"/>
        </w:rPr>
      </w:pPr>
    </w:p>
    <w:p>
      <w:pPr>
        <w:ind w:left="880" w:hanging="359"/>
        <w:spacing w:after="0"/>
        <w:tabs>
          <w:tab w:leader="none" w:pos="880" w:val="left"/>
        </w:tabs>
        <w:numPr>
          <w:ilvl w:val="1"/>
          <w:numId w:val="2"/>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9" w:lineRule="exact"/>
        <w:rPr>
          <w:rFonts w:ascii="Arial" w:cs="Arial" w:eastAsia="Arial" w:hAnsi="Arial"/>
          <w:sz w:val="22"/>
          <w:szCs w:val="22"/>
          <w:color w:val="auto"/>
        </w:rPr>
      </w:pPr>
    </w:p>
    <w:p>
      <w:pPr>
        <w:ind w:left="880" w:hanging="359"/>
        <w:spacing w:after="0"/>
        <w:tabs>
          <w:tab w:leader="none" w:pos="880" w:val="left"/>
        </w:tabs>
        <w:numPr>
          <w:ilvl w:val="1"/>
          <w:numId w:val="2"/>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9" w:lineRule="exact"/>
        <w:rPr>
          <w:rFonts w:ascii="Arial" w:cs="Arial" w:eastAsia="Arial" w:hAnsi="Arial"/>
          <w:sz w:val="22"/>
          <w:szCs w:val="22"/>
          <w:color w:val="auto"/>
        </w:rPr>
      </w:pPr>
    </w:p>
    <w:p>
      <w:pPr>
        <w:ind w:left="880" w:right="420" w:hanging="359"/>
        <w:spacing w:after="0" w:line="251" w:lineRule="auto"/>
        <w:tabs>
          <w:tab w:leader="none" w:pos="880" w:val="left"/>
        </w:tabs>
        <w:numPr>
          <w:ilvl w:val="1"/>
          <w:numId w:val="2"/>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6" w:lineRule="exact"/>
        <w:rPr>
          <w:rFonts w:ascii="Arial" w:cs="Arial" w:eastAsia="Arial" w:hAnsi="Arial"/>
          <w:sz w:val="22"/>
          <w:szCs w:val="22"/>
          <w:color w:val="auto"/>
        </w:rPr>
      </w:pPr>
    </w:p>
    <w:p>
      <w:pPr>
        <w:ind w:left="880" w:hanging="359"/>
        <w:spacing w:after="0"/>
        <w:tabs>
          <w:tab w:leader="none" w:pos="880" w:val="left"/>
        </w:tabs>
        <w:numPr>
          <w:ilvl w:val="1"/>
          <w:numId w:val="2"/>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9" w:lineRule="exact"/>
        <w:rPr>
          <w:rFonts w:ascii="Arial" w:cs="Arial" w:eastAsia="Arial" w:hAnsi="Arial"/>
          <w:sz w:val="22"/>
          <w:szCs w:val="22"/>
          <w:color w:val="auto"/>
        </w:rPr>
      </w:pPr>
    </w:p>
    <w:p>
      <w:pPr>
        <w:ind w:left="880" w:hanging="359"/>
        <w:spacing w:after="0"/>
        <w:tabs>
          <w:tab w:leader="none" w:pos="880" w:val="left"/>
        </w:tabs>
        <w:numPr>
          <w:ilvl w:val="1"/>
          <w:numId w:val="2"/>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-2337435</wp:posOffset>
            </wp:positionV>
            <wp:extent cx="692467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4675" cy="342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-1694180</wp:posOffset>
            </wp:positionV>
            <wp:extent cx="69246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4675" cy="342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-896620</wp:posOffset>
            </wp:positionV>
            <wp:extent cx="692467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4675" cy="342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-253365</wp:posOffset>
            </wp:positionV>
            <wp:extent cx="692467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4675" cy="342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389255</wp:posOffset>
            </wp:positionV>
            <wp:extent cx="692467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46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20"/>
        <w:spacing w:after="0"/>
        <w:tabs>
          <w:tab w:leader="none" w:pos="50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389255</wp:posOffset>
            </wp:positionV>
            <wp:extent cx="692467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46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520" w:hanging="498"/>
        <w:spacing w:after="0"/>
        <w:tabs>
          <w:tab w:leader="none" w:pos="254" w:val="left"/>
        </w:tabs>
        <w:numPr>
          <w:ilvl w:val="0"/>
          <w:numId w:val="3"/>
        </w:numPr>
        <w:rPr>
          <w:rFonts w:ascii="Arial" w:cs="Arial" w:eastAsia="Arial" w:hAnsi="Arial"/>
          <w:sz w:val="22"/>
          <w:szCs w:val="22"/>
          <w:color w:val="auto"/>
        </w:rPr>
      </w:pPr>
      <w:r>
        <w:rPr>
          <w:rFonts w:ascii="Arial" w:cs="Arial" w:eastAsia="Arial" w:hAnsi="Arial"/>
          <w:sz w:val="22"/>
          <w:szCs w:val="22"/>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7" w:lineRule="exact"/>
        <w:rPr>
          <w:rFonts w:ascii="Arial" w:cs="Arial" w:eastAsia="Arial" w:hAnsi="Arial"/>
          <w:sz w:val="22"/>
          <w:szCs w:val="22"/>
          <w:color w:val="auto"/>
        </w:rPr>
      </w:pPr>
    </w:p>
    <w:p>
      <w:pPr>
        <w:ind w:left="880" w:hanging="359"/>
        <w:spacing w:after="0"/>
        <w:tabs>
          <w:tab w:leader="none" w:pos="880" w:val="left"/>
        </w:tabs>
        <w:numPr>
          <w:ilvl w:val="1"/>
          <w:numId w:val="3"/>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389255</wp:posOffset>
            </wp:positionV>
            <wp:extent cx="692467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4675" cy="34290"/>
                    </a:xfrm>
                    <a:prstGeom prst="rect">
                      <a:avLst/>
                    </a:prstGeom>
                    <a:noFill/>
                  </pic:spPr>
                </pic:pic>
              </a:graphicData>
            </a:graphic>
          </wp:anchor>
        </w:drawing>
      </w:r>
    </w:p>
    <w:p>
      <w:pPr>
        <w:sectPr>
          <w:pgSz w:w="11900" w:h="16838" w:orient="portrait"/>
          <w:cols w:equalWidth="0" w:num="1">
            <w:col w:w="11240"/>
          </w:cols>
          <w:pgMar w:left="240" w:top="220" w:right="419" w:bottom="439" w:gutter="0" w:footer="0" w:header="0"/>
        </w:sectPr>
      </w:pPr>
    </w:p>
    <w:bookmarkStart w:id="1" w:name="page2"/>
    <w:bookmarkEnd w:id="1"/>
    <w:p>
      <w:pPr>
        <w:ind w:left="880" w:hanging="359"/>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Form, schedule or registration statement number: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0" w:lineRule="exact"/>
        <w:rPr>
          <w:rFonts w:ascii="Arial" w:cs="Arial" w:eastAsia="Arial" w:hAnsi="Arial"/>
          <w:sz w:val="22"/>
          <w:szCs w:val="22"/>
          <w:color w:val="auto"/>
        </w:rPr>
      </w:pPr>
    </w:p>
    <w:p>
      <w:pPr>
        <w:ind w:left="880" w:hanging="359"/>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9" w:lineRule="exact"/>
        <w:rPr>
          <w:rFonts w:ascii="Arial" w:cs="Arial" w:eastAsia="Arial" w:hAnsi="Arial"/>
          <w:sz w:val="22"/>
          <w:szCs w:val="22"/>
          <w:color w:val="auto"/>
        </w:rPr>
      </w:pPr>
    </w:p>
    <w:p>
      <w:pPr>
        <w:ind w:left="880" w:hanging="359"/>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-896620</wp:posOffset>
            </wp:positionV>
            <wp:extent cx="692467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4675" cy="342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-253365</wp:posOffset>
            </wp:positionV>
            <wp:extent cx="692467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4675" cy="342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389255</wp:posOffset>
            </wp:positionV>
            <wp:extent cx="692467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4675" cy="342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624840</wp:posOffset>
            </wp:positionV>
            <wp:extent cx="214376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11525 S</w:t>
      </w:r>
      <w:r>
        <w:rPr>
          <w:rFonts w:ascii="Arial" w:cs="Arial" w:eastAsia="Arial" w:hAnsi="Arial"/>
          <w:sz w:val="13"/>
          <w:szCs w:val="13"/>
          <w:color w:val="auto"/>
        </w:rPr>
        <w:t>TONEHOLLOW</w:t>
      </w:r>
      <w:r>
        <w:rPr>
          <w:rFonts w:ascii="Arial" w:cs="Arial" w:eastAsia="Arial" w:hAnsi="Arial"/>
          <w:sz w:val="22"/>
          <w:szCs w:val="22"/>
          <w:color w:val="auto"/>
        </w:rPr>
        <w:t xml:space="preserve"> D</w:t>
      </w:r>
      <w:r>
        <w:rPr>
          <w:rFonts w:ascii="Arial" w:cs="Arial" w:eastAsia="Arial" w:hAnsi="Arial"/>
          <w:sz w:val="13"/>
          <w:szCs w:val="13"/>
          <w:color w:val="auto"/>
        </w:rPr>
        <w:t>RIVE</w:t>
      </w:r>
      <w:r>
        <w:rPr>
          <w:rFonts w:ascii="Arial" w:cs="Arial" w:eastAsia="Arial" w:hAnsi="Arial"/>
          <w:sz w:val="22"/>
          <w:szCs w:val="22"/>
          <w:color w:val="auto"/>
        </w:rPr>
        <w:t>, S</w:t>
      </w:r>
      <w:r>
        <w:rPr>
          <w:rFonts w:ascii="Arial" w:cs="Arial" w:eastAsia="Arial" w:hAnsi="Arial"/>
          <w:sz w:val="13"/>
          <w:szCs w:val="13"/>
          <w:color w:val="auto"/>
        </w:rPr>
        <w:t>UITE</w:t>
      </w:r>
      <w:r>
        <w:rPr>
          <w:rFonts w:ascii="Arial" w:cs="Arial" w:eastAsia="Arial" w:hAnsi="Arial"/>
          <w:sz w:val="22"/>
          <w:szCs w:val="22"/>
          <w:color w:val="auto"/>
        </w:rPr>
        <w:t xml:space="preserve"> 110 A</w:t>
      </w:r>
      <w:r>
        <w:rPr>
          <w:rFonts w:ascii="Arial" w:cs="Arial" w:eastAsia="Arial" w:hAnsi="Arial"/>
          <w:sz w:val="13"/>
          <w:szCs w:val="13"/>
          <w:color w:val="auto"/>
        </w:rPr>
        <w:t>USTIN</w:t>
      </w:r>
      <w:r>
        <w:rPr>
          <w:rFonts w:ascii="Arial" w:cs="Arial" w:eastAsia="Arial" w:hAnsi="Arial"/>
          <w:sz w:val="22"/>
          <w:szCs w:val="22"/>
          <w:color w:val="auto"/>
        </w:rPr>
        <w:t>, T</w:t>
      </w:r>
      <w:r>
        <w:rPr>
          <w:rFonts w:ascii="Arial" w:cs="Arial" w:eastAsia="Arial" w:hAnsi="Arial"/>
          <w:sz w:val="13"/>
          <w:szCs w:val="13"/>
          <w:color w:val="auto"/>
        </w:rPr>
        <w:t>EXAS</w:t>
      </w:r>
      <w:r>
        <w:rPr>
          <w:rFonts w:ascii="Arial" w:cs="Arial" w:eastAsia="Arial" w:hAnsi="Arial"/>
          <w:sz w:val="22"/>
          <w:szCs w:val="22"/>
          <w:color w:val="auto"/>
        </w:rPr>
        <w:t xml:space="preserve"> 78758</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15, 2002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206" w:lineRule="exact"/>
        <w:rPr>
          <w:sz w:val="20"/>
          <w:szCs w:val="20"/>
          <w:color w:val="auto"/>
        </w:rPr>
      </w:pPr>
    </w:p>
    <w:p>
      <w:pPr>
        <w:jc w:val="both"/>
        <w:ind w:right="320" w:firstLine="316"/>
        <w:spacing w:after="0"/>
        <w:rPr>
          <w:sz w:val="20"/>
          <w:szCs w:val="20"/>
          <w:color w:val="auto"/>
        </w:rPr>
      </w:pPr>
      <w:r>
        <w:rPr>
          <w:rFonts w:ascii="Arial" w:cs="Arial" w:eastAsia="Arial" w:hAnsi="Arial"/>
          <w:sz w:val="22"/>
          <w:szCs w:val="22"/>
          <w:color w:val="auto"/>
        </w:rPr>
        <w:t>You are cordially invited to attend the 2002 Annual Meeting of Stockholders of Active Power, Inc., which will be held at the company's manufacturing facility, located at 2128 Braker Lane, Austin, TX 78758 (Braker 12), on Thursday, April 25, 2002, at 3:00 p.m. Central Time.</w:t>
      </w:r>
    </w:p>
    <w:p>
      <w:pPr>
        <w:spacing w:after="0" w:line="186" w:lineRule="exact"/>
        <w:rPr>
          <w:sz w:val="20"/>
          <w:szCs w:val="20"/>
          <w:color w:val="auto"/>
        </w:rPr>
      </w:pPr>
    </w:p>
    <w:p>
      <w:pPr>
        <w:ind w:right="540" w:firstLine="324"/>
        <w:spacing w:after="0" w:line="251" w:lineRule="auto"/>
        <w:rPr>
          <w:sz w:val="20"/>
          <w:szCs w:val="20"/>
          <w:color w:val="auto"/>
        </w:rPr>
      </w:pPr>
      <w:r>
        <w:rPr>
          <w:rFonts w:ascii="Arial" w:cs="Arial" w:eastAsia="Arial" w:hAnsi="Arial"/>
          <w:sz w:val="22"/>
          <w:szCs w:val="22"/>
          <w:color w:val="auto"/>
        </w:rPr>
        <w:t>Details of the business to be conducted at the annual meeting are given in the accompanying Notice of Annual Meeting of Stockholders and Proxy Statement.</w:t>
      </w:r>
    </w:p>
    <w:p>
      <w:pPr>
        <w:spacing w:after="0" w:line="173" w:lineRule="exact"/>
        <w:rPr>
          <w:sz w:val="20"/>
          <w:szCs w:val="20"/>
          <w:color w:val="auto"/>
        </w:rPr>
      </w:pPr>
    </w:p>
    <w:p>
      <w:pPr>
        <w:ind w:right="60" w:firstLine="312"/>
        <w:spacing w:after="0"/>
        <w:rPr>
          <w:sz w:val="20"/>
          <w:szCs w:val="20"/>
          <w:color w:val="auto"/>
        </w:rPr>
      </w:pPr>
      <w:r>
        <w:rPr>
          <w:rFonts w:ascii="Arial" w:cs="Arial" w:eastAsia="Arial" w:hAnsi="Arial"/>
          <w:sz w:val="22"/>
          <w:szCs w:val="22"/>
          <w:color w:val="auto"/>
        </w:rPr>
        <w:t>After careful consideration, our Board of Directors has unanimously approved the proposal set forth in the Proxy Statement and recommends that you vote in favor of such proposal and for both of the directors nominated for election to the Active Power, Inc. Board of Directors.</w:t>
      </w:r>
    </w:p>
    <w:p>
      <w:pPr>
        <w:spacing w:after="0" w:line="186" w:lineRule="exact"/>
        <w:rPr>
          <w:sz w:val="20"/>
          <w:szCs w:val="20"/>
          <w:color w:val="auto"/>
        </w:rPr>
      </w:pPr>
    </w:p>
    <w:p>
      <w:pPr>
        <w:ind w:right="120" w:firstLine="316"/>
        <w:spacing w:after="0" w:line="249" w:lineRule="auto"/>
        <w:rPr>
          <w:sz w:val="20"/>
          <w:szCs w:val="20"/>
          <w:color w:val="auto"/>
        </w:rPr>
      </w:pPr>
      <w:r>
        <w:rPr>
          <w:rFonts w:ascii="Arial" w:cs="Arial" w:eastAsia="Arial" w:hAnsi="Arial"/>
          <w:sz w:val="21"/>
          <w:szCs w:val="21"/>
          <w:color w:val="auto"/>
        </w:rPr>
        <w:t>You may vote your shares by telephone, by the Internet or by signing, dating and returning the enclosed proxy promptly in the accompanying reply envelope. Telephone and Internet voting instructions can be found on the attached proxy card. Representation of your shares at the meeting is very important. Accordingly, whether or not you plan to attend the meeting, we urge you to submit your proxy promptly by one of the methods offered. If you are able to attend the annual meeting and wish to change your proxy vote, you may do so simply by voting in person at the meeting.</w:t>
      </w:r>
    </w:p>
    <w:p>
      <w:pPr>
        <w:spacing w:after="0" w:line="192" w:lineRule="exact"/>
        <w:rPr>
          <w:sz w:val="20"/>
          <w:szCs w:val="20"/>
          <w:color w:val="auto"/>
        </w:rPr>
      </w:pPr>
    </w:p>
    <w:p>
      <w:pPr>
        <w:jc w:val="center"/>
        <w:ind w:left="32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333375</wp:posOffset>
            </wp:positionV>
            <wp:extent cx="180086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8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Joseph F. Pinkerton III</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i w:val="1"/>
          <w:iCs w:val="1"/>
          <w:color w:val="auto"/>
        </w:rPr>
        <w:t>Chairman of the Board and Chief Executive Officer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162560</wp:posOffset>
            </wp:positionV>
            <wp:extent cx="217360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3605" cy="342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ANNUAL MEETING OF STOCKHOLDERS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BE HELD APRIL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153670</wp:posOffset>
            </wp:positionV>
            <wp:extent cx="217360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3605" cy="342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T</w:t>
      </w:r>
      <w:r>
        <w:rPr>
          <w:rFonts w:ascii="Arial" w:cs="Arial" w:eastAsia="Arial" w:hAnsi="Arial"/>
          <w:sz w:val="13"/>
          <w:szCs w:val="13"/>
          <w:color w:val="auto"/>
        </w:rPr>
        <w:t>O</w:t>
      </w:r>
      <w:r>
        <w:rPr>
          <w:rFonts w:ascii="Arial" w:cs="Arial" w:eastAsia="Arial" w:hAnsi="Arial"/>
          <w:sz w:val="22"/>
          <w:szCs w:val="22"/>
          <w:color w:val="auto"/>
        </w:rPr>
        <w:t xml:space="preserve"> T</w:t>
      </w:r>
      <w:r>
        <w:rPr>
          <w:rFonts w:ascii="Arial" w:cs="Arial" w:eastAsia="Arial" w:hAnsi="Arial"/>
          <w:sz w:val="13"/>
          <w:szCs w:val="13"/>
          <w:color w:val="auto"/>
        </w:rPr>
        <w:t>HE</w:t>
      </w:r>
      <w:r>
        <w:rPr>
          <w:rFonts w:ascii="Arial" w:cs="Arial" w:eastAsia="Arial" w:hAnsi="Arial"/>
          <w:sz w:val="22"/>
          <w:szCs w:val="22"/>
          <w:color w:val="auto"/>
        </w:rPr>
        <w:t xml:space="preserve"> S</w:t>
      </w:r>
      <w:r>
        <w:rPr>
          <w:rFonts w:ascii="Arial" w:cs="Arial" w:eastAsia="Arial" w:hAnsi="Arial"/>
          <w:sz w:val="13"/>
          <w:szCs w:val="13"/>
          <w:color w:val="auto"/>
        </w:rPr>
        <w:t>TOCKHOLDERS</w:t>
      </w:r>
      <w:r>
        <w:rPr>
          <w:rFonts w:ascii="Arial" w:cs="Arial" w:eastAsia="Arial" w:hAnsi="Arial"/>
          <w:sz w:val="22"/>
          <w:szCs w:val="22"/>
          <w:color w:val="auto"/>
        </w:rPr>
        <w:t xml:space="preserve"> O</w:t>
      </w:r>
      <w:r>
        <w:rPr>
          <w:rFonts w:ascii="Arial" w:cs="Arial" w:eastAsia="Arial" w:hAnsi="Arial"/>
          <w:sz w:val="13"/>
          <w:szCs w:val="13"/>
          <w:color w:val="auto"/>
        </w:rPr>
        <w:t>F</w:t>
      </w:r>
      <w:r>
        <w:rPr>
          <w:rFonts w:ascii="Arial" w:cs="Arial" w:eastAsia="Arial" w:hAnsi="Arial"/>
          <w:sz w:val="22"/>
          <w:szCs w:val="22"/>
          <w:color w:val="auto"/>
        </w:rPr>
        <w:t xml:space="preserve"> A</w:t>
      </w:r>
      <w:r>
        <w:rPr>
          <w:rFonts w:ascii="Arial" w:cs="Arial" w:eastAsia="Arial" w:hAnsi="Arial"/>
          <w:sz w:val="13"/>
          <w:szCs w:val="13"/>
          <w:color w:val="auto"/>
        </w:rPr>
        <w:t>CTIVE</w:t>
      </w:r>
      <w:r>
        <w:rPr>
          <w:rFonts w:ascii="Arial" w:cs="Arial" w:eastAsia="Arial" w:hAnsi="Arial"/>
          <w:sz w:val="22"/>
          <w:szCs w:val="22"/>
          <w:color w:val="auto"/>
        </w:rPr>
        <w:t xml:space="preserve"> P</w:t>
      </w:r>
      <w:r>
        <w:rPr>
          <w:rFonts w:ascii="Arial" w:cs="Arial" w:eastAsia="Arial" w:hAnsi="Arial"/>
          <w:sz w:val="13"/>
          <w:szCs w:val="13"/>
          <w:color w:val="auto"/>
        </w:rPr>
        <w:t>OWER</w:t>
      </w:r>
      <w:r>
        <w:rPr>
          <w:rFonts w:ascii="Arial" w:cs="Arial" w:eastAsia="Arial" w:hAnsi="Arial"/>
          <w:sz w:val="22"/>
          <w:szCs w:val="22"/>
          <w:color w:val="auto"/>
        </w:rPr>
        <w:t>, I</w:t>
      </w:r>
      <w:r>
        <w:rPr>
          <w:rFonts w:ascii="Arial" w:cs="Arial" w:eastAsia="Arial" w:hAnsi="Arial"/>
          <w:sz w:val="13"/>
          <w:szCs w:val="13"/>
          <w:color w:val="auto"/>
        </w:rPr>
        <w:t>NC</w:t>
      </w:r>
      <w:r>
        <w:rPr>
          <w:rFonts w:ascii="Arial" w:cs="Arial" w:eastAsia="Arial" w:hAnsi="Arial"/>
          <w:sz w:val="22"/>
          <w:szCs w:val="22"/>
          <w:color w:val="auto"/>
        </w:rPr>
        <w:t>.:</w:t>
      </w:r>
    </w:p>
    <w:p>
      <w:pPr>
        <w:spacing w:after="0" w:line="206" w:lineRule="exact"/>
        <w:rPr>
          <w:sz w:val="20"/>
          <w:szCs w:val="20"/>
          <w:color w:val="auto"/>
        </w:rPr>
      </w:pPr>
    </w:p>
    <w:p>
      <w:pPr>
        <w:ind w:right="100" w:firstLine="324"/>
        <w:spacing w:after="0" w:line="258" w:lineRule="auto"/>
        <w:rPr>
          <w:sz w:val="20"/>
          <w:szCs w:val="20"/>
          <w:color w:val="auto"/>
        </w:rPr>
      </w:pPr>
      <w:r>
        <w:rPr>
          <w:rFonts w:ascii="Arial" w:cs="Arial" w:eastAsia="Arial" w:hAnsi="Arial"/>
          <w:sz w:val="21"/>
          <w:szCs w:val="21"/>
          <w:color w:val="auto"/>
        </w:rPr>
        <w:t>NOTICE IS HEREBY GIVEN that the Annual Meeting of Stockholders of Active Power, Inc., a Delaware corporation, will be held on Thursday, April 25, 2002, at 3:00 p.m. Central Time, at 2128 Braker Lane, Austin, Texas 78758 (Braker 12), for the following purposes, as more fully described in the Proxy Statement accompanying this Notice:</w:t>
      </w:r>
    </w:p>
    <w:p>
      <w:pPr>
        <w:spacing w:after="0" w:line="167" w:lineRule="exact"/>
        <w:rPr>
          <w:sz w:val="20"/>
          <w:szCs w:val="20"/>
          <w:color w:val="auto"/>
        </w:rPr>
      </w:pPr>
    </w:p>
    <w:p>
      <w:pPr>
        <w:ind w:right="600" w:firstLine="332"/>
        <w:spacing w:after="0" w:line="251" w:lineRule="auto"/>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elect two Class II directors to serve until our 2005 annual meeting of stockholders, or until their successors are duly elected and qualified;</w:t>
      </w:r>
    </w:p>
    <w:p>
      <w:pPr>
        <w:sectPr>
          <w:pgSz w:w="11900" w:h="16838" w:orient="portrait"/>
          <w:cols w:equalWidth="0" w:num="1">
            <w:col w:w="11420"/>
          </w:cols>
          <w:pgMar w:left="240" w:top="118" w:right="239" w:bottom="55" w:gutter="0" w:footer="0" w:header="0"/>
        </w:sectPr>
      </w:pPr>
    </w:p>
    <w:bookmarkStart w:id="2" w:name="page3"/>
    <w:bookmarkEnd w:id="2"/>
    <w:p>
      <w:pPr>
        <w:ind w:right="820" w:firstLine="332"/>
        <w:spacing w:after="0" w:line="251" w:lineRule="auto"/>
        <w:tabs>
          <w:tab w:leader="none" w:pos="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ratify the appointment of Ernst &amp; Young LLP as independent auditors for our company for the fiscal year ending December 31, 2002; and</w:t>
      </w:r>
    </w:p>
    <w:p>
      <w:pPr>
        <w:spacing w:after="0" w:line="173" w:lineRule="exact"/>
        <w:rPr>
          <w:rFonts w:ascii="Arial" w:cs="Arial" w:eastAsia="Arial" w:hAnsi="Arial"/>
          <w:sz w:val="22"/>
          <w:szCs w:val="22"/>
          <w:color w:val="auto"/>
        </w:rPr>
      </w:pPr>
    </w:p>
    <w:p>
      <w:pPr>
        <w:ind w:left="540" w:hanging="20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To transact such other business as may properly come before the meeting or any adjournment or adjournments thereof.</w:t>
      </w:r>
    </w:p>
    <w:p>
      <w:pPr>
        <w:spacing w:after="0" w:line="241" w:lineRule="exact"/>
        <w:rPr>
          <w:sz w:val="20"/>
          <w:szCs w:val="20"/>
          <w:color w:val="auto"/>
        </w:rPr>
      </w:pPr>
    </w:p>
    <w:p>
      <w:pPr>
        <w:ind w:right="440" w:firstLine="324"/>
        <w:spacing w:after="0" w:line="258" w:lineRule="auto"/>
        <w:rPr>
          <w:sz w:val="20"/>
          <w:szCs w:val="20"/>
          <w:color w:val="auto"/>
        </w:rPr>
      </w:pPr>
      <w:r>
        <w:rPr>
          <w:rFonts w:ascii="Arial" w:cs="Arial" w:eastAsia="Arial" w:hAnsi="Arial"/>
          <w:sz w:val="21"/>
          <w:szCs w:val="21"/>
          <w:color w:val="auto"/>
        </w:rPr>
        <w:t>Only stockholders of record at the close of business on March 1, 2002 are entitled to notice of and to vote at the Annual Meeting. Our stock transfer books will remain open between the record date and the date of the meeting. A list of stockholders entitled to vote at the Annual Meeting will be available for inspection at our executive offices.</w:t>
      </w:r>
    </w:p>
    <w:p>
      <w:pPr>
        <w:spacing w:after="0" w:line="167" w:lineRule="exact"/>
        <w:rPr>
          <w:sz w:val="20"/>
          <w:szCs w:val="20"/>
          <w:color w:val="auto"/>
        </w:rPr>
      </w:pPr>
    </w:p>
    <w:p>
      <w:pPr>
        <w:ind w:firstLine="312"/>
        <w:spacing w:after="0" w:line="234" w:lineRule="auto"/>
        <w:rPr>
          <w:sz w:val="20"/>
          <w:szCs w:val="20"/>
          <w:color w:val="auto"/>
        </w:rPr>
      </w:pPr>
      <w:r>
        <w:rPr>
          <w:rFonts w:ascii="Arial" w:cs="Arial" w:eastAsia="Arial" w:hAnsi="Arial"/>
          <w:sz w:val="22"/>
          <w:szCs w:val="22"/>
          <w:color w:val="auto"/>
        </w:rPr>
        <w:t>All stockholders are cordially invited to attend the meeting in person. Whether or not you plan to attend, please vote your shares by telephone, by the Internet or by completing, signing, dating and returning the enclosed proxy as promptly as possible in the envelope enclosed for your convenience. Telephone and Internet voting instructions can be found on the attached proxy card.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by proxy, your proxy will be revoked automatically and only your vote at the Annual Meeting will be counted.</w:t>
      </w:r>
    </w:p>
    <w:p>
      <w:pPr>
        <w:spacing w:after="0" w:line="205"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333375</wp:posOffset>
            </wp:positionV>
            <wp:extent cx="1509395"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9395" cy="60007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Austin, Texas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March 15,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David S. Gino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300355</wp:posOffset>
            </wp:positionV>
            <wp:extent cx="7272020" cy="762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762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5940"/>
          </w:cols>
          <w:pgMar w:left="240" w:top="118" w:right="259" w:bottom="0" w:gutter="0" w:footer="0" w:header="0"/>
          <w:type w:val="continuous"/>
        </w:sectPr>
      </w:pPr>
    </w:p>
    <w:p>
      <w:pPr>
        <w:spacing w:after="0" w:line="360" w:lineRule="exact"/>
        <w:rPr>
          <w:sz w:val="20"/>
          <w:szCs w:val="20"/>
          <w:color w:val="auto"/>
        </w:rPr>
      </w:pPr>
    </w:p>
    <w:p>
      <w:pPr>
        <w:ind w:left="100" w:right="220"/>
        <w:spacing w:after="0" w:line="239" w:lineRule="auto"/>
        <w:rPr>
          <w:sz w:val="20"/>
          <w:szCs w:val="20"/>
          <w:color w:val="auto"/>
        </w:rPr>
      </w:pPr>
      <w:r>
        <w:rPr>
          <w:rFonts w:ascii="Arial" w:cs="Arial" w:eastAsia="Arial" w:hAnsi="Arial"/>
          <w:sz w:val="22"/>
          <w:szCs w:val="22"/>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pacing w:after="0" w:line="28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[This page intentionally left blank]</w:t>
      </w:r>
    </w:p>
    <w:p>
      <w:pPr>
        <w:spacing w:after="0" w:line="200"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ACTIVE POWER,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11525 Stonehollow Drive, Suite 110</w:t>
      </w:r>
    </w:p>
    <w:p>
      <w:pPr>
        <w:jc w:val="center"/>
        <w:ind w:right="-39"/>
        <w:spacing w:after="0"/>
        <w:rPr>
          <w:sz w:val="20"/>
          <w:szCs w:val="20"/>
          <w:color w:val="auto"/>
        </w:rPr>
      </w:pPr>
      <w:r>
        <w:rPr>
          <w:rFonts w:ascii="Arial" w:cs="Arial" w:eastAsia="Arial" w:hAnsi="Arial"/>
          <w:sz w:val="22"/>
          <w:szCs w:val="22"/>
          <w:b w:val="1"/>
          <w:bCs w:val="1"/>
          <w:color w:val="auto"/>
        </w:rPr>
        <w:t>Austin, Texas 78758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120650</wp:posOffset>
            </wp:positionV>
            <wp:extent cx="131635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16355" cy="34290"/>
                    </a:xfrm>
                    <a:prstGeom prst="rect">
                      <a:avLst/>
                    </a:prstGeom>
                    <a:noFill/>
                  </pic:spPr>
                </pic:pic>
              </a:graphicData>
            </a:graphic>
          </wp:anchor>
        </w:drawing>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135890</wp:posOffset>
            </wp:positionV>
            <wp:extent cx="131635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6355"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 THE ANNUAL MEETING OF STOCKHOLDERS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ON APRIL 25, 2002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ind w:right="20" w:firstLine="320"/>
        <w:spacing w:after="0" w:line="238" w:lineRule="auto"/>
        <w:rPr>
          <w:sz w:val="20"/>
          <w:szCs w:val="20"/>
          <w:color w:val="auto"/>
        </w:rPr>
      </w:pPr>
      <w:r>
        <w:rPr>
          <w:rFonts w:ascii="Arial" w:cs="Arial" w:eastAsia="Arial" w:hAnsi="Arial"/>
          <w:sz w:val="22"/>
          <w:szCs w:val="22"/>
          <w:color w:val="auto"/>
        </w:rPr>
        <w:t>The enclosed proxy is solicited on behalf of the Board of Directors of Active Power, Inc., a Delaware corporation, for use at the Annual Meeting of Stockholders to be held on April 25, 2002. The annual meeting will be held at 3:00 p.m. Central Time at 2128 Braker Lane, Austin, Texas 78758 (Braker 12). These proxy solicitation materials were mailed on or about March 15, 2002, to all stockholders entitled to vote at our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212" w:lineRule="exact"/>
        <w:rPr>
          <w:sz w:val="20"/>
          <w:szCs w:val="20"/>
          <w:color w:val="auto"/>
        </w:rPr>
      </w:pPr>
    </w:p>
    <w:p>
      <w:pPr>
        <w:ind w:right="40" w:firstLine="320"/>
        <w:spacing w:after="0" w:line="249" w:lineRule="auto"/>
        <w:rPr>
          <w:sz w:val="20"/>
          <w:szCs w:val="20"/>
          <w:color w:val="auto"/>
        </w:rPr>
      </w:pPr>
      <w:r>
        <w:rPr>
          <w:rFonts w:ascii="Arial" w:cs="Arial" w:eastAsia="Arial" w:hAnsi="Arial"/>
          <w:sz w:val="21"/>
          <w:szCs w:val="21"/>
          <w:color w:val="auto"/>
        </w:rPr>
        <w:t>The election of directors and specific proposal to be considered and acted upon at our annual meeting are summarized in the accompanying notice and are described in more detail in this proxy statement. On March 1, 2002, the record date for determination of stockholders entitled to notice of and to vote at the annual meeting, we had outstanding 40,878,426 shares of our common stock. Each stockholder is entitled to one vote for each share of common stock held by such stockholder on March 1, 2002. Stockholders may not cumulate votes in the election of directors.</w:t>
      </w:r>
    </w:p>
    <w:p>
      <w:pPr>
        <w:spacing w:after="0" w:line="179" w:lineRule="exact"/>
        <w:rPr>
          <w:sz w:val="20"/>
          <w:szCs w:val="20"/>
          <w:color w:val="auto"/>
        </w:rPr>
      </w:pPr>
    </w:p>
    <w:p>
      <w:pPr>
        <w:ind w:right="40" w:firstLine="312"/>
        <w:spacing w:after="0" w:line="282" w:lineRule="auto"/>
        <w:rPr>
          <w:sz w:val="20"/>
          <w:szCs w:val="20"/>
          <w:color w:val="auto"/>
        </w:rPr>
      </w:pPr>
      <w:r>
        <w:rPr>
          <w:rFonts w:ascii="Arial" w:cs="Arial" w:eastAsia="Arial" w:hAnsi="Arial"/>
          <w:sz w:val="19"/>
          <w:szCs w:val="19"/>
          <w:color w:val="auto"/>
        </w:rPr>
        <w:t>All votes will be tabulated by the inspector of election appointed for the meeting, who will separately tabulate affirmative and negative votes, abstentions and broker non-votes. Abstentions and broker non-votes are counted as present for purposes of determining the presence or absence of a quorum for the transaction of business. Abstentions will be counted towards the tabulations of votes cast on proposals presented to the stockholders and will have the same effect as negative votes, whereas broker non-votes will not be counted for purposes of determining whether a proposal has been approved.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Proxies</w:t>
      </w:r>
    </w:p>
    <w:p>
      <w:pPr>
        <w:sectPr>
          <w:pgSz w:w="11900" w:h="16838" w:orient="portrait"/>
          <w:cols w:equalWidth="0" w:num="1">
            <w:col w:w="11400"/>
          </w:cols>
          <w:pgMar w:left="240" w:top="118" w:right="259" w:bottom="0" w:gutter="0" w:footer="0" w:header="0"/>
          <w:type w:val="continuous"/>
        </w:sectPr>
      </w:pPr>
    </w:p>
    <w:bookmarkStart w:id="3" w:name="page4"/>
    <w:bookmarkEnd w:id="3"/>
    <w:p>
      <w:pPr>
        <w:ind w:right="40" w:firstLine="324"/>
        <w:spacing w:after="0" w:line="275" w:lineRule="auto"/>
        <w:rPr>
          <w:sz w:val="20"/>
          <w:szCs w:val="20"/>
          <w:color w:val="auto"/>
        </w:rPr>
      </w:pPr>
      <w:r>
        <w:rPr>
          <w:rFonts w:ascii="Arial" w:cs="Arial" w:eastAsia="Arial" w:hAnsi="Arial"/>
          <w:sz w:val="19"/>
          <w:szCs w:val="19"/>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 proposed by our board unless the authority to vote for the election of such director is withheld and, if no contrary instructions are given, the proxy will be voted FOR the approval of Proposal 2 described in the accompanying notice and proxy statement. You may revoke or change your Proxy at any time before the annual meeting by filing with our Corporate Secretary at our principal executive offices at 11525 Stonehollow Drive, Suite 110, Austin, Texas 78758, a notice of revocation or another signed proxy with a later date. You may also revoke your proxy by attending the annual meeting and voting in person.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212" w:lineRule="exact"/>
        <w:rPr>
          <w:sz w:val="20"/>
          <w:szCs w:val="20"/>
          <w:color w:val="auto"/>
        </w:rPr>
      </w:pPr>
    </w:p>
    <w:p>
      <w:pPr>
        <w:ind w:firstLine="320"/>
        <w:spacing w:after="0" w:line="287" w:lineRule="auto"/>
        <w:rPr>
          <w:sz w:val="20"/>
          <w:szCs w:val="20"/>
          <w:color w:val="auto"/>
        </w:rPr>
      </w:pPr>
      <w:r>
        <w:rPr>
          <w:rFonts w:ascii="Arial" w:cs="Arial" w:eastAsia="Arial" w:hAnsi="Arial"/>
          <w:sz w:val="19"/>
          <w:szCs w:val="19"/>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w:t>
      </w:r>
    </w:p>
    <w:p>
      <w:pPr>
        <w:spacing w:after="0" w:line="14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Deadline for Receipt of Stockholder Proposals</w:t>
      </w: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Pursuant to Rule 14a-8 under the Securities Exchange Act of 1934, stockholder proposals to be presented at our 2003 annual meeting of stockholders and in our proxy statement and form of proxy relating to that meeting, must be received by us at our principal executive offices in Austin, Texas, addressed to our Secretary, not later than October 15, 2002, the date which is 120 days prior to March 15, 2003. With respect to any stockholder proposal not submitted pursuant to Rule 14a-8 and unless notice is received by us in the manner specified in the previous sentence, persons acting as proxies shall have discretionary authority to vote against any proposal presented at our 2003 annual meeting of stockholders. These proposals must comply with applicable Delaware law, the rules and regulations promulgated by the Securities and Exchange Commission and the procedures set forth in our bylaws.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MATTERS TO BE CONSIDERED AT ANNUAL MEETING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ONE: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ELECTION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9"/>
          <w:szCs w:val="19"/>
          <w:color w:val="auto"/>
        </w:rPr>
        <w:t>Our certificate of incorporation provides that our board of directors be divided into three classes of directors, as nearly equal in size as practicable, and each of which will serve staggered three-year terms or until his or her successor has been duly elected and qualified. At this annual meeting, we will be electing two Class II directors whose terms will expire at our 2005 annual meeting. Our board currently consists of six persons. Both of the nominees listed below are current directors.</w:t>
      </w:r>
    </w:p>
    <w:p>
      <w:pPr>
        <w:spacing w:after="0" w:line="143" w:lineRule="exact"/>
        <w:rPr>
          <w:sz w:val="20"/>
          <w:szCs w:val="20"/>
          <w:color w:val="auto"/>
        </w:rPr>
      </w:pPr>
    </w:p>
    <w:p>
      <w:pPr>
        <w:ind w:right="120" w:firstLine="324"/>
        <w:spacing w:after="0" w:line="287" w:lineRule="auto"/>
        <w:rPr>
          <w:sz w:val="20"/>
          <w:szCs w:val="20"/>
          <w:color w:val="auto"/>
        </w:rPr>
      </w:pPr>
      <w:r>
        <w:rPr>
          <w:rFonts w:ascii="Arial" w:cs="Arial" w:eastAsia="Arial" w:hAnsi="Arial"/>
          <w:sz w:val="19"/>
          <w:szCs w:val="19"/>
          <w:color w:val="auto"/>
        </w:rPr>
        <w:t>Both nominees for election have agreed to serve if elected, and management has no reason to believe that the nominees will be unavailable to serve. In the event a nominee is unable or declines to serve as a director at the time of the annual meeting, the proxies will be voted for any nominee who may be designated by our present board of directors to fill the vacancy. Unless otherwise instructed, the proxy holders will vote the proxies received by them FOR the nominees named below.</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Director</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1"/>
          <w:szCs w:val="21"/>
          <w:color w:val="auto"/>
        </w:rPr>
        <w:t>The following table sets forth the name, age and current position of both nominees for election as one of our directors:</w:t>
      </w:r>
    </w:p>
    <w:p>
      <w:pPr>
        <w:spacing w:after="0" w:line="296" w:lineRule="exact"/>
        <w:rPr>
          <w:sz w:val="20"/>
          <w:szCs w:val="20"/>
          <w:color w:val="auto"/>
        </w:rPr>
      </w:pPr>
    </w:p>
    <w:tbl>
      <w:tblPr>
        <w:tblLayout w:type="fixed"/>
        <w:tblInd w:w="1920" w:type="dxa"/>
        <w:tblCellMar>
          <w:top w:w="0" w:type="dxa"/>
          <w:left w:w="0" w:type="dxa"/>
          <w:bottom w:w="0" w:type="dxa"/>
          <w:right w:w="0" w:type="dxa"/>
        </w:tblCellMar>
      </w:tblPr>
      <w:tr>
        <w:trPr>
          <w:trHeight w:val="253"/>
        </w:trPr>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tcPr>
          <w:p>
            <w:pPr>
              <w:jc w:val="center"/>
              <w:spacing w:after="0"/>
              <w:rPr>
                <w:sz w:val="20"/>
                <w:szCs w:val="20"/>
                <w:color w:val="auto"/>
              </w:rPr>
            </w:pPr>
            <w:r>
              <w:rPr>
                <w:rFonts w:ascii="Arial" w:cs="Arial" w:eastAsia="Arial" w:hAnsi="Arial"/>
                <w:sz w:val="22"/>
                <w:szCs w:val="22"/>
                <w:b w:val="1"/>
                <w:bCs w:val="1"/>
                <w:color w:val="auto"/>
                <w:w w:val="85"/>
              </w:rPr>
              <w:t>Proposed Class</w:t>
            </w:r>
          </w:p>
        </w:tc>
      </w:tr>
      <w:tr>
        <w:trPr>
          <w:trHeight w:val="281"/>
        </w:trPr>
        <w:tc>
          <w:tcPr>
            <w:tcW w:w="3200" w:type="dxa"/>
            <w:vAlign w:val="bottom"/>
          </w:tcPr>
          <w:p>
            <w:pPr>
              <w:spacing w:after="0"/>
              <w:rPr>
                <w:sz w:val="20"/>
                <w:szCs w:val="20"/>
                <w:color w:val="auto"/>
              </w:rPr>
            </w:pPr>
            <w:r>
              <w:rPr>
                <w:rFonts w:ascii="Arial" w:cs="Arial" w:eastAsia="Arial" w:hAnsi="Arial"/>
                <w:sz w:val="22"/>
                <w:szCs w:val="22"/>
                <w:b w:val="1"/>
                <w:bCs w:val="1"/>
                <w:color w:val="auto"/>
              </w:rPr>
              <w:t>Name</w:t>
            </w:r>
          </w:p>
        </w:tc>
        <w:tc>
          <w:tcPr>
            <w:tcW w:w="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2"/>
                <w:szCs w:val="22"/>
                <w:b w:val="1"/>
                <w:bCs w:val="1"/>
                <w:color w:val="auto"/>
                <w:w w:val="86"/>
              </w:rPr>
              <w:t>Age</w:t>
            </w:r>
          </w:p>
        </w:tc>
        <w:tc>
          <w:tcPr>
            <w:tcW w:w="1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9"/>
              </w:rPr>
              <w:t>Current Position</w:t>
            </w:r>
          </w:p>
        </w:tc>
        <w:tc>
          <w:tcPr>
            <w:tcW w:w="16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22"/>
                <w:szCs w:val="22"/>
                <w:b w:val="1"/>
                <w:bCs w:val="1"/>
                <w:color w:val="auto"/>
                <w:w w:val="91"/>
              </w:rPr>
              <w:t>of Director</w:t>
            </w:r>
          </w:p>
        </w:tc>
      </w:tr>
      <w:tr>
        <w:trPr>
          <w:trHeight w:val="98"/>
        </w:trPr>
        <w:tc>
          <w:tcPr>
            <w:tcW w:w="3200" w:type="dxa"/>
            <w:vAlign w:val="bottom"/>
            <w:tcBorders>
              <w:bottom w:val="single" w:sz="8" w:color="9A9A9A"/>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160" w:type="dxa"/>
            <w:vAlign w:val="bottom"/>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r>
      <w:tr>
        <w:trPr>
          <w:trHeight w:val="517"/>
        </w:trPr>
        <w:tc>
          <w:tcPr>
            <w:tcW w:w="3200" w:type="dxa"/>
            <w:vAlign w:val="bottom"/>
          </w:tcPr>
          <w:p>
            <w:pPr>
              <w:spacing w:after="0"/>
              <w:rPr>
                <w:sz w:val="20"/>
                <w:szCs w:val="20"/>
                <w:color w:val="auto"/>
              </w:rPr>
            </w:pPr>
            <w:r>
              <w:rPr>
                <w:rFonts w:ascii="Arial" w:cs="Arial" w:eastAsia="Arial" w:hAnsi="Arial"/>
                <w:sz w:val="22"/>
                <w:szCs w:val="22"/>
                <w:color w:val="auto"/>
              </w:rPr>
              <w:t>Jan H. Lindelow</w:t>
            </w:r>
          </w:p>
        </w:tc>
        <w:tc>
          <w:tcPr>
            <w:tcW w:w="620" w:type="dxa"/>
            <w:vAlign w:val="bottom"/>
            <w:gridSpan w:val="2"/>
          </w:tcPr>
          <w:p>
            <w:pPr>
              <w:jc w:val="center"/>
              <w:ind w:left="52"/>
              <w:spacing w:after="0"/>
              <w:rPr>
                <w:sz w:val="20"/>
                <w:szCs w:val="20"/>
                <w:color w:val="auto"/>
              </w:rPr>
            </w:pPr>
            <w:r>
              <w:rPr>
                <w:rFonts w:ascii="Arial" w:cs="Arial" w:eastAsia="Arial" w:hAnsi="Arial"/>
                <w:sz w:val="22"/>
                <w:szCs w:val="22"/>
                <w:color w:val="auto"/>
                <w:w w:val="89"/>
              </w:rPr>
              <w:t>56</w:t>
            </w:r>
          </w:p>
        </w:tc>
        <w:tc>
          <w:tcPr>
            <w:tcW w:w="1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16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22"/>
                <w:szCs w:val="22"/>
                <w:color w:val="auto"/>
                <w:w w:val="89"/>
              </w:rPr>
              <w:t>Class II</w:t>
            </w:r>
          </w:p>
        </w:tc>
      </w:tr>
      <w:tr>
        <w:trPr>
          <w:trHeight w:val="405"/>
        </w:trPr>
        <w:tc>
          <w:tcPr>
            <w:tcW w:w="3200" w:type="dxa"/>
            <w:vAlign w:val="bottom"/>
          </w:tcPr>
          <w:p>
            <w:pPr>
              <w:spacing w:after="0"/>
              <w:rPr>
                <w:sz w:val="20"/>
                <w:szCs w:val="20"/>
                <w:color w:val="auto"/>
              </w:rPr>
            </w:pPr>
            <w:r>
              <w:rPr>
                <w:rFonts w:ascii="Arial" w:cs="Arial" w:eastAsia="Arial" w:hAnsi="Arial"/>
                <w:sz w:val="22"/>
                <w:szCs w:val="22"/>
                <w:color w:val="auto"/>
              </w:rPr>
              <w:t>Terrence L. Rock</w:t>
            </w:r>
          </w:p>
        </w:tc>
        <w:tc>
          <w:tcPr>
            <w:tcW w:w="620" w:type="dxa"/>
            <w:vAlign w:val="bottom"/>
            <w:gridSpan w:val="2"/>
          </w:tcPr>
          <w:p>
            <w:pPr>
              <w:jc w:val="center"/>
              <w:ind w:left="52"/>
              <w:spacing w:after="0"/>
              <w:rPr>
                <w:sz w:val="20"/>
                <w:szCs w:val="20"/>
                <w:color w:val="auto"/>
              </w:rPr>
            </w:pPr>
            <w:r>
              <w:rPr>
                <w:rFonts w:ascii="Arial" w:cs="Arial" w:eastAsia="Arial" w:hAnsi="Arial"/>
                <w:sz w:val="22"/>
                <w:szCs w:val="22"/>
                <w:color w:val="auto"/>
                <w:w w:val="89"/>
              </w:rPr>
              <w:t>55</w:t>
            </w:r>
          </w:p>
        </w:tc>
        <w:tc>
          <w:tcPr>
            <w:tcW w:w="1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16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22"/>
                <w:szCs w:val="22"/>
                <w:color w:val="auto"/>
                <w:w w:val="89"/>
              </w:rPr>
              <w:t>Class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-610235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-610235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-610235</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7170420</wp:posOffset>
            </wp:positionH>
            <wp:positionV relativeFrom="paragraph">
              <wp:posOffset>-610235</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Nominees for Class II Directors</w:t>
      </w:r>
    </w:p>
    <w:p>
      <w:pPr>
        <w:spacing w:after="0" w:line="206" w:lineRule="exact"/>
        <w:rPr>
          <w:sz w:val="20"/>
          <w:szCs w:val="20"/>
          <w:color w:val="auto"/>
        </w:rPr>
      </w:pPr>
    </w:p>
    <w:p>
      <w:pPr>
        <w:ind w:right="180" w:firstLine="324"/>
        <w:spacing w:after="0" w:line="284" w:lineRule="auto"/>
        <w:rPr>
          <w:sz w:val="20"/>
          <w:szCs w:val="20"/>
          <w:color w:val="auto"/>
        </w:rPr>
      </w:pPr>
      <w:r>
        <w:rPr>
          <w:rFonts w:ascii="Arial" w:cs="Arial" w:eastAsia="Arial" w:hAnsi="Arial"/>
          <w:sz w:val="19"/>
          <w:szCs w:val="19"/>
          <w:b w:val="1"/>
          <w:bCs w:val="1"/>
          <w:color w:val="auto"/>
        </w:rPr>
        <w:t>Jan H. Lindelow</w:t>
      </w:r>
      <w:r>
        <w:rPr>
          <w:rFonts w:ascii="Arial" w:cs="Arial" w:eastAsia="Arial" w:hAnsi="Arial"/>
          <w:sz w:val="19"/>
          <w:szCs w:val="19"/>
          <w:color w:val="auto"/>
        </w:rPr>
        <w:t>, 56, has served as a member of our board of directors since February 1998. Mr. Lindelow is currently Vice</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Emerging Business Development at IBM Corporation. He joined IBM/Tivoli in June 1997 and served as Chairman and CEO of Tivoli Systems Inc. until the spring of 2001. Prior to joining Tivoli, he was President and COO of Symbol Technologies. From 1989 to June 1994, Mr. Lindelow worked in several senior executive positions at Asea Brown Boveri AG. Mr. Lindelow holds an M.S. in electrical engineering from the Royal Institute of Technology in Stockholm, Sweden.</w:t>
      </w:r>
    </w:p>
    <w:p>
      <w:pPr>
        <w:sectPr>
          <w:pgSz w:w="11900" w:h="16838" w:orient="portrait"/>
          <w:cols w:equalWidth="0" w:num="1">
            <w:col w:w="11400"/>
          </w:cols>
          <w:pgMar w:left="240" w:top="118" w:right="259" w:bottom="0" w:gutter="0" w:footer="0" w:header="0"/>
        </w:sectPr>
      </w:pPr>
    </w:p>
    <w:bookmarkStart w:id="4" w:name="page5"/>
    <w:bookmarkEnd w:id="4"/>
    <w:p>
      <w:pPr>
        <w:spacing w:after="0" w:line="122" w:lineRule="exact"/>
        <w:rPr>
          <w:sz w:val="20"/>
          <w:szCs w:val="20"/>
          <w:color w:val="auto"/>
        </w:rPr>
      </w:pPr>
    </w:p>
    <w:p>
      <w:pPr>
        <w:ind w:right="480" w:firstLine="324"/>
        <w:spacing w:after="0" w:line="257" w:lineRule="auto"/>
        <w:rPr>
          <w:sz w:val="20"/>
          <w:szCs w:val="20"/>
          <w:color w:val="auto"/>
        </w:rPr>
      </w:pPr>
      <w:r>
        <w:rPr>
          <w:rFonts w:ascii="Arial" w:cs="Arial" w:eastAsia="Arial" w:hAnsi="Arial"/>
          <w:sz w:val="22"/>
          <w:szCs w:val="22"/>
          <w:b w:val="1"/>
          <w:bCs w:val="1"/>
          <w:color w:val="auto"/>
        </w:rPr>
        <w:t>Terrence L. Rock</w:t>
      </w:r>
      <w:r>
        <w:rPr>
          <w:rFonts w:ascii="Arial" w:cs="Arial" w:eastAsia="Arial" w:hAnsi="Arial"/>
          <w:sz w:val="22"/>
          <w:szCs w:val="22"/>
          <w:color w:val="auto"/>
        </w:rPr>
        <w:t>, 55, has served as a member of our board of directors since 1997. Since 1996, Mr. Rock has served as a</w:t>
      </w:r>
      <w:r>
        <w:rPr>
          <w:rFonts w:ascii="Arial" w:cs="Arial" w:eastAsia="Arial" w:hAnsi="Arial"/>
          <w:sz w:val="22"/>
          <w:szCs w:val="22"/>
          <w:b w:val="1"/>
          <w:bCs w:val="1"/>
          <w:color w:val="auto"/>
        </w:rPr>
        <w:t xml:space="preserve"> </w:t>
      </w:r>
      <w:r>
        <w:rPr>
          <w:rFonts w:ascii="Arial" w:cs="Arial" w:eastAsia="Arial" w:hAnsi="Arial"/>
          <w:sz w:val="22"/>
          <w:szCs w:val="22"/>
          <w:color w:val="auto"/>
        </w:rPr>
        <w:t>partner with CenterPoint Venture Partners. From 1983 to 1996, Mr. Rock worked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for Convex Computer Corporation holding various positions, including President and Vice President of Operations. Mr. Rock also serves on the board at several private companies. Mr. Rock holds a B.S. in mechanical engineering from South Dakota School of Mines and Technology.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Directors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Set forth below is information concerning our other directors whose term of office continues after this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 I Directors Whose Terms Expire at the 2004 Annual Meeting of Stockholders</w:t>
      </w:r>
    </w:p>
    <w:p>
      <w:pPr>
        <w:spacing w:after="0" w:line="200" w:lineRule="exact"/>
        <w:rPr>
          <w:sz w:val="20"/>
          <w:szCs w:val="20"/>
          <w:color w:val="auto"/>
        </w:rPr>
      </w:pPr>
    </w:p>
    <w:p>
      <w:pPr>
        <w:ind w:right="160" w:firstLine="324"/>
        <w:spacing w:after="0" w:line="243" w:lineRule="auto"/>
        <w:rPr>
          <w:sz w:val="20"/>
          <w:szCs w:val="20"/>
          <w:color w:val="auto"/>
        </w:rPr>
      </w:pPr>
      <w:r>
        <w:rPr>
          <w:rFonts w:ascii="Arial" w:cs="Arial" w:eastAsia="Arial" w:hAnsi="Arial"/>
          <w:sz w:val="22"/>
          <w:szCs w:val="22"/>
          <w:b w:val="1"/>
          <w:bCs w:val="1"/>
          <w:color w:val="auto"/>
        </w:rPr>
        <w:t>Richard E. Anderson</w:t>
      </w:r>
      <w:r>
        <w:rPr>
          <w:rFonts w:ascii="Arial" w:cs="Arial" w:eastAsia="Arial" w:hAnsi="Arial"/>
          <w:sz w:val="22"/>
          <w:szCs w:val="22"/>
          <w:color w:val="auto"/>
        </w:rPr>
        <w:t>, 37, has served as a member of our board of directors since 1992. In 1992, Mr. Anderson co-founded</w:t>
      </w:r>
      <w:r>
        <w:rPr>
          <w:rFonts w:ascii="Arial" w:cs="Arial" w:eastAsia="Arial" w:hAnsi="Arial"/>
          <w:sz w:val="22"/>
          <w:szCs w:val="22"/>
          <w:b w:val="1"/>
          <w:bCs w:val="1"/>
          <w:color w:val="auto"/>
        </w:rPr>
        <w:t xml:space="preserve"> </w:t>
      </w:r>
      <w:r>
        <w:rPr>
          <w:rFonts w:ascii="Arial" w:cs="Arial" w:eastAsia="Arial" w:hAnsi="Arial"/>
          <w:sz w:val="22"/>
          <w:szCs w:val="22"/>
          <w:color w:val="auto"/>
        </w:rPr>
        <w:t>Hill Partners, Inc., a real estate development and investment company, where he currently serves as partner. Mr. Anderson holds a B.A. in economics from Southern Methodist University.</w:t>
      </w:r>
    </w:p>
    <w:p>
      <w:pPr>
        <w:spacing w:after="0" w:line="177" w:lineRule="exact"/>
        <w:rPr>
          <w:sz w:val="20"/>
          <w:szCs w:val="20"/>
          <w:color w:val="auto"/>
        </w:rPr>
      </w:pPr>
    </w:p>
    <w:p>
      <w:pPr>
        <w:ind w:right="40" w:firstLine="324"/>
        <w:spacing w:after="0" w:line="251" w:lineRule="auto"/>
        <w:rPr>
          <w:sz w:val="20"/>
          <w:szCs w:val="20"/>
          <w:color w:val="auto"/>
        </w:rPr>
      </w:pPr>
      <w:r>
        <w:rPr>
          <w:rFonts w:ascii="Arial" w:cs="Arial" w:eastAsia="Arial" w:hAnsi="Arial"/>
          <w:sz w:val="21"/>
          <w:szCs w:val="21"/>
          <w:b w:val="1"/>
          <w:bCs w:val="1"/>
          <w:color w:val="auto"/>
        </w:rPr>
        <w:t>Rodney S. Bond</w:t>
      </w:r>
      <w:r>
        <w:rPr>
          <w:rFonts w:ascii="Arial" w:cs="Arial" w:eastAsia="Arial" w:hAnsi="Arial"/>
          <w:sz w:val="21"/>
          <w:szCs w:val="21"/>
          <w:color w:val="auto"/>
        </w:rPr>
        <w:t>, 57, has served as a member of our board of directors since September 1994. From May 1990 to October</w:t>
      </w:r>
      <w:r>
        <w:rPr>
          <w:rFonts w:ascii="Arial" w:cs="Arial" w:eastAsia="Arial" w:hAnsi="Arial"/>
          <w:sz w:val="21"/>
          <w:szCs w:val="21"/>
          <w:b w:val="1"/>
          <w:bCs w:val="1"/>
          <w:color w:val="auto"/>
        </w:rPr>
        <w:t xml:space="preserve"> </w:t>
      </w:r>
      <w:r>
        <w:rPr>
          <w:rFonts w:ascii="Arial" w:cs="Arial" w:eastAsia="Arial" w:hAnsi="Arial"/>
          <w:sz w:val="21"/>
          <w:szCs w:val="21"/>
          <w:color w:val="auto"/>
        </w:rPr>
        <w:t>2000, Mr. Bond served in various capacities with VTEL Corporation, a public digital video communications company, including as Vice President, Chief Strategic Officer and Vice President, Chief Financial Officer. Mr. Bond is currently a principal serving as a financial and strategic planning consultant at Sherman Partners in Austin, Texas. Mr. Bond holds a B.S. in metallurgical engineering from the University of Illinois and a M.B.A. from Northwestern University.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 III Directors Whose Terms Expire at the 2003 Annual Meeting of Stockholders</w:t>
      </w:r>
    </w:p>
    <w:p>
      <w:pPr>
        <w:spacing w:after="0" w:line="200" w:lineRule="exact"/>
        <w:rPr>
          <w:sz w:val="20"/>
          <w:szCs w:val="20"/>
          <w:color w:val="auto"/>
        </w:rPr>
      </w:pPr>
    </w:p>
    <w:p>
      <w:pPr>
        <w:ind w:firstLine="324"/>
        <w:spacing w:after="0" w:line="280" w:lineRule="auto"/>
        <w:rPr>
          <w:sz w:val="20"/>
          <w:szCs w:val="20"/>
          <w:color w:val="auto"/>
        </w:rPr>
      </w:pPr>
      <w:r>
        <w:rPr>
          <w:rFonts w:ascii="Arial" w:cs="Arial" w:eastAsia="Arial" w:hAnsi="Arial"/>
          <w:sz w:val="19"/>
          <w:szCs w:val="19"/>
          <w:b w:val="1"/>
          <w:bCs w:val="1"/>
          <w:color w:val="auto"/>
        </w:rPr>
        <w:t>Eric L. Jones</w:t>
      </w:r>
      <w:r>
        <w:rPr>
          <w:rFonts w:ascii="Arial" w:cs="Arial" w:eastAsia="Arial" w:hAnsi="Arial"/>
          <w:sz w:val="19"/>
          <w:szCs w:val="19"/>
          <w:color w:val="auto"/>
        </w:rPr>
        <w:t>, 66, has served as a member of our board of directors since March 1995 and as Chairman of the Board from</w:t>
      </w:r>
      <w:r>
        <w:rPr>
          <w:rFonts w:ascii="Arial" w:cs="Arial" w:eastAsia="Arial" w:hAnsi="Arial"/>
          <w:sz w:val="19"/>
          <w:szCs w:val="19"/>
          <w:b w:val="1"/>
          <w:bCs w:val="1"/>
          <w:color w:val="auto"/>
        </w:rPr>
        <w:t xml:space="preserve"> </w:t>
      </w:r>
      <w:r>
        <w:rPr>
          <w:rFonts w:ascii="Arial" w:cs="Arial" w:eastAsia="Arial" w:hAnsi="Arial"/>
          <w:sz w:val="19"/>
          <w:szCs w:val="19"/>
          <w:color w:val="auto"/>
        </w:rPr>
        <w:t>March 1995 to December 2001. Since April 1994, he has been a partner with SSM Venture Partners, L.P., an Austin, Texas-based venture capital firm. Mr. Jones is currently a director/chairman of several private companies including 360 Commerce and Motive Communications. He is also the past chairman of the board of directors of VTEL Corporation and Tivoli Systems. During a 25-year career at Texas Instruments, Mr. Jones held various positions, including as corporate vice president of TI's Data Systems Group. Mr. Jones holds a Ph.D. in mechanical engineering from the University of Texas at Austin.</w:t>
      </w:r>
    </w:p>
    <w:p>
      <w:pPr>
        <w:spacing w:after="0" w:line="145" w:lineRule="exact"/>
        <w:rPr>
          <w:sz w:val="20"/>
          <w:szCs w:val="20"/>
          <w:color w:val="auto"/>
        </w:rPr>
      </w:pPr>
    </w:p>
    <w:p>
      <w:pPr>
        <w:jc w:val="both"/>
        <w:ind w:right="280" w:firstLine="324"/>
        <w:spacing w:after="0" w:line="275" w:lineRule="auto"/>
        <w:rPr>
          <w:sz w:val="20"/>
          <w:szCs w:val="20"/>
          <w:color w:val="auto"/>
        </w:rPr>
      </w:pPr>
      <w:r>
        <w:rPr>
          <w:rFonts w:ascii="Arial" w:cs="Arial" w:eastAsia="Arial" w:hAnsi="Arial"/>
          <w:sz w:val="19"/>
          <w:szCs w:val="19"/>
          <w:b w:val="1"/>
          <w:bCs w:val="1"/>
          <w:color w:val="auto"/>
        </w:rPr>
        <w:t>Joseph F. Pinkerton, III</w:t>
      </w:r>
      <w:r>
        <w:rPr>
          <w:rFonts w:ascii="Arial" w:cs="Arial" w:eastAsia="Arial" w:hAnsi="Arial"/>
          <w:sz w:val="19"/>
          <w:szCs w:val="19"/>
          <w:color w:val="auto"/>
        </w:rPr>
        <w:t>, 38, our founder, has served as our Chief Executive Officer, President and member of our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since August 1992. In December 2001, Mr. Pinkerton was appointed Chairman of the Board, and eliminated the title of President. From June 1989 to June 1992, Mr. Pinkerton was a principal with FRC, a private research and development company.</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color w:val="auto"/>
        </w:rPr>
        <w:t>Mr. Pinkerton holds numerous U.S. and foreign patents. Mr. Pinkerton holds a B.A. in physics from Albion College, in association with Columbia University.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 and Meetings</w:t>
      </w:r>
    </w:p>
    <w:p>
      <w:pPr>
        <w:spacing w:after="0" w:line="212" w:lineRule="exact"/>
        <w:rPr>
          <w:sz w:val="20"/>
          <w:szCs w:val="20"/>
          <w:color w:val="auto"/>
        </w:rPr>
      </w:pPr>
    </w:p>
    <w:p>
      <w:pPr>
        <w:ind w:right="220" w:firstLine="324"/>
        <w:spacing w:after="0" w:line="276" w:lineRule="auto"/>
        <w:rPr>
          <w:sz w:val="20"/>
          <w:szCs w:val="20"/>
          <w:color w:val="auto"/>
        </w:rPr>
      </w:pPr>
      <w:r>
        <w:rPr>
          <w:rFonts w:ascii="Arial" w:cs="Arial" w:eastAsia="Arial" w:hAnsi="Arial"/>
          <w:sz w:val="19"/>
          <w:szCs w:val="19"/>
          <w:color w:val="auto"/>
        </w:rPr>
        <w:t>In 2001, our board of directors held eight meetings and acted by unanimous written consent one time. The board of directors has an audit committee and a compensation committee. Each director attended or participated in 75% or more of the aggregate of</w:t>
      </w:r>
    </w:p>
    <w:p>
      <w:pPr>
        <w:spacing w:after="0" w:line="2" w:lineRule="exact"/>
        <w:rPr>
          <w:sz w:val="20"/>
          <w:szCs w:val="20"/>
          <w:color w:val="auto"/>
        </w:rPr>
      </w:pPr>
    </w:p>
    <w:p>
      <w:pPr>
        <w:ind w:right="180" w:firstLine="8"/>
        <w:spacing w:after="0" w:line="237" w:lineRule="auto"/>
        <w:tabs>
          <w:tab w:leader="none" w:pos="25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total number of meetings of the board of directors and (ii) the total number of meetings held by all committees of the board on which such director served during fiscal 2001.</w:t>
      </w:r>
    </w:p>
    <w:p>
      <w:pPr>
        <w:spacing w:after="0" w:line="18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9"/>
          <w:szCs w:val="19"/>
          <w:i w:val="1"/>
          <w:iCs w:val="1"/>
          <w:color w:val="auto"/>
        </w:rPr>
        <w:t xml:space="preserve">Audit Committee. </w:t>
      </w:r>
      <w:r>
        <w:rPr>
          <w:rFonts w:ascii="Arial" w:cs="Arial" w:eastAsia="Arial" w:hAnsi="Arial"/>
          <w:sz w:val="19"/>
          <w:szCs w:val="19"/>
          <w:color w:val="auto"/>
        </w:rPr>
        <w:t>The audit committee reports to the board of directors with regard to the selection of our independent</w:t>
      </w:r>
      <w:r>
        <w:rPr>
          <w:rFonts w:ascii="Arial" w:cs="Arial" w:eastAsia="Arial" w:hAnsi="Arial"/>
          <w:sz w:val="19"/>
          <w:szCs w:val="19"/>
          <w:i w:val="1"/>
          <w:iCs w:val="1"/>
          <w:color w:val="auto"/>
        </w:rPr>
        <w:t xml:space="preserve"> </w:t>
      </w:r>
      <w:r>
        <w:rPr>
          <w:rFonts w:ascii="Arial" w:cs="Arial" w:eastAsia="Arial" w:hAnsi="Arial"/>
          <w:sz w:val="19"/>
          <w:szCs w:val="19"/>
          <w:color w:val="auto"/>
        </w:rPr>
        <w:t>auditors, the scope of our annual audits, fees to be paid to the auditors, the performance of our independent auditors, compliance with our accounting and financial policies, and management's procedures and policies relative to the adequacy of our internal accounting controls. The members of the audit committee are Messrs. Bond, Lindelow and Rock. The audit committee held three meetings during fiscal 2001. The board has determined that all members of the audit committee are "independent" as that term is defined in Rule 4200 of the listing standards of the National Association of Securities Dealers.</w:t>
      </w:r>
    </w:p>
    <w:p>
      <w:pPr>
        <w:spacing w:after="0" w:line="151" w:lineRule="exact"/>
        <w:rPr>
          <w:sz w:val="20"/>
          <w:szCs w:val="20"/>
          <w:color w:val="auto"/>
        </w:rPr>
      </w:pPr>
    </w:p>
    <w:p>
      <w:pPr>
        <w:ind w:right="400" w:firstLine="324"/>
        <w:spacing w:after="0" w:line="251" w:lineRule="auto"/>
        <w:rPr>
          <w:sz w:val="20"/>
          <w:szCs w:val="20"/>
          <w:color w:val="auto"/>
        </w:rPr>
      </w:pPr>
      <w:r>
        <w:rPr>
          <w:rFonts w:ascii="Arial" w:cs="Arial" w:eastAsia="Arial" w:hAnsi="Arial"/>
          <w:sz w:val="22"/>
          <w:szCs w:val="22"/>
          <w:i w:val="1"/>
          <w:iCs w:val="1"/>
          <w:color w:val="auto"/>
        </w:rPr>
        <w:t>Compensation Committee</w:t>
      </w:r>
      <w:r>
        <w:rPr>
          <w:rFonts w:ascii="Arial" w:cs="Arial" w:eastAsia="Arial" w:hAnsi="Arial"/>
          <w:sz w:val="22"/>
          <w:szCs w:val="22"/>
          <w:color w:val="auto"/>
        </w:rPr>
        <w:t>. The compensation committee reviews and makes recommendations to the board regarding our</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policies and all forms of compensation to be provided to our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6"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directors, executive officers and certain other employees. We also have a special stock option committee that manages the granting of stock options to new and existing employees. The compensation committee reviews bonus arrangements for all our employees and assists the special stock option committee with the stock compensation our new and existing employees. The compensation committee also administers our stock option and stock purchase plans. The members of the compensation committee are Messrs. Anderson, Lindelow and Rock. The compensation committee held one meeting during fiscal 2001. The special stock option committee held seven meetings during fiscal 2001.</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and Indemnification Arrangements</w:t>
      </w:r>
    </w:p>
    <w:p>
      <w:pPr>
        <w:spacing w:after="0" w:line="212" w:lineRule="exact"/>
        <w:rPr>
          <w:sz w:val="20"/>
          <w:szCs w:val="20"/>
          <w:color w:val="auto"/>
        </w:rPr>
      </w:pPr>
    </w:p>
    <w:p>
      <w:pPr>
        <w:ind w:right="80" w:firstLine="324"/>
        <w:spacing w:after="0" w:line="328" w:lineRule="auto"/>
        <w:rPr>
          <w:sz w:val="20"/>
          <w:szCs w:val="20"/>
          <w:color w:val="auto"/>
        </w:rPr>
      </w:pPr>
      <w:r>
        <w:rPr>
          <w:rFonts w:ascii="Arial" w:cs="Arial" w:eastAsia="Arial" w:hAnsi="Arial"/>
          <w:sz w:val="19"/>
          <w:szCs w:val="19"/>
          <w:color w:val="auto"/>
        </w:rPr>
        <w:t>Each of our non-employee directors receives a fee of $5,000 per quarter for his service as a director. In addition, non-employee directors receive option grants at periodic intervals under the automatic option grant program of our 2000 Stock Incentive Plan.</w:t>
      </w:r>
    </w:p>
    <w:p>
      <w:pPr>
        <w:sectPr>
          <w:pgSz w:w="11900" w:h="16960" w:orient="portrait"/>
          <w:cols w:equalWidth="0" w:num="1">
            <w:col w:w="11400"/>
          </w:cols>
          <w:pgMar w:left="240" w:top="112" w:right="259" w:bottom="0" w:gutter="0" w:footer="0" w:header="0"/>
        </w:sectPr>
      </w:pPr>
    </w:p>
    <w:bookmarkStart w:id="5" w:name="page6"/>
    <w:bookmarkEnd w:id="5"/>
    <w:p>
      <w:pPr>
        <w:ind w:right="40"/>
        <w:spacing w:after="0" w:line="279" w:lineRule="auto"/>
        <w:rPr>
          <w:sz w:val="20"/>
          <w:szCs w:val="20"/>
          <w:color w:val="auto"/>
        </w:rPr>
      </w:pPr>
      <w:r>
        <w:rPr>
          <w:rFonts w:ascii="Arial" w:cs="Arial" w:eastAsia="Arial" w:hAnsi="Arial"/>
          <w:sz w:val="19"/>
          <w:szCs w:val="19"/>
          <w:color w:val="auto"/>
        </w:rPr>
        <w:t>Non-employee and employee directors are also eligible to receive option grants under the discretionary option grant program of the 2000 plan. Under the automatic option grant program, each individual who first becomes a non-employee board member at any time after our initial public offering receives an option grant to purchase 25,000 shares of common stock on the date such individual joins the board. In addition, on the date of each annual stockholders meeting held after our initial public offering, each non-employee board member who continues to serve as a non-employee board member is automatically granted an option to purchase 7,500 shares of common stock, provided such individual has served on the board for at least six months.</w:t>
      </w:r>
    </w:p>
    <w:p>
      <w:pPr>
        <w:spacing w:after="0" w:line="151"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 of Directors</w:t>
      </w:r>
    </w:p>
    <w:p>
      <w:pPr>
        <w:spacing w:after="0" w:line="206" w:lineRule="exact"/>
        <w:rPr>
          <w:sz w:val="20"/>
          <w:szCs w:val="20"/>
          <w:color w:val="auto"/>
        </w:rPr>
      </w:pPr>
    </w:p>
    <w:p>
      <w:pPr>
        <w:ind w:right="120" w:firstLine="324"/>
        <w:spacing w:after="0" w:line="256" w:lineRule="auto"/>
        <w:rPr>
          <w:sz w:val="20"/>
          <w:szCs w:val="20"/>
          <w:color w:val="auto"/>
        </w:rPr>
      </w:pPr>
      <w:r>
        <w:rPr>
          <w:rFonts w:ascii="Arial" w:cs="Arial" w:eastAsia="Arial" w:hAnsi="Arial"/>
          <w:sz w:val="22"/>
          <w:szCs w:val="22"/>
          <w:b w:val="1"/>
          <w:bCs w:val="1"/>
          <w:color w:val="auto"/>
        </w:rPr>
        <w:t>The Board of Directors recommends that the stockholders vote FOR the election of both of the director nominees listed above.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TWO: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RATIFICATION OF INDEPENDENT AUDITORS</w:t>
      </w:r>
    </w:p>
    <w:p>
      <w:pPr>
        <w:spacing w:after="0" w:line="212" w:lineRule="exact"/>
        <w:rPr>
          <w:sz w:val="20"/>
          <w:szCs w:val="20"/>
          <w:color w:val="auto"/>
        </w:rPr>
      </w:pPr>
    </w:p>
    <w:p>
      <w:pPr>
        <w:ind w:right="60" w:firstLine="324"/>
        <w:spacing w:after="0" w:line="252" w:lineRule="auto"/>
        <w:rPr>
          <w:sz w:val="20"/>
          <w:szCs w:val="20"/>
          <w:color w:val="auto"/>
        </w:rPr>
      </w:pPr>
      <w:r>
        <w:rPr>
          <w:rFonts w:ascii="Arial" w:cs="Arial" w:eastAsia="Arial" w:hAnsi="Arial"/>
          <w:sz w:val="21"/>
          <w:szCs w:val="21"/>
          <w:color w:val="auto"/>
        </w:rPr>
        <w:t>Our board of directors appointed the firm of Ernst &amp; Young LLP, independent auditors for the fiscal year ended December 31, 2001 and has appointed Ernst &amp; Young LLP to serve in the same capacity for the fiscal year ending December 31, 2002. The board is asking the stockholders to ratify this appointment. The affirmative vote of a majority of the shares represented and voting at the annual meeting is required to ratify the selection of Ernst &amp; Young LLP.</w:t>
      </w:r>
    </w:p>
    <w:p>
      <w:pPr>
        <w:spacing w:after="0" w:line="174" w:lineRule="exact"/>
        <w:rPr>
          <w:sz w:val="20"/>
          <w:szCs w:val="20"/>
          <w:color w:val="auto"/>
        </w:rPr>
      </w:pPr>
    </w:p>
    <w:p>
      <w:pPr>
        <w:ind w:firstLine="324"/>
        <w:spacing w:after="0" w:line="258" w:lineRule="auto"/>
        <w:rPr>
          <w:sz w:val="20"/>
          <w:szCs w:val="20"/>
          <w:color w:val="auto"/>
        </w:rPr>
      </w:pPr>
      <w:r>
        <w:rPr>
          <w:rFonts w:ascii="Arial" w:cs="Arial" w:eastAsia="Arial" w:hAnsi="Arial"/>
          <w:sz w:val="21"/>
          <w:szCs w:val="21"/>
          <w:color w:val="auto"/>
        </w:rPr>
        <w:t>In the event the stockholders fail to ratify the appointment, our board will reconsider its selection. Even if the selection is ratified, the board in its discretion may direct the appointment of a different independent auditing firm at any time during the year if the board believes that such a change would be in the best interests of the company and our stockholders.</w:t>
      </w:r>
    </w:p>
    <w:p>
      <w:pPr>
        <w:spacing w:after="0" w:line="167" w:lineRule="exact"/>
        <w:rPr>
          <w:sz w:val="20"/>
          <w:szCs w:val="20"/>
          <w:color w:val="auto"/>
        </w:rPr>
      </w:pPr>
    </w:p>
    <w:p>
      <w:pPr>
        <w:ind w:right="360" w:firstLine="312"/>
        <w:spacing w:after="0" w:line="274" w:lineRule="auto"/>
        <w:rPr>
          <w:sz w:val="20"/>
          <w:szCs w:val="20"/>
          <w:color w:val="auto"/>
        </w:rPr>
      </w:pPr>
      <w:r>
        <w:rPr>
          <w:rFonts w:ascii="Arial" w:cs="Arial" w:eastAsia="Arial" w:hAnsi="Arial"/>
          <w:sz w:val="21"/>
          <w:szCs w:val="21"/>
          <w:color w:val="auto"/>
        </w:rPr>
        <w:t>A representative of Ernst &amp; Young LLP is expected to be present at the annual meeting, will have the opportunity to make a statement if he or she desires to do so, and will be available to respond to appropriate questions.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Fees billed to Active Power by Ernst &amp; Young LLP during Fiscal 2001</w:t>
      </w:r>
    </w:p>
    <w:p>
      <w:pPr>
        <w:spacing w:after="0" w:line="206"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i w:val="1"/>
          <w:iCs w:val="1"/>
          <w:color w:val="auto"/>
        </w:rPr>
        <w:t>Audit Fees</w:t>
      </w:r>
      <w:r>
        <w:rPr>
          <w:rFonts w:ascii="Arial" w:cs="Arial" w:eastAsia="Arial" w:hAnsi="Arial"/>
          <w:sz w:val="22"/>
          <w:szCs w:val="22"/>
          <w:color w:val="auto"/>
        </w:rPr>
        <w:t>. Audit Fees billed to Active Power by Ernst &amp; Young LLP for the fiscal 2001 annual financial statements totaled</w:t>
      </w:r>
      <w:r>
        <w:rPr>
          <w:rFonts w:ascii="Arial" w:cs="Arial" w:eastAsia="Arial" w:hAnsi="Arial"/>
          <w:sz w:val="22"/>
          <w:szCs w:val="22"/>
          <w:i w:val="1"/>
          <w:iCs w:val="1"/>
          <w:color w:val="auto"/>
        </w:rPr>
        <w:t xml:space="preserve"> </w:t>
      </w:r>
      <w:r>
        <w:rPr>
          <w:rFonts w:ascii="Arial" w:cs="Arial" w:eastAsia="Arial" w:hAnsi="Arial"/>
          <w:sz w:val="22"/>
          <w:szCs w:val="22"/>
          <w:color w:val="auto"/>
        </w:rPr>
        <w:t>$67,000.</w:t>
      </w:r>
    </w:p>
    <w:p>
      <w:pPr>
        <w:spacing w:after="0" w:line="173" w:lineRule="exact"/>
        <w:rPr>
          <w:sz w:val="20"/>
          <w:szCs w:val="20"/>
          <w:color w:val="auto"/>
        </w:rPr>
      </w:pPr>
    </w:p>
    <w:p>
      <w:pPr>
        <w:ind w:right="220" w:firstLine="324"/>
        <w:spacing w:after="0" w:line="274" w:lineRule="auto"/>
        <w:rPr>
          <w:sz w:val="20"/>
          <w:szCs w:val="20"/>
          <w:color w:val="auto"/>
        </w:rPr>
      </w:pPr>
      <w:r>
        <w:rPr>
          <w:rFonts w:ascii="Arial" w:cs="Arial" w:eastAsia="Arial" w:hAnsi="Arial"/>
          <w:sz w:val="21"/>
          <w:szCs w:val="21"/>
          <w:i w:val="1"/>
          <w:iCs w:val="1"/>
          <w:color w:val="auto"/>
        </w:rPr>
        <w:t>Financial Information Systems Designed Implementation Fees</w:t>
      </w:r>
      <w:r>
        <w:rPr>
          <w:rFonts w:ascii="Arial" w:cs="Arial" w:eastAsia="Arial" w:hAnsi="Arial"/>
          <w:sz w:val="21"/>
          <w:szCs w:val="21"/>
          <w:color w:val="auto"/>
        </w:rPr>
        <w:t>. We did not engage Ernst &amp; Young LLP to provide advice to</w:t>
      </w:r>
      <w:r>
        <w:rPr>
          <w:rFonts w:ascii="Arial" w:cs="Arial" w:eastAsia="Arial" w:hAnsi="Arial"/>
          <w:sz w:val="21"/>
          <w:szCs w:val="21"/>
          <w:i w:val="1"/>
          <w:iCs w:val="1"/>
          <w:color w:val="auto"/>
        </w:rPr>
        <w:t xml:space="preserve"> </w:t>
      </w:r>
      <w:r>
        <w:rPr>
          <w:rFonts w:ascii="Arial" w:cs="Arial" w:eastAsia="Arial" w:hAnsi="Arial"/>
          <w:sz w:val="21"/>
          <w:szCs w:val="21"/>
          <w:color w:val="auto"/>
        </w:rPr>
        <w:t>Active Power regarding financial information systems design and implementation during fiscal 2001.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6" w:lineRule="exact"/>
        <w:rPr>
          <w:sz w:val="20"/>
          <w:szCs w:val="20"/>
          <w:color w:val="auto"/>
        </w:rPr>
      </w:pPr>
    </w:p>
    <w:p>
      <w:pPr>
        <w:ind w:right="160" w:firstLine="324"/>
        <w:spacing w:after="0" w:line="252" w:lineRule="auto"/>
        <w:rPr>
          <w:sz w:val="20"/>
          <w:szCs w:val="20"/>
          <w:color w:val="auto"/>
        </w:rPr>
      </w:pPr>
      <w:r>
        <w:rPr>
          <w:rFonts w:ascii="Arial" w:cs="Arial" w:eastAsia="Arial" w:hAnsi="Arial"/>
          <w:sz w:val="21"/>
          <w:szCs w:val="21"/>
          <w:i w:val="1"/>
          <w:iCs w:val="1"/>
          <w:color w:val="auto"/>
        </w:rPr>
        <w:t>Other Fees</w:t>
      </w:r>
      <w:r>
        <w:rPr>
          <w:rFonts w:ascii="Arial" w:cs="Arial" w:eastAsia="Arial" w:hAnsi="Arial"/>
          <w:sz w:val="21"/>
          <w:szCs w:val="21"/>
          <w:color w:val="auto"/>
        </w:rPr>
        <w:t>. Other fees were $40,000, including audit related services of $18,000 and non-audit related services of $22,000.</w:t>
      </w:r>
      <w:r>
        <w:rPr>
          <w:rFonts w:ascii="Arial" w:cs="Arial" w:eastAsia="Arial" w:hAnsi="Arial"/>
          <w:sz w:val="21"/>
          <w:szCs w:val="21"/>
          <w:i w:val="1"/>
          <w:iCs w:val="1"/>
          <w:color w:val="auto"/>
        </w:rPr>
        <w:t xml:space="preserve"> </w:t>
      </w:r>
      <w:r>
        <w:rPr>
          <w:rFonts w:ascii="Arial" w:cs="Arial" w:eastAsia="Arial" w:hAnsi="Arial"/>
          <w:sz w:val="21"/>
          <w:szCs w:val="21"/>
          <w:color w:val="auto"/>
        </w:rPr>
        <w:t>Audit related services primarily related to the review of the Company's financial statements included in our quarterly reports on Form 10-Q and filed with the Securities and Exchange Commission. Non-audit services primarily related to the preparation of the Company's tax return statements filed with the appropriate state and federal agencies.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 of Directors</w:t>
      </w:r>
    </w:p>
    <w:p>
      <w:pPr>
        <w:spacing w:after="0" w:line="206" w:lineRule="exact"/>
        <w:rPr>
          <w:sz w:val="20"/>
          <w:szCs w:val="20"/>
          <w:color w:val="auto"/>
        </w:rPr>
      </w:pPr>
    </w:p>
    <w:p>
      <w:pPr>
        <w:ind w:right="280" w:firstLine="324"/>
        <w:spacing w:after="0" w:line="256" w:lineRule="auto"/>
        <w:rPr>
          <w:sz w:val="20"/>
          <w:szCs w:val="20"/>
          <w:color w:val="auto"/>
        </w:rPr>
      </w:pPr>
      <w:r>
        <w:rPr>
          <w:rFonts w:ascii="Arial" w:cs="Arial" w:eastAsia="Arial" w:hAnsi="Arial"/>
          <w:sz w:val="22"/>
          <w:szCs w:val="22"/>
          <w:b w:val="1"/>
          <w:bCs w:val="1"/>
          <w:color w:val="auto"/>
        </w:rPr>
        <w:t>Our board of directors recommends that the stockholders vote FOR the ratification of the selection of Ernst &amp; Young LLP to serve as our independent auditors for the fiscal year ending December 31, 2002.</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ind w:firstLine="320"/>
        <w:spacing w:after="0" w:line="238" w:lineRule="auto"/>
        <w:rPr>
          <w:sz w:val="20"/>
          <w:szCs w:val="20"/>
          <w:color w:val="auto"/>
        </w:rPr>
      </w:pPr>
      <w:r>
        <w:rPr>
          <w:rFonts w:ascii="Arial" w:cs="Arial" w:eastAsia="Arial" w:hAnsi="Arial"/>
          <w:sz w:val="22"/>
          <w:szCs w:val="22"/>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OWNERSHIP OF SECURITIES</w:t>
      </w:r>
    </w:p>
    <w:p>
      <w:pPr>
        <w:spacing w:after="0" w:line="212" w:lineRule="exact"/>
        <w:rPr>
          <w:sz w:val="20"/>
          <w:szCs w:val="20"/>
          <w:color w:val="auto"/>
        </w:rPr>
      </w:pPr>
    </w:p>
    <w:p>
      <w:pPr>
        <w:ind w:right="60" w:firstLine="320"/>
        <w:spacing w:after="0" w:line="251" w:lineRule="auto"/>
        <w:rPr>
          <w:sz w:val="20"/>
          <w:szCs w:val="20"/>
          <w:color w:val="auto"/>
        </w:rPr>
      </w:pPr>
      <w:r>
        <w:rPr>
          <w:rFonts w:ascii="Arial" w:cs="Arial" w:eastAsia="Arial" w:hAnsi="Arial"/>
          <w:sz w:val="22"/>
          <w:szCs w:val="22"/>
          <w:color w:val="auto"/>
        </w:rPr>
        <w:t>The following table sets forth certain information known to us with respect to the beneficial ownership of our common stock as of March 1, 2002, by:</w:t>
      </w:r>
    </w:p>
    <w:p>
      <w:pPr>
        <w:spacing w:after="0" w:line="214" w:lineRule="exact"/>
        <w:rPr>
          <w:sz w:val="20"/>
          <w:szCs w:val="20"/>
          <w:color w:val="auto"/>
        </w:rPr>
      </w:pPr>
    </w:p>
    <w:p>
      <w:pPr>
        <w:ind w:left="480" w:hanging="237"/>
        <w:spacing w:after="0"/>
        <w:tabs>
          <w:tab w:leader="none" w:pos="480" w:val="left"/>
        </w:tabs>
        <w:numPr>
          <w:ilvl w:val="0"/>
          <w:numId w:val="8"/>
        </w:numPr>
        <w:rPr>
          <w:rFonts w:ascii="Arial" w:cs="Arial" w:eastAsia="Arial" w:hAnsi="Arial"/>
          <w:sz w:val="22"/>
          <w:szCs w:val="22"/>
          <w:color w:val="auto"/>
        </w:rPr>
      </w:pPr>
      <w:r>
        <w:rPr>
          <w:rFonts w:ascii="Arial" w:cs="Arial" w:eastAsia="Arial" w:hAnsi="Arial"/>
          <w:sz w:val="22"/>
          <w:szCs w:val="22"/>
          <w:color w:val="auto"/>
        </w:rPr>
        <w:t>each person known by us to be a beneficial owner of five percent (5%) or more of our common stock;</w:t>
      </w:r>
    </w:p>
    <w:p>
      <w:pPr>
        <w:spacing w:after="0" w:line="44" w:lineRule="exact"/>
        <w:rPr>
          <w:rFonts w:ascii="Arial" w:cs="Arial" w:eastAsia="Arial" w:hAnsi="Arial"/>
          <w:sz w:val="22"/>
          <w:szCs w:val="22"/>
          <w:color w:val="auto"/>
        </w:rPr>
      </w:pPr>
    </w:p>
    <w:p>
      <w:pPr>
        <w:ind w:left="480" w:hanging="237"/>
        <w:spacing w:after="0"/>
        <w:tabs>
          <w:tab w:leader="none" w:pos="480" w:val="left"/>
        </w:tabs>
        <w:numPr>
          <w:ilvl w:val="0"/>
          <w:numId w:val="8"/>
        </w:numPr>
        <w:rPr>
          <w:rFonts w:ascii="Arial" w:cs="Arial" w:eastAsia="Arial" w:hAnsi="Arial"/>
          <w:sz w:val="22"/>
          <w:szCs w:val="22"/>
          <w:color w:val="auto"/>
        </w:rPr>
      </w:pPr>
      <w:r>
        <w:rPr>
          <w:rFonts w:ascii="Arial" w:cs="Arial" w:eastAsia="Arial" w:hAnsi="Arial"/>
          <w:sz w:val="22"/>
          <w:szCs w:val="22"/>
          <w:color w:val="auto"/>
        </w:rPr>
        <w:t>each current director, each of whom is a nominee for election as a director;</w:t>
      </w:r>
    </w:p>
    <w:p>
      <w:pPr>
        <w:spacing w:after="0" w:line="44" w:lineRule="exact"/>
        <w:rPr>
          <w:rFonts w:ascii="Arial" w:cs="Arial" w:eastAsia="Arial" w:hAnsi="Arial"/>
          <w:sz w:val="22"/>
          <w:szCs w:val="22"/>
          <w:color w:val="auto"/>
        </w:rPr>
      </w:pPr>
    </w:p>
    <w:p>
      <w:pPr>
        <w:ind w:left="480" w:right="480" w:hanging="237"/>
        <w:spacing w:after="0" w:line="251" w:lineRule="auto"/>
        <w:tabs>
          <w:tab w:leader="none" w:pos="480" w:val="left"/>
        </w:tabs>
        <w:numPr>
          <w:ilvl w:val="0"/>
          <w:numId w:val="8"/>
        </w:numPr>
        <w:rPr>
          <w:rFonts w:ascii="Arial" w:cs="Arial" w:eastAsia="Arial" w:hAnsi="Arial"/>
          <w:sz w:val="22"/>
          <w:szCs w:val="22"/>
          <w:color w:val="auto"/>
        </w:rPr>
      </w:pPr>
      <w:r>
        <w:rPr>
          <w:rFonts w:ascii="Arial" w:cs="Arial" w:eastAsia="Arial" w:hAnsi="Arial"/>
          <w:sz w:val="22"/>
          <w:szCs w:val="22"/>
          <w:color w:val="auto"/>
        </w:rPr>
        <w:t>each executive officer named in the summary compensation table of the Executive Compensation and Other Information section of this proxy statement; and</w:t>
      </w:r>
    </w:p>
    <w:p>
      <w:pPr>
        <w:sectPr>
          <w:pgSz w:w="11900" w:h="16838" w:orient="portrait"/>
          <w:cols w:equalWidth="0" w:num="1">
            <w:col w:w="11400"/>
          </w:cols>
          <w:pgMar w:left="240" w:top="118" w:right="259" w:bottom="0" w:gutter="0" w:footer="0" w:header="0"/>
        </w:sectPr>
      </w:pPr>
    </w:p>
    <w:bookmarkStart w:id="6" w:name="page7"/>
    <w:bookmarkEnd w:id="6"/>
    <w:p>
      <w:pPr>
        <w:ind w:left="240"/>
        <w:spacing w:after="0"/>
        <w:rPr>
          <w:sz w:val="20"/>
          <w:szCs w:val="20"/>
          <w:color w:val="auto"/>
        </w:rPr>
      </w:pPr>
      <w:r>
        <w:rPr>
          <w:rFonts w:ascii="Arial" w:cs="Arial" w:eastAsia="Arial" w:hAnsi="Arial"/>
          <w:sz w:val="22"/>
          <w:szCs w:val="22"/>
          <w:color w:val="auto"/>
        </w:rPr>
        <w:t>•  all current directors and executive officers as a group.</w:t>
      </w:r>
    </w:p>
    <w:p>
      <w:pPr>
        <w:spacing w:after="0" w:line="247"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shares of common stock underlying options or warrants held by such persons that are exercisable within 60 days of March 1, 2002. The percentage of beneficial ownership before the offering is based on 40,878,426 shares of common stock outstanding as of March 1, 2002.</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8800" w:type="dxa"/>
            <w:vAlign w:val="bottom"/>
          </w:tcPr>
          <w:p>
            <w:pPr>
              <w:ind w:left="5620"/>
              <w:spacing w:after="0"/>
              <w:rPr>
                <w:sz w:val="20"/>
                <w:szCs w:val="20"/>
                <w:color w:val="auto"/>
              </w:rPr>
            </w:pPr>
            <w:r>
              <w:rPr>
                <w:rFonts w:ascii="Arial" w:cs="Arial" w:eastAsia="Arial" w:hAnsi="Arial"/>
                <w:sz w:val="22"/>
                <w:szCs w:val="22"/>
                <w:color w:val="auto"/>
              </w:rPr>
              <w:t>5</w:t>
            </w: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62"/>
        </w:trPr>
        <w:tc>
          <w:tcPr>
            <w:tcW w:w="8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5"/>
              </w:rPr>
              <w:t>Percentage</w:t>
            </w:r>
          </w:p>
        </w:tc>
      </w:tr>
      <w:tr>
        <w:trPr>
          <w:trHeight w:val="243"/>
        </w:trPr>
        <w:tc>
          <w:tcPr>
            <w:tcW w:w="8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of</w:t>
            </w:r>
          </w:p>
        </w:tc>
      </w:tr>
      <w:tr>
        <w:trPr>
          <w:trHeight w:val="243"/>
        </w:trPr>
        <w:tc>
          <w:tcPr>
            <w:tcW w:w="8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2"/>
          </w:tcPr>
          <w:p>
            <w:pPr>
              <w:jc w:val="center"/>
              <w:ind w:right="40"/>
              <w:spacing w:after="0" w:line="243" w:lineRule="exact"/>
              <w:rPr>
                <w:sz w:val="20"/>
                <w:szCs w:val="20"/>
                <w:color w:val="auto"/>
              </w:rPr>
            </w:pPr>
            <w:r>
              <w:rPr>
                <w:rFonts w:ascii="Arial" w:cs="Arial" w:eastAsia="Arial" w:hAnsi="Arial"/>
                <w:sz w:val="22"/>
                <w:szCs w:val="22"/>
                <w:b w:val="1"/>
                <w:bCs w:val="1"/>
                <w:color w:val="auto"/>
                <w:w w:val="84"/>
              </w:rPr>
              <w:t>Shares</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4"/>
              </w:rPr>
              <w:t>Shares</w:t>
            </w:r>
          </w:p>
        </w:tc>
      </w:tr>
      <w:tr>
        <w:trPr>
          <w:trHeight w:val="243"/>
        </w:trPr>
        <w:tc>
          <w:tcPr>
            <w:tcW w:w="8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2"/>
          </w:tcPr>
          <w:p>
            <w:pPr>
              <w:jc w:val="center"/>
              <w:ind w:right="60"/>
              <w:spacing w:after="0" w:line="243" w:lineRule="exact"/>
              <w:rPr>
                <w:sz w:val="20"/>
                <w:szCs w:val="20"/>
                <w:color w:val="auto"/>
              </w:rPr>
            </w:pPr>
            <w:r>
              <w:rPr>
                <w:rFonts w:ascii="Arial" w:cs="Arial" w:eastAsia="Arial" w:hAnsi="Arial"/>
                <w:sz w:val="22"/>
                <w:szCs w:val="22"/>
                <w:b w:val="1"/>
                <w:bCs w:val="1"/>
                <w:color w:val="auto"/>
                <w:w w:val="88"/>
              </w:rPr>
              <w:t>Beneficially</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Beneficially</w:t>
            </w:r>
          </w:p>
        </w:tc>
      </w:tr>
      <w:tr>
        <w:trPr>
          <w:trHeight w:val="281"/>
        </w:trPr>
        <w:tc>
          <w:tcPr>
            <w:tcW w:w="8800" w:type="dxa"/>
            <w:vAlign w:val="bottom"/>
          </w:tcPr>
          <w:p>
            <w:pPr>
              <w:spacing w:after="0"/>
              <w:rPr>
                <w:sz w:val="20"/>
                <w:szCs w:val="20"/>
                <w:color w:val="auto"/>
              </w:rPr>
            </w:pPr>
            <w:r>
              <w:rPr>
                <w:rFonts w:ascii="Arial" w:cs="Arial" w:eastAsia="Arial" w:hAnsi="Arial"/>
                <w:sz w:val="22"/>
                <w:szCs w:val="22"/>
                <w:b w:val="1"/>
                <w:bCs w:val="1"/>
                <w:color w:val="auto"/>
              </w:rPr>
              <w:t>Beneficial Owner</w:t>
            </w:r>
          </w:p>
        </w:tc>
        <w:tc>
          <w:tcPr>
            <w:tcW w:w="60" w:type="dxa"/>
            <w:vAlign w:val="bottom"/>
          </w:tcPr>
          <w:p>
            <w:pPr>
              <w:spacing w:after="0"/>
              <w:rPr>
                <w:sz w:val="24"/>
                <w:szCs w:val="2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22"/>
                <w:szCs w:val="22"/>
                <w:b w:val="1"/>
                <w:bCs w:val="1"/>
                <w:color w:val="auto"/>
                <w:w w:val="89"/>
              </w:rPr>
              <w:t>Owned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Owned</w:t>
            </w:r>
          </w:p>
        </w:tc>
      </w:tr>
      <w:tr>
        <w:trPr>
          <w:trHeight w:val="98"/>
        </w:trPr>
        <w:tc>
          <w:tcPr>
            <w:tcW w:w="88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r>
        <w:trPr>
          <w:trHeight w:val="409"/>
        </w:trPr>
        <w:tc>
          <w:tcPr>
            <w:tcW w:w="8800" w:type="dxa"/>
            <w:vAlign w:val="bottom"/>
          </w:tcPr>
          <w:p>
            <w:pPr>
              <w:spacing w:after="0"/>
              <w:rPr>
                <w:sz w:val="20"/>
                <w:szCs w:val="20"/>
                <w:color w:val="auto"/>
              </w:rPr>
            </w:pPr>
            <w:r>
              <w:rPr>
                <w:rFonts w:ascii="Arial" w:cs="Arial" w:eastAsia="Arial" w:hAnsi="Arial"/>
                <w:sz w:val="22"/>
                <w:szCs w:val="22"/>
                <w:i w:val="1"/>
                <w:iCs w:val="1"/>
                <w:color w:val="auto"/>
              </w:rPr>
              <w:t>Executive Officers and Directors:</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Joseph F. Pinkerton, III</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5,190,601</w:t>
            </w:r>
          </w:p>
        </w:tc>
        <w:tc>
          <w:tcPr>
            <w:tcW w:w="122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David S. Gino</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583,962</w:t>
            </w:r>
          </w:p>
        </w:tc>
        <w:tc>
          <w:tcPr>
            <w:tcW w:w="12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Mark A. Ascolese</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282,500</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James A. Balthazar</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336,450</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William E. Ott, II</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207,746</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Richard E. Anderson</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331,109</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Rodney S. Bond</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57,720</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Eric L. Jones</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338,179</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Jan H. Lindelow</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101,180</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Terrence L. Rock</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62,087</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8800" w:type="dxa"/>
            <w:vAlign w:val="bottom"/>
          </w:tcPr>
          <w:p>
            <w:pPr>
              <w:ind w:left="220"/>
              <w:spacing w:after="0"/>
              <w:rPr>
                <w:sz w:val="20"/>
                <w:szCs w:val="20"/>
                <w:color w:val="auto"/>
              </w:rPr>
            </w:pPr>
            <w:r>
              <w:rPr>
                <w:rFonts w:ascii="Arial" w:cs="Arial" w:eastAsia="Arial" w:hAnsi="Arial"/>
                <w:sz w:val="22"/>
                <w:szCs w:val="22"/>
                <w:color w:val="auto"/>
              </w:rPr>
              <w:t>All current directors and executive officers as a group (10 persons)</w:t>
            </w:r>
          </w:p>
        </w:tc>
        <w:tc>
          <w:tcPr>
            <w:tcW w:w="1320" w:type="dxa"/>
            <w:vAlign w:val="bottom"/>
            <w:gridSpan w:val="3"/>
          </w:tcPr>
          <w:p>
            <w:pPr>
              <w:jc w:val="right"/>
              <w:ind w:right="40"/>
              <w:spacing w:after="0"/>
              <w:rPr>
                <w:sz w:val="20"/>
                <w:szCs w:val="20"/>
                <w:color w:val="auto"/>
              </w:rPr>
            </w:pPr>
            <w:r>
              <w:rPr>
                <w:rFonts w:ascii="Arial" w:cs="Arial" w:eastAsia="Arial" w:hAnsi="Arial"/>
                <w:sz w:val="22"/>
                <w:szCs w:val="22"/>
                <w:color w:val="auto"/>
              </w:rPr>
              <w:t>7,491,534</w:t>
            </w:r>
          </w:p>
        </w:tc>
        <w:tc>
          <w:tcPr>
            <w:tcW w:w="1220" w:type="dxa"/>
            <w:vAlign w:val="bottom"/>
          </w:tcPr>
          <w:p>
            <w:pPr>
              <w:jc w:val="right"/>
              <w:spacing w:after="0"/>
              <w:rPr>
                <w:sz w:val="20"/>
                <w:szCs w:val="20"/>
                <w:color w:val="auto"/>
              </w:rPr>
            </w:pPr>
            <w:r>
              <w:rPr>
                <w:rFonts w:ascii="Arial" w:cs="Arial" w:eastAsia="Arial" w:hAnsi="Arial"/>
                <w:sz w:val="22"/>
                <w:szCs w:val="22"/>
                <w:color w:val="auto"/>
              </w:rPr>
              <w:t>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5592445</wp:posOffset>
            </wp:positionH>
            <wp:positionV relativeFrom="paragraph">
              <wp:posOffset>-2359660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6398260</wp:posOffset>
            </wp:positionH>
            <wp:positionV relativeFrom="paragraph">
              <wp:posOffset>-2359660</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-2359660</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392430</wp:posOffset>
            </wp:positionV>
            <wp:extent cx="107188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7188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Less than one percent of the outstanding common stock</w:t>
      </w:r>
    </w:p>
    <w:p>
      <w:pPr>
        <w:spacing w:after="0" w:line="220" w:lineRule="exact"/>
        <w:rPr>
          <w:sz w:val="20"/>
          <w:szCs w:val="20"/>
          <w:color w:val="auto"/>
        </w:rPr>
      </w:pPr>
    </w:p>
    <w:p>
      <w:pPr>
        <w:ind w:right="120" w:firstLine="324"/>
        <w:spacing w:after="0" w:line="251" w:lineRule="auto"/>
        <w:rPr>
          <w:sz w:val="20"/>
          <w:szCs w:val="20"/>
          <w:color w:val="auto"/>
        </w:rPr>
      </w:pPr>
      <w:r>
        <w:rPr>
          <w:rFonts w:ascii="Arial" w:cs="Arial" w:eastAsia="Arial" w:hAnsi="Arial"/>
          <w:sz w:val="22"/>
          <w:szCs w:val="22"/>
          <w:color w:val="auto"/>
        </w:rPr>
        <w:t>Unless otherwise indicated, the address for all officers and directors is c/o Active Power, Inc., 11525 Stonehollow Drive, Suite 110, Austin, Texas 78758.</w:t>
      </w:r>
    </w:p>
    <w:p>
      <w:pPr>
        <w:spacing w:after="0" w:line="214" w:lineRule="exact"/>
        <w:rPr>
          <w:sz w:val="20"/>
          <w:szCs w:val="20"/>
          <w:color w:val="auto"/>
        </w:rPr>
      </w:pPr>
    </w:p>
    <w:p>
      <w:pPr>
        <w:ind w:left="260" w:right="140" w:hanging="211"/>
        <w:spacing w:after="0" w:line="281" w:lineRule="auto"/>
        <w:tabs>
          <w:tab w:leader="none" w:pos="26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Joseph F. Pinkerton, III. </w:t>
      </w:r>
      <w:r>
        <w:rPr>
          <w:rFonts w:ascii="Arial" w:cs="Arial" w:eastAsia="Arial" w:hAnsi="Arial"/>
          <w:sz w:val="19"/>
          <w:szCs w:val="19"/>
          <w:color w:val="auto"/>
        </w:rPr>
        <w:t>Includes immediately exercisable options to purchase 220,500 shares of common stock, 17,500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were vested as of March 1, 2002. In addition, 323,000 of the shares indicated as owned by Mr. Pinkerton are held by the Joe Pinkerton GRAT for children and the Claire Pinkerton GRAT for children. Both trusts are for the benefit of Mr. Pinkerton's minor children. Mr. Pinkerton disclaims beneficial ownership of the 554,000 shares held by the trusts.</w:t>
      </w:r>
    </w:p>
    <w:p>
      <w:pPr>
        <w:spacing w:after="0" w:line="3" w:lineRule="exact"/>
        <w:rPr>
          <w:rFonts w:ascii="Arial" w:cs="Arial" w:eastAsia="Arial" w:hAnsi="Arial"/>
          <w:sz w:val="19"/>
          <w:szCs w:val="19"/>
          <w:color w:val="auto"/>
        </w:rPr>
      </w:pPr>
    </w:p>
    <w:p>
      <w:pPr>
        <w:ind w:left="260" w:right="40" w:hanging="211"/>
        <w:spacing w:after="0" w:line="286" w:lineRule="auto"/>
        <w:tabs>
          <w:tab w:leader="none" w:pos="26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David S. Gino. </w:t>
      </w:r>
      <w:r>
        <w:rPr>
          <w:rFonts w:ascii="Arial" w:cs="Arial" w:eastAsia="Arial" w:hAnsi="Arial"/>
          <w:sz w:val="19"/>
          <w:szCs w:val="19"/>
          <w:color w:val="auto"/>
        </w:rPr>
        <w:t>132,989 shares indicated as owned by Mr. Gino are unvested and subject to our right to repurchase them 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purchase price paid per share if Mr. Gino's services are terminated prior to vesting. These shares also include immediately exercisable options to purchase 221,511 shares of common stock, 10,000 of which were vested as of March 1, 2002.</w:t>
      </w:r>
    </w:p>
    <w:p>
      <w:pPr>
        <w:spacing w:after="0" w:line="2" w:lineRule="exact"/>
        <w:rPr>
          <w:rFonts w:ascii="Arial" w:cs="Arial" w:eastAsia="Arial" w:hAnsi="Arial"/>
          <w:sz w:val="19"/>
          <w:szCs w:val="19"/>
          <w:color w:val="auto"/>
        </w:rPr>
      </w:pPr>
    </w:p>
    <w:p>
      <w:pPr>
        <w:ind w:left="260" w:right="220" w:hanging="211"/>
        <w:spacing w:after="0" w:line="251" w:lineRule="auto"/>
        <w:tabs>
          <w:tab w:leader="none" w:pos="26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Mark A. Ascolese. </w:t>
      </w:r>
      <w:r>
        <w:rPr>
          <w:rFonts w:ascii="Arial" w:cs="Arial" w:eastAsia="Arial" w:hAnsi="Arial"/>
          <w:sz w:val="22"/>
          <w:szCs w:val="22"/>
          <w:color w:val="auto"/>
        </w:rPr>
        <w:t>Includes immediately exercisable options to purchase 282,500 shares of common stock, 74,000 of which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were vested as of March 1, 2002.</w:t>
      </w:r>
    </w:p>
    <w:p>
      <w:pPr>
        <w:spacing w:after="0" w:line="11" w:lineRule="exact"/>
        <w:rPr>
          <w:rFonts w:ascii="Arial" w:cs="Arial" w:eastAsia="Arial" w:hAnsi="Arial"/>
          <w:sz w:val="22"/>
          <w:szCs w:val="22"/>
          <w:color w:val="auto"/>
        </w:rPr>
      </w:pPr>
    </w:p>
    <w:p>
      <w:pPr>
        <w:ind w:left="260" w:right="440" w:hanging="211"/>
        <w:spacing w:after="0" w:line="251" w:lineRule="auto"/>
        <w:tabs>
          <w:tab w:leader="none" w:pos="26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James A. Balthazar</w:t>
      </w:r>
      <w:r>
        <w:rPr>
          <w:rFonts w:ascii="Arial" w:cs="Arial" w:eastAsia="Arial" w:hAnsi="Arial"/>
          <w:sz w:val="22"/>
          <w:szCs w:val="22"/>
          <w:color w:val="auto"/>
        </w:rPr>
        <w:t>. These shares include immediately exercisable options to purchase 157,170 shares of common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34,515 of which were vested as of March 1, 2002.</w:t>
      </w:r>
    </w:p>
    <w:p>
      <w:pPr>
        <w:spacing w:after="0" w:line="11" w:lineRule="exact"/>
        <w:rPr>
          <w:rFonts w:ascii="Arial" w:cs="Arial" w:eastAsia="Arial" w:hAnsi="Arial"/>
          <w:sz w:val="22"/>
          <w:szCs w:val="22"/>
          <w:color w:val="auto"/>
        </w:rPr>
      </w:pPr>
    </w:p>
    <w:p>
      <w:pPr>
        <w:ind w:left="260" w:right="480" w:hanging="211"/>
        <w:spacing w:after="0" w:line="251" w:lineRule="auto"/>
        <w:tabs>
          <w:tab w:leader="none" w:pos="26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William E. Ott, II. </w:t>
      </w:r>
      <w:r>
        <w:rPr>
          <w:rFonts w:ascii="Arial" w:cs="Arial" w:eastAsia="Arial" w:hAnsi="Arial"/>
          <w:sz w:val="22"/>
          <w:szCs w:val="22"/>
          <w:color w:val="auto"/>
        </w:rPr>
        <w:t>Includes immediately exercisable options to purchase 174,940 shares of common stock, of 145,400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which were vested as of March 1, 2002.</w:t>
      </w:r>
    </w:p>
    <w:p>
      <w:pPr>
        <w:spacing w:after="0" w:line="11" w:lineRule="exact"/>
        <w:rPr>
          <w:rFonts w:ascii="Arial" w:cs="Arial" w:eastAsia="Arial" w:hAnsi="Arial"/>
          <w:sz w:val="22"/>
          <w:szCs w:val="22"/>
          <w:color w:val="auto"/>
        </w:rPr>
      </w:pPr>
    </w:p>
    <w:p>
      <w:pPr>
        <w:ind w:left="260" w:right="80" w:hanging="211"/>
        <w:spacing w:after="0" w:line="252" w:lineRule="auto"/>
        <w:tabs>
          <w:tab w:leader="none" w:pos="260" w:val="left"/>
        </w:tabs>
        <w:numPr>
          <w:ilvl w:val="0"/>
          <w:numId w:val="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Richard E. Anderson. </w:t>
      </w:r>
      <w:r>
        <w:rPr>
          <w:rFonts w:ascii="Arial" w:cs="Arial" w:eastAsia="Arial" w:hAnsi="Arial"/>
          <w:sz w:val="21"/>
          <w:szCs w:val="21"/>
          <w:color w:val="auto"/>
        </w:rPr>
        <w:t>86,400 shares indicated as owned by Mr. Anderson are included because of his association with Rita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Investments. These shares include 46,116 shares owned by Mr. Anderson's spouse. These shares further include immediately exercisable options to purchase 7,500 shares of common stock, none of which were vested as of March 1, 2002. Mr. Anderson's address is c/o Hill Partners, 2800 Industrial Terrace, Austin, Texas 78758.</w:t>
      </w:r>
    </w:p>
    <w:p>
      <w:pPr>
        <w:spacing w:after="0" w:line="12" w:lineRule="exact"/>
        <w:rPr>
          <w:rFonts w:ascii="Arial" w:cs="Arial" w:eastAsia="Arial" w:hAnsi="Arial"/>
          <w:sz w:val="21"/>
          <w:szCs w:val="21"/>
          <w:color w:val="auto"/>
        </w:rPr>
      </w:pPr>
    </w:p>
    <w:p>
      <w:pPr>
        <w:ind w:left="260" w:right="120" w:hanging="211"/>
        <w:spacing w:after="0" w:line="296" w:lineRule="auto"/>
        <w:tabs>
          <w:tab w:leader="none" w:pos="26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Rodney S. Bond. </w:t>
      </w:r>
      <w:r>
        <w:rPr>
          <w:rFonts w:ascii="Arial" w:cs="Arial" w:eastAsia="Arial" w:hAnsi="Arial"/>
          <w:sz w:val="19"/>
          <w:szCs w:val="19"/>
          <w:color w:val="auto"/>
        </w:rPr>
        <w:t>Includes immediately exercisable options to purchase 34,500 shares of common stock, 27,000 of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were vested as of March 1, 2002. Mr. Bond's address is c/o Sherman Partners, 4908 Bull Mountain Cove, Austin, Texas 78746.</w:t>
      </w:r>
    </w:p>
    <w:p>
      <w:pPr>
        <w:spacing w:after="0" w:line="1" w:lineRule="exact"/>
        <w:rPr>
          <w:rFonts w:ascii="Arial" w:cs="Arial" w:eastAsia="Arial" w:hAnsi="Arial"/>
          <w:sz w:val="19"/>
          <w:szCs w:val="19"/>
          <w:color w:val="auto"/>
        </w:rPr>
      </w:pPr>
    </w:p>
    <w:p>
      <w:pPr>
        <w:ind w:left="260" w:right="260" w:hanging="211"/>
        <w:spacing w:after="0" w:line="287" w:lineRule="auto"/>
        <w:tabs>
          <w:tab w:leader="none" w:pos="26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Eric L. Jones. </w:t>
      </w:r>
      <w:r>
        <w:rPr>
          <w:rFonts w:ascii="Arial" w:cs="Arial" w:eastAsia="Arial" w:hAnsi="Arial"/>
          <w:sz w:val="19"/>
          <w:szCs w:val="19"/>
          <w:color w:val="auto"/>
        </w:rPr>
        <w:t>Includes immediately exercisable options to purchase 7,500 shares of common stock, none of which were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vested as of March 1, 2002. Additionally, 38,880 of the shares indicated as owned by Mr. Jones are included because of his position as a trustee of various trusts for the benefit of his family members. Mr. Jones disclaims beneficial ownership of these shares. Mr. Jones' address is c/o SSM Corporation, 110 Wild Basin Rd., Suite 280, Austin, Texas 78746.</w:t>
      </w:r>
    </w:p>
    <w:p>
      <w:pPr>
        <w:sectPr>
          <w:pgSz w:w="11900" w:h="16838" w:orient="portrait"/>
          <w:cols w:equalWidth="0" w:num="1">
            <w:col w:w="11380"/>
          </w:cols>
          <w:pgMar w:left="240" w:top="118" w:right="279" w:bottom="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118" w:right="279" w:bottom="0" w:gutter="0" w:footer="0" w:header="0"/>
          <w:type w:val="continuous"/>
        </w:sectPr>
      </w:pPr>
    </w:p>
    <w:bookmarkStart w:id="7" w:name="page8"/>
    <w:bookmarkEnd w:id="7"/>
    <w:p>
      <w:pPr>
        <w:ind w:left="260" w:right="120" w:hanging="211"/>
        <w:spacing w:after="0"/>
        <w:tabs>
          <w:tab w:leader="none" w:pos="260" w:val="left"/>
        </w:tabs>
        <w:numPr>
          <w:ilvl w:val="0"/>
          <w:numId w:val="1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Jan H. Lindelow. </w:t>
      </w:r>
      <w:r>
        <w:rPr>
          <w:rFonts w:ascii="Arial" w:cs="Arial" w:eastAsia="Arial" w:hAnsi="Arial"/>
          <w:sz w:val="22"/>
          <w:szCs w:val="22"/>
          <w:color w:val="auto"/>
        </w:rPr>
        <w:t>Includes immediately exercisable options to purchase 7,500 shares of common stock, none of which are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vested on March 1, 2002. Mr. Lindelow's address is c/o IBM Corporation, 9442 Capital of Texas Highway North, Austin, Texas 78759.</w:t>
      </w:r>
    </w:p>
    <w:p>
      <w:pPr>
        <w:spacing w:after="0" w:line="24" w:lineRule="exact"/>
        <w:rPr>
          <w:rFonts w:ascii="Arial" w:cs="Arial" w:eastAsia="Arial" w:hAnsi="Arial"/>
          <w:sz w:val="22"/>
          <w:szCs w:val="22"/>
          <w:color w:val="auto"/>
        </w:rPr>
      </w:pPr>
    </w:p>
    <w:p>
      <w:pPr>
        <w:ind w:left="260" w:right="280" w:hanging="211"/>
        <w:spacing w:after="0"/>
        <w:tabs>
          <w:tab w:leader="none" w:pos="260" w:val="left"/>
        </w:tabs>
        <w:numPr>
          <w:ilvl w:val="0"/>
          <w:numId w:val="1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Terrence L. Rock. </w:t>
      </w:r>
      <w:r>
        <w:rPr>
          <w:rFonts w:ascii="Arial" w:cs="Arial" w:eastAsia="Arial" w:hAnsi="Arial"/>
          <w:sz w:val="22"/>
          <w:szCs w:val="22"/>
          <w:color w:val="auto"/>
        </w:rPr>
        <w:t>Includes immediately exercisable options to purchase 7,500 shares of common stock, none of which are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vested on March 1, 2002. Mr. Rock's address is c/o CenterPoint Venture Partners, 13455 Noel Road, Suite 1670, Two Galleria Tower, Dallas, Texas 75240.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RELATED TRANSACTIONS</w:t>
      </w:r>
    </w:p>
    <w:p>
      <w:pPr>
        <w:spacing w:after="0" w:line="212"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i w:val="1"/>
          <w:iCs w:val="1"/>
          <w:color w:val="auto"/>
        </w:rPr>
        <w:t xml:space="preserve">Registration rights. </w:t>
      </w:r>
      <w:r>
        <w:rPr>
          <w:rFonts w:ascii="Arial" w:cs="Arial" w:eastAsia="Arial" w:hAnsi="Arial"/>
          <w:sz w:val="22"/>
          <w:szCs w:val="22"/>
          <w:color w:val="auto"/>
        </w:rPr>
        <w:t>According to the terms of an investors' rights agreement, some of our stockholders, including our chief</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officer, Joseph F. Pinkerton, III, may require us to file a registration statement under the Securities Act of 1933 with respect to the resale of their shares. We are not required to effect more than two of these demand registrations. Holders of demand registration rights may require us to file an unlimited number of registration statements on Form S-3 with respect to their shares of common stock.</w:t>
      </w:r>
    </w:p>
    <w:p>
      <w:pPr>
        <w:spacing w:after="0" w:line="188" w:lineRule="exact"/>
        <w:rPr>
          <w:sz w:val="20"/>
          <w:szCs w:val="20"/>
          <w:color w:val="auto"/>
        </w:rPr>
      </w:pPr>
    </w:p>
    <w:p>
      <w:pPr>
        <w:ind w:right="220" w:firstLine="312"/>
        <w:spacing w:after="0" w:line="238" w:lineRule="auto"/>
        <w:rPr>
          <w:sz w:val="20"/>
          <w:szCs w:val="20"/>
          <w:color w:val="auto"/>
        </w:rPr>
      </w:pPr>
      <w:r>
        <w:rPr>
          <w:rFonts w:ascii="Arial" w:cs="Arial" w:eastAsia="Arial" w:hAnsi="Arial"/>
          <w:sz w:val="22"/>
          <w:szCs w:val="22"/>
          <w:color w:val="auto"/>
        </w:rPr>
        <w:t>Additionally, some of our stockholders, including Mr. Pinkerton,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185" w:lineRule="exact"/>
        <w:rPr>
          <w:sz w:val="20"/>
          <w:szCs w:val="20"/>
          <w:color w:val="auto"/>
        </w:rPr>
      </w:pPr>
    </w:p>
    <w:p>
      <w:pPr>
        <w:ind w:right="60" w:firstLine="312"/>
        <w:spacing w:after="0" w:line="238" w:lineRule="auto"/>
        <w:rPr>
          <w:sz w:val="20"/>
          <w:szCs w:val="20"/>
          <w:color w:val="auto"/>
        </w:rPr>
      </w:pPr>
      <w:r>
        <w:rPr>
          <w:rFonts w:ascii="Arial" w:cs="Arial" w:eastAsia="Arial" w:hAnsi="Arial"/>
          <w:sz w:val="22"/>
          <w:szCs w:val="22"/>
          <w:color w:val="auto"/>
        </w:rPr>
        <w:t>At any time after we become eligible to file a registration statement on Form S-3 under the Securities Act, holders of demand registration rights may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one six-month period.</w:t>
      </w:r>
    </w:p>
    <w:p>
      <w:pPr>
        <w:spacing w:after="0" w:line="185" w:lineRule="exact"/>
        <w:rPr>
          <w:sz w:val="20"/>
          <w:szCs w:val="20"/>
          <w:color w:val="auto"/>
        </w:rPr>
      </w:pPr>
    </w:p>
    <w:p>
      <w:pPr>
        <w:ind w:right="40" w:firstLine="320"/>
        <w:spacing w:after="0" w:line="234" w:lineRule="auto"/>
        <w:rPr>
          <w:sz w:val="20"/>
          <w:szCs w:val="20"/>
          <w:color w:val="auto"/>
        </w:rPr>
      </w:pPr>
      <w:r>
        <w:rPr>
          <w:rFonts w:ascii="Arial" w:cs="Arial" w:eastAsia="Arial" w:hAnsi="Arial"/>
          <w:sz w:val="22"/>
          <w:szCs w:val="22"/>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91" w:lineRule="exact"/>
        <w:rPr>
          <w:sz w:val="20"/>
          <w:szCs w:val="20"/>
          <w:color w:val="auto"/>
        </w:rPr>
      </w:pPr>
    </w:p>
    <w:p>
      <w:pPr>
        <w:ind w:right="220" w:firstLine="324"/>
        <w:spacing w:after="0"/>
        <w:rPr>
          <w:sz w:val="20"/>
          <w:szCs w:val="20"/>
          <w:color w:val="auto"/>
        </w:rPr>
      </w:pPr>
      <w:r>
        <w:rPr>
          <w:rFonts w:ascii="Arial" w:cs="Arial" w:eastAsia="Arial" w:hAnsi="Arial"/>
          <w:sz w:val="22"/>
          <w:szCs w:val="22"/>
          <w:i w:val="1"/>
          <w:iCs w:val="1"/>
          <w:color w:val="auto"/>
        </w:rPr>
        <w:t>Stock options granted to executive officers and directors</w:t>
      </w:r>
      <w:r>
        <w:rPr>
          <w:rFonts w:ascii="Arial" w:cs="Arial" w:eastAsia="Arial" w:hAnsi="Arial"/>
          <w:sz w:val="22"/>
          <w:szCs w:val="22"/>
          <w:color w:val="auto"/>
        </w:rPr>
        <w:t>. For more information regarding the grant of stock options to</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officers and directors in fiscal 2001, please see "Director Compensation and Indemnification Arrangements" above and "Option Grants in Fiscal 2001" below.</w:t>
      </w:r>
    </w:p>
    <w:p>
      <w:pPr>
        <w:spacing w:after="0" w:line="186" w:lineRule="exact"/>
        <w:rPr>
          <w:sz w:val="20"/>
          <w:szCs w:val="20"/>
          <w:color w:val="auto"/>
        </w:rPr>
      </w:pPr>
    </w:p>
    <w:p>
      <w:pPr>
        <w:ind w:right="260" w:firstLine="324"/>
        <w:spacing w:after="0" w:line="328" w:lineRule="auto"/>
        <w:rPr>
          <w:sz w:val="20"/>
          <w:szCs w:val="20"/>
          <w:color w:val="auto"/>
        </w:rPr>
      </w:pPr>
      <w:r>
        <w:rPr>
          <w:rFonts w:ascii="Arial" w:cs="Arial" w:eastAsia="Arial" w:hAnsi="Arial"/>
          <w:sz w:val="19"/>
          <w:szCs w:val="19"/>
          <w:i w:val="1"/>
          <w:iCs w:val="1"/>
          <w:color w:val="auto"/>
        </w:rPr>
        <w:t>Employment agreements</w:t>
      </w:r>
      <w:r>
        <w:rPr>
          <w:rFonts w:ascii="Arial" w:cs="Arial" w:eastAsia="Arial" w:hAnsi="Arial"/>
          <w:sz w:val="19"/>
          <w:szCs w:val="19"/>
          <w:color w:val="auto"/>
        </w:rPr>
        <w:t>. For information regarding the employment agreements we have with Joseph F. Pinkerton, III, and</w:t>
      </w:r>
      <w:r>
        <w:rPr>
          <w:rFonts w:ascii="Arial" w:cs="Arial" w:eastAsia="Arial" w:hAnsi="Arial"/>
          <w:sz w:val="19"/>
          <w:szCs w:val="19"/>
          <w:i w:val="1"/>
          <w:iCs w:val="1"/>
          <w:color w:val="auto"/>
        </w:rPr>
        <w:t xml:space="preserve"> </w:t>
      </w:r>
      <w:r>
        <w:rPr>
          <w:rFonts w:ascii="Arial" w:cs="Arial" w:eastAsia="Arial" w:hAnsi="Arial"/>
          <w:sz w:val="19"/>
          <w:szCs w:val="19"/>
          <w:color w:val="auto"/>
        </w:rPr>
        <w:t>David S. Gino, please see "Employment Contracts, Termination of Employment and Change in Control Agreements" below.</w:t>
      </w:r>
    </w:p>
    <w:p>
      <w:pPr>
        <w:spacing w:after="0" w:line="105" w:lineRule="exact"/>
        <w:rPr>
          <w:sz w:val="20"/>
          <w:szCs w:val="20"/>
          <w:color w:val="auto"/>
        </w:rPr>
      </w:pPr>
    </w:p>
    <w:p>
      <w:pPr>
        <w:ind w:right="320" w:firstLine="324"/>
        <w:spacing w:after="0" w:line="258" w:lineRule="auto"/>
        <w:rPr>
          <w:sz w:val="20"/>
          <w:szCs w:val="20"/>
          <w:color w:val="auto"/>
        </w:rPr>
      </w:pPr>
      <w:r>
        <w:rPr>
          <w:rFonts w:ascii="Arial" w:cs="Arial" w:eastAsia="Arial" w:hAnsi="Arial"/>
          <w:sz w:val="21"/>
          <w:szCs w:val="21"/>
          <w:i w:val="1"/>
          <w:iCs w:val="1"/>
          <w:color w:val="auto"/>
        </w:rPr>
        <w:t>Redemption of 1992 preferred stock</w:t>
      </w:r>
      <w:r>
        <w:rPr>
          <w:rFonts w:ascii="Arial" w:cs="Arial" w:eastAsia="Arial" w:hAnsi="Arial"/>
          <w:sz w:val="21"/>
          <w:szCs w:val="21"/>
          <w:color w:val="auto"/>
        </w:rPr>
        <w:t>. In December 2001, we exercised our right to redeem our 1992 preferred stock. All</w:t>
      </w:r>
      <w:r>
        <w:rPr>
          <w:rFonts w:ascii="Arial" w:cs="Arial" w:eastAsia="Arial" w:hAnsi="Arial"/>
          <w:sz w:val="21"/>
          <w:szCs w:val="21"/>
          <w:i w:val="1"/>
          <w:iCs w:val="1"/>
          <w:color w:val="auto"/>
        </w:rPr>
        <w:t xml:space="preserve"> </w:t>
      </w:r>
      <w:r>
        <w:rPr>
          <w:rFonts w:ascii="Arial" w:cs="Arial" w:eastAsia="Arial" w:hAnsi="Arial"/>
          <w:sz w:val="21"/>
          <w:szCs w:val="21"/>
          <w:color w:val="auto"/>
        </w:rPr>
        <w:t>420,000 shares of this class of stock were redeemed for $210,000. Such redemption resulted in a payment of $50,000 to Richard Anderson, a member of our board of directors, for his 100,000 shares of 1992 preferred stock.</w:t>
      </w:r>
    </w:p>
    <w:p>
      <w:pPr>
        <w:spacing w:after="0" w:line="167"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i w:val="1"/>
          <w:iCs w:val="1"/>
          <w:color w:val="auto"/>
        </w:rPr>
        <w:t>Indemnification and Insurance</w:t>
      </w:r>
      <w:r>
        <w:rPr>
          <w:rFonts w:ascii="Arial" w:cs="Arial" w:eastAsia="Arial" w:hAnsi="Arial"/>
          <w:sz w:val="22"/>
          <w:szCs w:val="22"/>
          <w:color w:val="auto"/>
        </w:rPr>
        <w:t>. Our bylaws require us to indemnify our directors and executive officers to the fullest extent</w:t>
      </w:r>
      <w:r>
        <w:rPr>
          <w:rFonts w:ascii="Arial" w:cs="Arial" w:eastAsia="Arial" w:hAnsi="Arial"/>
          <w:sz w:val="22"/>
          <w:szCs w:val="22"/>
          <w:i w:val="1"/>
          <w:iCs w:val="1"/>
          <w:color w:val="auto"/>
        </w:rPr>
        <w:t xml:space="preserve"> </w:t>
      </w:r>
      <w:r>
        <w:rPr>
          <w:rFonts w:ascii="Arial" w:cs="Arial" w:eastAsia="Arial" w:hAnsi="Arial"/>
          <w:sz w:val="22"/>
          <w:szCs w:val="22"/>
          <w:color w:val="auto"/>
        </w:rPr>
        <w:t>permitted by Delaware law. We 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AUDIT COMMITTEE REPORT</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Audit Committee reports as follows with respect to the audit of our fiscal 2001 audited financial statements:</w:t>
      </w:r>
    </w:p>
    <w:p>
      <w:pPr>
        <w:spacing w:after="0" w:line="206"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Management is responsible for Active Power's internal controls and the financial reporting process. The independent auditors are responsible for performing an independent audit of Active Power's financial statements in accordance with auditing standards generally accepted in the United States and to issue a report thereon. The Committee's responsibility is to monitor and oversee these processes.</w:t>
      </w:r>
    </w:p>
    <w:p>
      <w:pPr>
        <w:spacing w:after="0" w:line="185" w:lineRule="exact"/>
        <w:rPr>
          <w:sz w:val="20"/>
          <w:szCs w:val="20"/>
          <w:color w:val="auto"/>
        </w:rPr>
      </w:pPr>
    </w:p>
    <w:p>
      <w:pPr>
        <w:ind w:right="220" w:firstLine="324"/>
        <w:spacing w:after="0" w:line="282" w:lineRule="auto"/>
        <w:rPr>
          <w:sz w:val="20"/>
          <w:szCs w:val="20"/>
          <w:color w:val="auto"/>
        </w:rPr>
      </w:pPr>
      <w:r>
        <w:rPr>
          <w:rFonts w:ascii="Arial" w:cs="Arial" w:eastAsia="Arial" w:hAnsi="Arial"/>
          <w:sz w:val="19"/>
          <w:szCs w:val="19"/>
          <w:color w:val="auto"/>
        </w:rPr>
        <w:t>In this context, the Committee has met and held discussions with management and the independent auditors. Management represented to the Committee that Active Power's consolidated financial statements were prepared in accordance with accounting principles generally accepted in the United States, and the Committee has reviewed and discussed the financial statements with management and the independent auditors. The Committee discussed with the independent auditors matters required to be discussed by Statement on Auditing Standards No. 61 (Communication with Audit Committees).</w:t>
      </w:r>
    </w:p>
    <w:p>
      <w:pPr>
        <w:spacing w:after="0" w:line="148" w:lineRule="exact"/>
        <w:rPr>
          <w:sz w:val="20"/>
          <w:szCs w:val="20"/>
          <w:color w:val="auto"/>
        </w:rPr>
      </w:pPr>
    </w:p>
    <w:p>
      <w:pPr>
        <w:ind w:right="660" w:firstLine="312"/>
        <w:spacing w:after="0" w:line="328" w:lineRule="auto"/>
        <w:rPr>
          <w:sz w:val="20"/>
          <w:szCs w:val="20"/>
          <w:color w:val="auto"/>
        </w:rPr>
      </w:pPr>
      <w:r>
        <w:rPr>
          <w:rFonts w:ascii="Arial" w:cs="Arial" w:eastAsia="Arial" w:hAnsi="Arial"/>
          <w:sz w:val="19"/>
          <w:szCs w:val="19"/>
          <w:color w:val="auto"/>
        </w:rPr>
        <w:t>Active Power's independent auditors also provided to the Committee the written disclosures required by Independence Standards Board Standard No. 1 (Independence Discussions with Audit Committees), and the Committee discussed with the</w:t>
      </w:r>
    </w:p>
    <w:p>
      <w:pPr>
        <w:sectPr>
          <w:pgSz w:w="11900" w:h="16838" w:orient="portrait"/>
          <w:cols w:equalWidth="0" w:num="1">
            <w:col w:w="11420"/>
          </w:cols>
          <w:pgMar w:left="240" w:top="159" w:right="239" w:bottom="0" w:gutter="0" w:footer="0" w:header="0"/>
        </w:sectPr>
      </w:pPr>
    </w:p>
    <w:bookmarkStart w:id="8" w:name="page9"/>
    <w:bookmarkEnd w:id="8"/>
    <w:p>
      <w:pPr>
        <w:ind w:right="40"/>
        <w:spacing w:after="0" w:line="251" w:lineRule="auto"/>
        <w:rPr>
          <w:sz w:val="20"/>
          <w:szCs w:val="20"/>
          <w:color w:val="auto"/>
        </w:rPr>
      </w:pPr>
      <w:r>
        <w:rPr>
          <w:rFonts w:ascii="Arial" w:cs="Arial" w:eastAsia="Arial" w:hAnsi="Arial"/>
          <w:sz w:val="22"/>
          <w:szCs w:val="22"/>
          <w:color w:val="auto"/>
        </w:rPr>
        <w:t>independent auditors that firm's independence and considered the compatibility of non-audit services with the independent auditors' independence.</w:t>
      </w:r>
    </w:p>
    <w:p>
      <w:pPr>
        <w:spacing w:after="0" w:line="174" w:lineRule="exact"/>
        <w:rPr>
          <w:sz w:val="20"/>
          <w:szCs w:val="20"/>
          <w:color w:val="auto"/>
        </w:rPr>
      </w:pPr>
    </w:p>
    <w:p>
      <w:pPr>
        <w:ind w:right="220" w:firstLine="324"/>
        <w:spacing w:after="0" w:line="252" w:lineRule="auto"/>
        <w:rPr>
          <w:sz w:val="20"/>
          <w:szCs w:val="20"/>
          <w:color w:val="auto"/>
        </w:rPr>
      </w:pPr>
      <w:r>
        <w:rPr>
          <w:rFonts w:ascii="Arial" w:cs="Arial" w:eastAsia="Arial" w:hAnsi="Arial"/>
          <w:sz w:val="21"/>
          <w:szCs w:val="21"/>
          <w:color w:val="auto"/>
        </w:rPr>
        <w:t>Based upon the Committee's discussion with management and the independent auditors and the Committee's review of the representation of management and the report of the independent auditors to the Committee, the Committee recommended that the board of directors include the audited financial statements in Active Power's Annual Report on Form 10-K for the year ended December 31, 2001 filed with the Securities and Exchange Commission.</w:t>
      </w:r>
    </w:p>
    <w:p>
      <w:pPr>
        <w:spacing w:after="0" w:line="18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Rodney S. Bond</w:t>
      </w:r>
    </w:p>
    <w:p>
      <w:pPr>
        <w:ind w:left="6080"/>
        <w:spacing w:after="0" w:line="238" w:lineRule="auto"/>
        <w:rPr>
          <w:sz w:val="20"/>
          <w:szCs w:val="20"/>
          <w:color w:val="auto"/>
        </w:rPr>
      </w:pPr>
      <w:r>
        <w:rPr>
          <w:rFonts w:ascii="Arial" w:cs="Arial" w:eastAsia="Arial" w:hAnsi="Arial"/>
          <w:sz w:val="22"/>
          <w:szCs w:val="22"/>
          <w:color w:val="auto"/>
        </w:rPr>
        <w:t>Jan H. Lindelow</w:t>
      </w:r>
    </w:p>
    <w:p>
      <w:pPr>
        <w:ind w:left="6080"/>
        <w:spacing w:after="0"/>
        <w:rPr>
          <w:sz w:val="20"/>
          <w:szCs w:val="20"/>
          <w:color w:val="auto"/>
        </w:rPr>
      </w:pPr>
      <w:r>
        <w:rPr>
          <w:rFonts w:ascii="Arial" w:cs="Arial" w:eastAsia="Arial" w:hAnsi="Arial"/>
          <w:sz w:val="22"/>
          <w:szCs w:val="22"/>
          <w:color w:val="auto"/>
        </w:rPr>
        <w:t>Terrence L. Rock</w:t>
      </w:r>
    </w:p>
    <w:p>
      <w:pPr>
        <w:spacing w:after="0" w:line="20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EXECUTIVE COMPENSATION AND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Cash and Certain Other Compensation</w:t>
      </w:r>
    </w:p>
    <w:p>
      <w:pPr>
        <w:spacing w:after="0" w:line="212" w:lineRule="exact"/>
        <w:rPr>
          <w:sz w:val="20"/>
          <w:szCs w:val="20"/>
          <w:color w:val="auto"/>
        </w:rPr>
      </w:pPr>
    </w:p>
    <w:p>
      <w:pPr>
        <w:ind w:firstLine="320"/>
        <w:spacing w:after="0" w:line="297" w:lineRule="auto"/>
        <w:rPr>
          <w:sz w:val="20"/>
          <w:szCs w:val="20"/>
          <w:color w:val="auto"/>
        </w:rPr>
      </w:pPr>
      <w:r>
        <w:rPr>
          <w:rFonts w:ascii="Arial" w:cs="Arial" w:eastAsia="Arial" w:hAnsi="Arial"/>
          <w:sz w:val="19"/>
          <w:szCs w:val="19"/>
          <w:color w:val="auto"/>
        </w:rPr>
        <w:t>The following table provides certain summary information concerning the compensation earned, by our Chief Executive Officer and each of the four other most highly compensated executive officers whose salary and bonus for fiscal 2001 was in excess of $100,000, for services rendered in all capacities to the company for the fiscal years ended December 31, 1999, 2000 and 2001.</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180" w:type="dxa"/>
            <w:vAlign w:val="bottom"/>
            <w:gridSpan w:val="8"/>
          </w:tcPr>
          <w:p>
            <w:pPr>
              <w:ind w:left="260"/>
              <w:spacing w:after="0"/>
              <w:rPr>
                <w:sz w:val="20"/>
                <w:szCs w:val="20"/>
                <w:color w:val="auto"/>
              </w:rPr>
            </w:pPr>
            <w:r>
              <w:rPr>
                <w:rFonts w:ascii="Arial" w:cs="Arial" w:eastAsia="Arial" w:hAnsi="Arial"/>
                <w:sz w:val="22"/>
                <w:szCs w:val="22"/>
                <w:b w:val="1"/>
                <w:bCs w:val="1"/>
                <w:color w:val="auto"/>
              </w:rPr>
              <w:t>SUMMARY COMPENSATION TABLE</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2"/>
        </w:trPr>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0"/>
              </w:rPr>
              <w:t>Long-Term</w:t>
            </w:r>
          </w:p>
        </w:tc>
      </w:tr>
      <w:tr>
        <w:trPr>
          <w:trHeight w:val="281"/>
        </w:trPr>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60" w:type="dxa"/>
            <w:vAlign w:val="bottom"/>
            <w:gridSpan w:val="5"/>
          </w:tcPr>
          <w:p>
            <w:pPr>
              <w:ind w:left="540"/>
              <w:spacing w:after="0"/>
              <w:rPr>
                <w:sz w:val="20"/>
                <w:szCs w:val="20"/>
                <w:color w:val="auto"/>
              </w:rPr>
            </w:pPr>
            <w:r>
              <w:rPr>
                <w:rFonts w:ascii="Arial" w:cs="Arial" w:eastAsia="Arial" w:hAnsi="Arial"/>
                <w:sz w:val="22"/>
                <w:szCs w:val="22"/>
                <w:b w:val="1"/>
                <w:bCs w:val="1"/>
                <w:color w:val="auto"/>
              </w:rPr>
              <w:t>Annual Compensation</w:t>
            </w:r>
          </w:p>
        </w:tc>
        <w:tc>
          <w:tcPr>
            <w:tcW w:w="60" w:type="dxa"/>
            <w:vAlign w:val="bottom"/>
          </w:tcPr>
          <w:p>
            <w:pPr>
              <w:spacing w:after="0"/>
              <w:rPr>
                <w:sz w:val="24"/>
                <w:szCs w:val="24"/>
                <w:color w:val="auto"/>
              </w:rPr>
            </w:pPr>
          </w:p>
        </w:tc>
        <w:tc>
          <w:tcPr>
            <w:tcW w:w="25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7"/>
              </w:rPr>
              <w:t>Compensation Awards</w:t>
            </w:r>
          </w:p>
        </w:tc>
      </w:tr>
      <w:tr>
        <w:trPr>
          <w:trHeight w:val="98"/>
        </w:trPr>
        <w:tc>
          <w:tcPr>
            <w:tcW w:w="1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371"/>
        </w:trPr>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3"/>
              </w:rPr>
              <w:t>Other Annual</w:t>
            </w: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95"/>
              </w:rPr>
              <w:t>Securities</w:t>
            </w: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6"/>
              </w:rPr>
              <w:t>All Other</w:t>
            </w:r>
          </w:p>
        </w:tc>
      </w:tr>
      <w:tr>
        <w:trPr>
          <w:trHeight w:val="243"/>
        </w:trPr>
        <w:tc>
          <w:tcPr>
            <w:tcW w:w="35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Name and</w:t>
            </w:r>
          </w:p>
        </w:tc>
        <w:tc>
          <w:tcPr>
            <w:tcW w:w="1300" w:type="dxa"/>
            <w:vAlign w:val="bottom"/>
          </w:tcPr>
          <w:p>
            <w:pPr>
              <w:spacing w:after="0"/>
              <w:rPr>
                <w:sz w:val="21"/>
                <w:szCs w:val="21"/>
                <w:color w:val="auto"/>
              </w:rPr>
            </w:pPr>
          </w:p>
        </w:tc>
        <w:tc>
          <w:tcPr>
            <w:tcW w:w="6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Fiscal</w:t>
            </w:r>
          </w:p>
        </w:tc>
        <w:tc>
          <w:tcPr>
            <w:tcW w:w="60" w:type="dxa"/>
            <w:vAlign w:val="bottom"/>
          </w:tcPr>
          <w:p>
            <w:pPr>
              <w:spacing w:after="0"/>
              <w:rPr>
                <w:sz w:val="21"/>
                <w:szCs w:val="21"/>
                <w:color w:val="auto"/>
              </w:rPr>
            </w:pPr>
          </w:p>
        </w:tc>
        <w:tc>
          <w:tcPr>
            <w:tcW w:w="900" w:type="dxa"/>
            <w:vAlign w:val="bottom"/>
            <w:gridSpan w:val="2"/>
          </w:tcPr>
          <w:p>
            <w:pPr>
              <w:ind w:left="120"/>
              <w:spacing w:after="0" w:line="243" w:lineRule="exact"/>
              <w:rPr>
                <w:sz w:val="20"/>
                <w:szCs w:val="20"/>
                <w:color w:val="auto"/>
              </w:rPr>
            </w:pPr>
            <w:r>
              <w:rPr>
                <w:rFonts w:ascii="Arial" w:cs="Arial" w:eastAsia="Arial" w:hAnsi="Arial"/>
                <w:sz w:val="22"/>
                <w:szCs w:val="22"/>
                <w:b w:val="1"/>
                <w:bCs w:val="1"/>
                <w:color w:val="auto"/>
              </w:rPr>
              <w:t>Salary</w:t>
            </w:r>
          </w:p>
        </w:tc>
        <w:tc>
          <w:tcPr>
            <w:tcW w:w="820" w:type="dxa"/>
            <w:vAlign w:val="bottom"/>
          </w:tcPr>
          <w:p>
            <w:pPr>
              <w:jc w:val="right"/>
              <w:ind w:right="12"/>
              <w:spacing w:after="0" w:line="243" w:lineRule="exact"/>
              <w:rPr>
                <w:sz w:val="20"/>
                <w:szCs w:val="20"/>
                <w:color w:val="auto"/>
              </w:rPr>
            </w:pPr>
            <w:r>
              <w:rPr>
                <w:rFonts w:ascii="Arial" w:cs="Arial" w:eastAsia="Arial" w:hAnsi="Arial"/>
                <w:sz w:val="22"/>
                <w:szCs w:val="22"/>
                <w:b w:val="1"/>
                <w:bCs w:val="1"/>
                <w:color w:val="auto"/>
                <w:w w:val="99"/>
              </w:rPr>
              <w:t>Bonus</w:t>
            </w:r>
          </w:p>
        </w:tc>
        <w:tc>
          <w:tcPr>
            <w:tcW w:w="60" w:type="dxa"/>
            <w:vAlign w:val="bottom"/>
          </w:tcPr>
          <w:p>
            <w:pPr>
              <w:spacing w:after="0"/>
              <w:rPr>
                <w:sz w:val="21"/>
                <w:szCs w:val="21"/>
                <w:color w:val="auto"/>
              </w:rPr>
            </w:pPr>
          </w:p>
        </w:tc>
        <w:tc>
          <w:tcPr>
            <w:tcW w:w="13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Compensation</w:t>
            </w:r>
          </w:p>
        </w:tc>
        <w:tc>
          <w:tcPr>
            <w:tcW w:w="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w w:val="92"/>
              </w:rPr>
              <w:t>Underlying</w:t>
            </w:r>
          </w:p>
        </w:tc>
        <w:tc>
          <w:tcPr>
            <w:tcW w:w="60" w:type="dxa"/>
            <w:vAlign w:val="bottom"/>
          </w:tcPr>
          <w:p>
            <w:pPr>
              <w:spacing w:after="0"/>
              <w:rPr>
                <w:sz w:val="21"/>
                <w:szCs w:val="21"/>
                <w:color w:val="auto"/>
              </w:rPr>
            </w:pPr>
          </w:p>
        </w:tc>
        <w:tc>
          <w:tcPr>
            <w:tcW w:w="13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Compensation</w:t>
            </w:r>
          </w:p>
        </w:tc>
      </w:tr>
      <w:tr>
        <w:trPr>
          <w:trHeight w:val="281"/>
        </w:trPr>
        <w:tc>
          <w:tcPr>
            <w:tcW w:w="3540" w:type="dxa"/>
            <w:vAlign w:val="bottom"/>
            <w:gridSpan w:val="2"/>
          </w:tcPr>
          <w:p>
            <w:pPr>
              <w:spacing w:after="0"/>
              <w:rPr>
                <w:sz w:val="20"/>
                <w:szCs w:val="20"/>
                <w:color w:val="auto"/>
              </w:rPr>
            </w:pPr>
            <w:r>
              <w:rPr>
                <w:rFonts w:ascii="Arial" w:cs="Arial" w:eastAsia="Arial" w:hAnsi="Arial"/>
                <w:sz w:val="22"/>
                <w:szCs w:val="22"/>
                <w:b w:val="1"/>
                <w:bCs w:val="1"/>
                <w:color w:val="auto"/>
              </w:rPr>
              <w:t>Principal Position</w:t>
            </w:r>
          </w:p>
        </w:tc>
        <w:tc>
          <w:tcPr>
            <w:tcW w:w="13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22"/>
                <w:szCs w:val="22"/>
                <w:b w:val="1"/>
                <w:bCs w:val="1"/>
                <w:color w:val="auto"/>
                <w:w w:val="92"/>
              </w:rPr>
              <w:t>Year</w:t>
            </w:r>
          </w:p>
        </w:tc>
        <w:tc>
          <w:tcPr>
            <w:tcW w:w="90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w:t>
            </w:r>
          </w:p>
        </w:tc>
        <w:tc>
          <w:tcPr>
            <w:tcW w:w="6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Arial" w:cs="Arial" w:eastAsia="Arial" w:hAnsi="Arial"/>
                <w:sz w:val="22"/>
                <w:szCs w:val="22"/>
                <w:b w:val="1"/>
                <w:bCs w:val="1"/>
                <w:color w:val="auto"/>
              </w:rPr>
              <w:t>($)</w:t>
            </w:r>
          </w:p>
        </w:tc>
        <w:tc>
          <w:tcPr>
            <w:tcW w:w="1440" w:type="dxa"/>
            <w:vAlign w:val="bottom"/>
            <w:gridSpan w:val="2"/>
          </w:tcPr>
          <w:p>
            <w:pPr>
              <w:jc w:val="center"/>
              <w:spacing w:after="0"/>
              <w:rPr>
                <w:sz w:val="20"/>
                <w:szCs w:val="20"/>
                <w:color w:val="auto"/>
              </w:rPr>
            </w:pPr>
            <w:r>
              <w:rPr>
                <w:rFonts w:ascii="Arial" w:cs="Arial" w:eastAsia="Arial" w:hAnsi="Arial"/>
                <w:sz w:val="22"/>
                <w:szCs w:val="22"/>
                <w:b w:val="1"/>
                <w:bCs w:val="1"/>
                <w:color w:val="auto"/>
                <w:w w:val="96"/>
              </w:rPr>
              <w:t>($)</w:t>
            </w: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91"/>
              </w:rPr>
              <w:t>Options (#)</w:t>
            </w:r>
          </w:p>
        </w:tc>
        <w:tc>
          <w:tcPr>
            <w:tcW w:w="1440" w:type="dxa"/>
            <w:vAlign w:val="bottom"/>
            <w:gridSpan w:val="2"/>
          </w:tcPr>
          <w:p>
            <w:pPr>
              <w:jc w:val="center"/>
              <w:spacing w:after="0"/>
              <w:rPr>
                <w:sz w:val="20"/>
                <w:szCs w:val="20"/>
                <w:color w:val="auto"/>
              </w:rPr>
            </w:pPr>
            <w:r>
              <w:rPr>
                <w:rFonts w:ascii="Arial" w:cs="Arial" w:eastAsia="Arial" w:hAnsi="Arial"/>
                <w:sz w:val="22"/>
                <w:szCs w:val="22"/>
                <w:b w:val="1"/>
                <w:bCs w:val="1"/>
                <w:color w:val="auto"/>
                <w:w w:val="96"/>
              </w:rPr>
              <w:t>($)</w:t>
            </w:r>
          </w:p>
        </w:tc>
      </w:tr>
      <w:tr>
        <w:trPr>
          <w:trHeight w:val="98"/>
        </w:trPr>
        <w:tc>
          <w:tcPr>
            <w:tcW w:w="1700" w:type="dxa"/>
            <w:vAlign w:val="bottom"/>
            <w:tcBorders>
              <w:bottom w:val="single" w:sz="8" w:color="9A9A9A"/>
            </w:tcBorders>
          </w:tcPr>
          <w:p>
            <w:pPr>
              <w:spacing w:after="0"/>
              <w:rPr>
                <w:sz w:val="8"/>
                <w:szCs w:val="8"/>
                <w:color w:val="auto"/>
              </w:rPr>
            </w:pPr>
          </w:p>
        </w:tc>
        <w:tc>
          <w:tcPr>
            <w:tcW w:w="1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409"/>
        </w:trPr>
        <w:tc>
          <w:tcPr>
            <w:tcW w:w="3540" w:type="dxa"/>
            <w:vAlign w:val="bottom"/>
            <w:gridSpan w:val="2"/>
          </w:tcPr>
          <w:p>
            <w:pPr>
              <w:spacing w:after="0"/>
              <w:rPr>
                <w:sz w:val="20"/>
                <w:szCs w:val="20"/>
                <w:color w:val="auto"/>
              </w:rPr>
            </w:pPr>
            <w:r>
              <w:rPr>
                <w:rFonts w:ascii="Arial" w:cs="Arial" w:eastAsia="Arial" w:hAnsi="Arial"/>
                <w:sz w:val="22"/>
                <w:szCs w:val="22"/>
                <w:color w:val="auto"/>
              </w:rPr>
              <w:t>Joseph F. Pinkerton, III</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2001</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263,293</w:t>
            </w:r>
          </w:p>
        </w:tc>
        <w:tc>
          <w:tcPr>
            <w:tcW w:w="820" w:type="dxa"/>
            <w:vAlign w:val="bottom"/>
          </w:tcPr>
          <w:p>
            <w:pPr>
              <w:jc w:val="right"/>
              <w:spacing w:after="0"/>
              <w:rPr>
                <w:sz w:val="20"/>
                <w:szCs w:val="20"/>
                <w:color w:val="auto"/>
              </w:rPr>
            </w:pPr>
            <w:r>
              <w:rPr>
                <w:rFonts w:ascii="Arial" w:cs="Arial" w:eastAsia="Arial" w:hAnsi="Arial"/>
                <w:sz w:val="22"/>
                <w:szCs w:val="22"/>
                <w:color w:val="auto"/>
              </w:rPr>
              <w:t>50,000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70,500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ind w:left="220"/>
              <w:spacing w:after="0"/>
              <w:rPr>
                <w:sz w:val="20"/>
                <w:szCs w:val="20"/>
                <w:color w:val="auto"/>
              </w:rPr>
            </w:pPr>
            <w:r>
              <w:rPr>
                <w:rFonts w:ascii="Arial" w:cs="Arial" w:eastAsia="Arial" w:hAnsi="Arial"/>
                <w:sz w:val="22"/>
                <w:szCs w:val="22"/>
                <w:i w:val="1"/>
                <w:iCs w:val="1"/>
                <w:color w:val="auto"/>
              </w:rPr>
              <w:t>Chairman of the Board and</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2000</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244,524</w:t>
            </w:r>
          </w:p>
        </w:tc>
        <w:tc>
          <w:tcPr>
            <w:tcW w:w="820" w:type="dxa"/>
            <w:vAlign w:val="bottom"/>
          </w:tcPr>
          <w:p>
            <w:pPr>
              <w:jc w:val="right"/>
              <w:spacing w:after="0"/>
              <w:rPr>
                <w:sz w:val="20"/>
                <w:szCs w:val="20"/>
                <w:color w:val="auto"/>
              </w:rPr>
            </w:pPr>
            <w:r>
              <w:rPr>
                <w:rFonts w:ascii="Arial" w:cs="Arial" w:eastAsia="Arial" w:hAnsi="Arial"/>
                <w:sz w:val="22"/>
                <w:szCs w:val="22"/>
                <w:color w:val="auto"/>
              </w:rPr>
              <w:t>90,000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ind w:left="220"/>
              <w:spacing w:after="0"/>
              <w:rPr>
                <w:sz w:val="20"/>
                <w:szCs w:val="20"/>
                <w:color w:val="auto"/>
              </w:rPr>
            </w:pPr>
            <w:r>
              <w:rPr>
                <w:rFonts w:ascii="Arial" w:cs="Arial" w:eastAsia="Arial" w:hAnsi="Arial"/>
                <w:sz w:val="22"/>
                <w:szCs w:val="22"/>
                <w:i w:val="1"/>
                <w:iCs w:val="1"/>
                <w:color w:val="auto"/>
              </w:rPr>
              <w:t>Chief Executive Officer</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1999</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157,308</w:t>
            </w:r>
          </w:p>
        </w:tc>
        <w:tc>
          <w:tcPr>
            <w:tcW w:w="820" w:type="dxa"/>
            <w:vAlign w:val="bottom"/>
          </w:tcPr>
          <w:p>
            <w:pPr>
              <w:jc w:val="right"/>
              <w:spacing w:after="0"/>
              <w:rPr>
                <w:sz w:val="20"/>
                <w:szCs w:val="20"/>
                <w:color w:val="auto"/>
              </w:rPr>
            </w:pPr>
            <w:r>
              <w:rPr>
                <w:rFonts w:ascii="Arial" w:cs="Arial" w:eastAsia="Arial" w:hAnsi="Arial"/>
                <w:sz w:val="22"/>
                <w:szCs w:val="22"/>
                <w:color w:val="auto"/>
              </w:rPr>
              <w:t>50,000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spacing w:after="0"/>
              <w:rPr>
                <w:sz w:val="20"/>
                <w:szCs w:val="20"/>
                <w:color w:val="auto"/>
              </w:rPr>
            </w:pPr>
            <w:r>
              <w:rPr>
                <w:rFonts w:ascii="Arial" w:cs="Arial" w:eastAsia="Arial" w:hAnsi="Arial"/>
                <w:sz w:val="22"/>
                <w:szCs w:val="22"/>
                <w:color w:val="auto"/>
              </w:rPr>
              <w:t>David S. Gino (1)</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2001</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193,534</w:t>
            </w:r>
          </w:p>
        </w:tc>
        <w:tc>
          <w:tcPr>
            <w:tcW w:w="820" w:type="dxa"/>
            <w:vAlign w:val="bottom"/>
          </w:tcPr>
          <w:p>
            <w:pPr>
              <w:jc w:val="right"/>
              <w:spacing w:after="0"/>
              <w:rPr>
                <w:sz w:val="20"/>
                <w:szCs w:val="20"/>
                <w:color w:val="auto"/>
              </w:rPr>
            </w:pPr>
            <w:r>
              <w:rPr>
                <w:rFonts w:ascii="Arial" w:cs="Arial" w:eastAsia="Arial" w:hAnsi="Arial"/>
                <w:sz w:val="22"/>
                <w:szCs w:val="22"/>
                <w:color w:val="auto"/>
              </w:rPr>
              <w:t>37,500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40,500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ind w:left="220"/>
              <w:spacing w:after="0"/>
              <w:rPr>
                <w:sz w:val="20"/>
                <w:szCs w:val="20"/>
                <w:color w:val="auto"/>
              </w:rPr>
            </w:pPr>
            <w:r>
              <w:rPr>
                <w:rFonts w:ascii="Arial" w:cs="Arial" w:eastAsia="Arial" w:hAnsi="Arial"/>
                <w:sz w:val="22"/>
                <w:szCs w:val="22"/>
                <w:i w:val="1"/>
                <w:iCs w:val="1"/>
                <w:color w:val="auto"/>
              </w:rPr>
              <w:t>Chief Operating Officer and</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2000</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194,376</w:t>
            </w:r>
          </w:p>
        </w:tc>
        <w:tc>
          <w:tcPr>
            <w:tcW w:w="820" w:type="dxa"/>
            <w:vAlign w:val="bottom"/>
          </w:tcPr>
          <w:p>
            <w:pPr>
              <w:jc w:val="right"/>
              <w:spacing w:after="0"/>
              <w:rPr>
                <w:sz w:val="20"/>
                <w:szCs w:val="20"/>
                <w:color w:val="auto"/>
              </w:rPr>
            </w:pPr>
            <w:r>
              <w:rPr>
                <w:rFonts w:ascii="Arial" w:cs="Arial" w:eastAsia="Arial" w:hAnsi="Arial"/>
                <w:sz w:val="22"/>
                <w:szCs w:val="22"/>
                <w:color w:val="auto"/>
              </w:rPr>
              <w:t>60,000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ind w:left="220"/>
              <w:spacing w:after="0"/>
              <w:rPr>
                <w:sz w:val="20"/>
                <w:szCs w:val="20"/>
                <w:color w:val="auto"/>
              </w:rPr>
            </w:pPr>
            <w:r>
              <w:rPr>
                <w:rFonts w:ascii="Arial" w:cs="Arial" w:eastAsia="Arial" w:hAnsi="Arial"/>
                <w:sz w:val="22"/>
                <w:szCs w:val="22"/>
                <w:i w:val="1"/>
                <w:iCs w:val="1"/>
                <w:color w:val="auto"/>
              </w:rPr>
              <w:t>Chief Financial Officer</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1999</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13,982</w:t>
            </w:r>
          </w:p>
        </w:tc>
        <w:tc>
          <w:tcPr>
            <w:tcW w:w="8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432,000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spacing w:after="0"/>
              <w:rPr>
                <w:sz w:val="20"/>
                <w:szCs w:val="20"/>
                <w:color w:val="auto"/>
              </w:rPr>
            </w:pPr>
            <w:r>
              <w:rPr>
                <w:rFonts w:ascii="Arial" w:cs="Arial" w:eastAsia="Arial" w:hAnsi="Arial"/>
                <w:sz w:val="22"/>
                <w:szCs w:val="22"/>
                <w:color w:val="auto"/>
              </w:rPr>
              <w:t>Mark A. Ascolese (2)</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2001</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170,223</w:t>
            </w:r>
          </w:p>
        </w:tc>
        <w:tc>
          <w:tcPr>
            <w:tcW w:w="820" w:type="dxa"/>
            <w:vAlign w:val="bottom"/>
          </w:tcPr>
          <w:p>
            <w:pPr>
              <w:jc w:val="right"/>
              <w:spacing w:after="0"/>
              <w:rPr>
                <w:sz w:val="20"/>
                <w:szCs w:val="20"/>
                <w:color w:val="auto"/>
              </w:rPr>
            </w:pPr>
            <w:r>
              <w:rPr>
                <w:rFonts w:ascii="Arial" w:cs="Arial" w:eastAsia="Arial" w:hAnsi="Arial"/>
                <w:sz w:val="22"/>
                <w:szCs w:val="22"/>
                <w:color w:val="auto"/>
              </w:rPr>
              <w:t>30,000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60,500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ind w:left="220"/>
              <w:spacing w:after="0"/>
              <w:rPr>
                <w:sz w:val="20"/>
                <w:szCs w:val="20"/>
                <w:color w:val="auto"/>
              </w:rPr>
            </w:pPr>
            <w:r>
              <w:rPr>
                <w:rFonts w:ascii="Arial" w:cs="Arial" w:eastAsia="Arial" w:hAnsi="Arial"/>
                <w:sz w:val="22"/>
                <w:szCs w:val="22"/>
                <w:i w:val="1"/>
                <w:iCs w:val="1"/>
                <w:color w:val="auto"/>
              </w:rPr>
              <w:t>Vice President of Business</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2000</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140,490</w:t>
            </w:r>
          </w:p>
        </w:tc>
        <w:tc>
          <w:tcPr>
            <w:tcW w:w="820" w:type="dxa"/>
            <w:vAlign w:val="bottom"/>
          </w:tcPr>
          <w:p>
            <w:pPr>
              <w:jc w:val="right"/>
              <w:spacing w:after="0"/>
              <w:rPr>
                <w:sz w:val="20"/>
                <w:szCs w:val="20"/>
                <w:color w:val="auto"/>
              </w:rPr>
            </w:pPr>
            <w:r>
              <w:rPr>
                <w:rFonts w:ascii="Arial" w:cs="Arial" w:eastAsia="Arial" w:hAnsi="Arial"/>
                <w:sz w:val="22"/>
                <w:szCs w:val="22"/>
                <w:color w:val="auto"/>
              </w:rPr>
              <w:t>50,000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216,000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ind w:left="220"/>
              <w:spacing w:after="0"/>
              <w:rPr>
                <w:sz w:val="20"/>
                <w:szCs w:val="20"/>
                <w:color w:val="auto"/>
              </w:rPr>
            </w:pPr>
            <w:r>
              <w:rPr>
                <w:rFonts w:ascii="Arial" w:cs="Arial" w:eastAsia="Arial" w:hAnsi="Arial"/>
                <w:sz w:val="22"/>
                <w:szCs w:val="22"/>
                <w:i w:val="1"/>
                <w:iCs w:val="1"/>
                <w:color w:val="auto"/>
              </w:rPr>
              <w:t>Development</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7"/>
        </w:trPr>
        <w:tc>
          <w:tcPr>
            <w:tcW w:w="3540" w:type="dxa"/>
            <w:vAlign w:val="bottom"/>
            <w:gridSpan w:val="2"/>
          </w:tcPr>
          <w:p>
            <w:pPr>
              <w:spacing w:after="0"/>
              <w:rPr>
                <w:sz w:val="20"/>
                <w:szCs w:val="20"/>
                <w:color w:val="auto"/>
              </w:rPr>
            </w:pPr>
            <w:r>
              <w:rPr>
                <w:rFonts w:ascii="Arial" w:cs="Arial" w:eastAsia="Arial" w:hAnsi="Arial"/>
                <w:sz w:val="22"/>
                <w:szCs w:val="22"/>
                <w:color w:val="auto"/>
              </w:rPr>
              <w:t>James A. Balthazar</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2001</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148,473</w:t>
            </w:r>
          </w:p>
        </w:tc>
        <w:tc>
          <w:tcPr>
            <w:tcW w:w="820" w:type="dxa"/>
            <w:vAlign w:val="bottom"/>
          </w:tcPr>
          <w:p>
            <w:pPr>
              <w:jc w:val="right"/>
              <w:spacing w:after="0"/>
              <w:rPr>
                <w:sz w:val="20"/>
                <w:szCs w:val="20"/>
                <w:color w:val="auto"/>
              </w:rPr>
            </w:pPr>
            <w:r>
              <w:rPr>
                <w:rFonts w:ascii="Arial" w:cs="Arial" w:eastAsia="Arial" w:hAnsi="Arial"/>
                <w:sz w:val="22"/>
                <w:szCs w:val="22"/>
                <w:color w:val="auto"/>
              </w:rPr>
              <w:t>25,000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20,500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ind w:left="220"/>
              <w:spacing w:after="0"/>
              <w:rPr>
                <w:sz w:val="20"/>
                <w:szCs w:val="20"/>
                <w:color w:val="auto"/>
              </w:rPr>
            </w:pPr>
            <w:r>
              <w:rPr>
                <w:rFonts w:ascii="Arial" w:cs="Arial" w:eastAsia="Arial" w:hAnsi="Arial"/>
                <w:sz w:val="22"/>
                <w:szCs w:val="22"/>
                <w:i w:val="1"/>
                <w:iCs w:val="1"/>
                <w:color w:val="auto"/>
              </w:rPr>
              <w:t>Vice President of Marketing</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2000</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136,646</w:t>
            </w:r>
          </w:p>
        </w:tc>
        <w:tc>
          <w:tcPr>
            <w:tcW w:w="820" w:type="dxa"/>
            <w:vAlign w:val="bottom"/>
          </w:tcPr>
          <w:p>
            <w:pPr>
              <w:jc w:val="right"/>
              <w:spacing w:after="0"/>
              <w:rPr>
                <w:sz w:val="20"/>
                <w:szCs w:val="20"/>
                <w:color w:val="auto"/>
              </w:rPr>
            </w:pPr>
            <w:r>
              <w:rPr>
                <w:rFonts w:ascii="Arial" w:cs="Arial" w:eastAsia="Arial" w:hAnsi="Arial"/>
                <w:sz w:val="22"/>
                <w:szCs w:val="22"/>
                <w:color w:val="auto"/>
              </w:rPr>
              <w:t>35,000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1999</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128,750</w:t>
            </w:r>
          </w:p>
        </w:tc>
        <w:tc>
          <w:tcPr>
            <w:tcW w:w="820" w:type="dxa"/>
            <w:vAlign w:val="bottom"/>
          </w:tcPr>
          <w:p>
            <w:pPr>
              <w:jc w:val="right"/>
              <w:spacing w:after="0"/>
              <w:rPr>
                <w:sz w:val="20"/>
                <w:szCs w:val="20"/>
                <w:color w:val="auto"/>
              </w:rPr>
            </w:pPr>
            <w:r>
              <w:rPr>
                <w:rFonts w:ascii="Arial" w:cs="Arial" w:eastAsia="Arial" w:hAnsi="Arial"/>
                <w:sz w:val="22"/>
                <w:szCs w:val="22"/>
                <w:color w:val="auto"/>
              </w:rPr>
              <w:t>254</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15,120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spacing w:after="0"/>
              <w:rPr>
                <w:sz w:val="20"/>
                <w:szCs w:val="20"/>
                <w:color w:val="auto"/>
              </w:rPr>
            </w:pPr>
            <w:r>
              <w:rPr>
                <w:rFonts w:ascii="Arial" w:cs="Arial" w:eastAsia="Arial" w:hAnsi="Arial"/>
                <w:sz w:val="22"/>
                <w:szCs w:val="22"/>
                <w:color w:val="auto"/>
              </w:rPr>
              <w:t>William E. Ott, II (3)</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2001</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162,861</w:t>
            </w:r>
          </w:p>
        </w:tc>
        <w:tc>
          <w:tcPr>
            <w:tcW w:w="820" w:type="dxa"/>
            <w:vAlign w:val="bottom"/>
          </w:tcPr>
          <w:p>
            <w:pPr>
              <w:jc w:val="right"/>
              <w:spacing w:after="0"/>
              <w:rPr>
                <w:sz w:val="20"/>
                <w:szCs w:val="20"/>
                <w:color w:val="auto"/>
              </w:rPr>
            </w:pPr>
            <w:r>
              <w:rPr>
                <w:rFonts w:ascii="Arial" w:cs="Arial" w:eastAsia="Arial" w:hAnsi="Arial"/>
                <w:sz w:val="22"/>
                <w:szCs w:val="22"/>
                <w:color w:val="auto"/>
              </w:rPr>
              <w:t>35,000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20,500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3540" w:type="dxa"/>
            <w:vAlign w:val="bottom"/>
            <w:gridSpan w:val="2"/>
          </w:tcPr>
          <w:p>
            <w:pPr>
              <w:ind w:left="220"/>
              <w:spacing w:after="0"/>
              <w:rPr>
                <w:sz w:val="20"/>
                <w:szCs w:val="20"/>
                <w:color w:val="auto"/>
              </w:rPr>
            </w:pPr>
            <w:r>
              <w:rPr>
                <w:rFonts w:ascii="Arial" w:cs="Arial" w:eastAsia="Arial" w:hAnsi="Arial"/>
                <w:sz w:val="22"/>
                <w:szCs w:val="22"/>
                <w:i w:val="1"/>
                <w:iCs w:val="1"/>
                <w:color w:val="auto"/>
                <w:w w:val="94"/>
              </w:rPr>
              <w:t>Vice President of Sales and Service</w:t>
            </w: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2000</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146,341</w:t>
            </w:r>
          </w:p>
        </w:tc>
        <w:tc>
          <w:tcPr>
            <w:tcW w:w="820" w:type="dxa"/>
            <w:vAlign w:val="bottom"/>
          </w:tcPr>
          <w:p>
            <w:pPr>
              <w:jc w:val="right"/>
              <w:spacing w:after="0"/>
              <w:rPr>
                <w:sz w:val="20"/>
                <w:szCs w:val="20"/>
                <w:color w:val="auto"/>
              </w:rPr>
            </w:pPr>
            <w:r>
              <w:rPr>
                <w:rFonts w:ascii="Arial" w:cs="Arial" w:eastAsia="Arial" w:hAnsi="Arial"/>
                <w:sz w:val="22"/>
                <w:szCs w:val="22"/>
                <w:color w:val="auto"/>
              </w:rPr>
              <w:t>60,000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r>
        <w:trPr>
          <w:trHeight w:val="297"/>
        </w:trPr>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60" w:type="dxa"/>
            <w:vAlign w:val="bottom"/>
            <w:gridSpan w:val="2"/>
          </w:tcPr>
          <w:p>
            <w:pPr>
              <w:jc w:val="center"/>
              <w:ind w:left="1212"/>
              <w:spacing w:after="0"/>
              <w:rPr>
                <w:sz w:val="20"/>
                <w:szCs w:val="20"/>
                <w:color w:val="auto"/>
              </w:rPr>
            </w:pPr>
            <w:r>
              <w:rPr>
                <w:rFonts w:ascii="Arial" w:cs="Arial" w:eastAsia="Arial" w:hAnsi="Arial"/>
                <w:sz w:val="22"/>
                <w:szCs w:val="22"/>
                <w:color w:val="auto"/>
                <w:w w:val="89"/>
              </w:rPr>
              <w:t>1999</w:t>
            </w:r>
          </w:p>
        </w:tc>
        <w:tc>
          <w:tcPr>
            <w:tcW w:w="960" w:type="dxa"/>
            <w:vAlign w:val="bottom"/>
            <w:gridSpan w:val="3"/>
          </w:tcPr>
          <w:p>
            <w:pPr>
              <w:jc w:val="right"/>
              <w:ind w:right="60"/>
              <w:spacing w:after="0"/>
              <w:rPr>
                <w:sz w:val="20"/>
                <w:szCs w:val="20"/>
                <w:color w:val="auto"/>
              </w:rPr>
            </w:pPr>
            <w:r>
              <w:rPr>
                <w:rFonts w:ascii="Arial" w:cs="Arial" w:eastAsia="Arial" w:hAnsi="Arial"/>
                <w:sz w:val="22"/>
                <w:szCs w:val="22"/>
                <w:color w:val="auto"/>
              </w:rPr>
              <w:t>123,600</w:t>
            </w:r>
          </w:p>
        </w:tc>
        <w:tc>
          <w:tcPr>
            <w:tcW w:w="820" w:type="dxa"/>
            <w:vAlign w:val="bottom"/>
          </w:tcPr>
          <w:p>
            <w:pPr>
              <w:jc w:val="right"/>
              <w:spacing w:after="0"/>
              <w:rPr>
                <w:sz w:val="20"/>
                <w:szCs w:val="20"/>
                <w:color w:val="auto"/>
              </w:rPr>
            </w:pPr>
            <w:r>
              <w:rPr>
                <w:rFonts w:ascii="Arial" w:cs="Arial" w:eastAsia="Arial" w:hAnsi="Arial"/>
                <w:sz w:val="22"/>
                <w:szCs w:val="22"/>
                <w:color w:val="auto"/>
              </w:rPr>
              <w:t>25,499</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28,080</w:t>
            </w:r>
          </w:p>
        </w:tc>
        <w:tc>
          <w:tcPr>
            <w:tcW w:w="60" w:type="dxa"/>
            <w:vAlign w:val="bottom"/>
          </w:tcPr>
          <w:p>
            <w:pPr>
              <w:spacing w:after="0"/>
              <w:rPr>
                <w:sz w:val="24"/>
                <w:szCs w:val="24"/>
                <w:color w:val="auto"/>
              </w:rPr>
            </w:pPr>
          </w:p>
        </w:tc>
        <w:tc>
          <w:tcPr>
            <w:tcW w:w="1380" w:type="dxa"/>
            <w:vAlign w:val="bottom"/>
          </w:tcPr>
          <w:p>
            <w:pPr>
              <w:ind w:left="1160"/>
              <w:spacing w:after="0"/>
              <w:rPr>
                <w:sz w:val="20"/>
                <w:szCs w:val="20"/>
                <w:color w:val="auto"/>
              </w:rPr>
            </w:pPr>
            <w:r>
              <w:rPr>
                <w:rFonts w:ascii="Arial" w:cs="Arial" w:eastAsia="Arial" w:hAnsi="Arial"/>
                <w:sz w:val="22"/>
                <w:szCs w:val="22"/>
                <w:color w:val="auto"/>
                <w:w w:val="9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-2925445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-2925445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5541010</wp:posOffset>
            </wp:positionH>
            <wp:positionV relativeFrom="paragraph">
              <wp:posOffset>-3568700</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-3568700</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-2925445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-2925445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5541010</wp:posOffset>
            </wp:positionH>
            <wp:positionV relativeFrom="paragraph">
              <wp:posOffset>-2925445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6295390</wp:posOffset>
            </wp:positionH>
            <wp:positionV relativeFrom="paragraph">
              <wp:posOffset>-2925445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-2925445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289560</wp:posOffset>
            </wp:positionV>
            <wp:extent cx="107188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1880" cy="425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20" w:hanging="417"/>
        <w:spacing w:after="0"/>
        <w:tabs>
          <w:tab w:leader="none" w:pos="520" w:val="left"/>
        </w:tabs>
        <w:numPr>
          <w:ilvl w:val="0"/>
          <w:numId w:val="11"/>
        </w:numPr>
        <w:rPr>
          <w:rFonts w:ascii="Arial" w:cs="Arial" w:eastAsia="Arial" w:hAnsi="Arial"/>
          <w:sz w:val="43"/>
          <w:szCs w:val="43"/>
          <w:color w:val="auto"/>
          <w:vertAlign w:val="superscript"/>
        </w:rPr>
      </w:pPr>
      <w:r>
        <w:rPr>
          <w:rFonts w:ascii="Arial" w:cs="Arial" w:eastAsia="Arial" w:hAnsi="Arial"/>
          <w:sz w:val="22"/>
          <w:szCs w:val="22"/>
          <w:color w:val="auto"/>
        </w:rPr>
        <w:t>Mr. Gino joined us as our Vice President of Finance and Chief Financial Officer in December 1999.</w:t>
      </w:r>
    </w:p>
    <w:p>
      <w:pPr>
        <w:spacing w:after="0" w:line="148" w:lineRule="exact"/>
        <w:rPr>
          <w:rFonts w:ascii="Arial" w:cs="Arial" w:eastAsia="Arial" w:hAnsi="Arial"/>
          <w:sz w:val="43"/>
          <w:szCs w:val="43"/>
          <w:color w:val="auto"/>
          <w:vertAlign w:val="superscript"/>
        </w:rPr>
      </w:pPr>
    </w:p>
    <w:p>
      <w:pPr>
        <w:ind w:left="520" w:hanging="417"/>
        <w:spacing w:after="0"/>
        <w:tabs>
          <w:tab w:leader="none" w:pos="5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Mr. Ascolese joined us as our Vice President of Business Development in April 2000.</w:t>
      </w:r>
    </w:p>
    <w:p>
      <w:pPr>
        <w:spacing w:after="0" w:line="134" w:lineRule="exact"/>
        <w:rPr>
          <w:rFonts w:ascii="Arial" w:cs="Arial" w:eastAsia="Arial" w:hAnsi="Arial"/>
          <w:sz w:val="22"/>
          <w:szCs w:val="22"/>
          <w:color w:val="auto"/>
        </w:rPr>
      </w:pPr>
    </w:p>
    <w:p>
      <w:pPr>
        <w:ind w:left="520" w:hanging="417"/>
        <w:spacing w:after="0"/>
        <w:tabs>
          <w:tab w:leader="none" w:pos="5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Mr. Ott resigned as Vice President of Sales and Service on February 9, 2002.</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OPTION/SAR GRANTS IN LAST FISCAL YEAR</w:t>
      </w:r>
    </w:p>
    <w:p>
      <w:pPr>
        <w:spacing w:after="0" w:line="212" w:lineRule="exact"/>
        <w:rPr>
          <w:sz w:val="20"/>
          <w:szCs w:val="20"/>
          <w:color w:val="auto"/>
        </w:rPr>
      </w:pPr>
    </w:p>
    <w:p>
      <w:pPr>
        <w:ind w:right="200" w:firstLine="320"/>
        <w:spacing w:after="0" w:line="251" w:lineRule="auto"/>
        <w:rPr>
          <w:sz w:val="20"/>
          <w:szCs w:val="20"/>
          <w:color w:val="auto"/>
        </w:rPr>
      </w:pPr>
      <w:r>
        <w:rPr>
          <w:rFonts w:ascii="Arial" w:cs="Arial" w:eastAsia="Arial" w:hAnsi="Arial"/>
          <w:sz w:val="22"/>
          <w:szCs w:val="22"/>
          <w:color w:val="auto"/>
        </w:rPr>
        <w:t>We did not make any grants of stock options or stock appreciation rights during fiscal 2001 to our executive officers named in the Summary Compensation Table.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Year-end Option Values</w:t>
      </w:r>
    </w:p>
    <w:p>
      <w:pPr>
        <w:sectPr>
          <w:pgSz w:w="11900" w:h="16838" w:orient="portrait"/>
          <w:cols w:equalWidth="0" w:num="1">
            <w:col w:w="11420"/>
          </w:cols>
          <w:pgMar w:left="240" w:top="118" w:right="239" w:bottom="215" w:gutter="0" w:footer="0" w:header="0"/>
        </w:sectPr>
      </w:pPr>
    </w:p>
    <w:bookmarkStart w:id="9" w:name="page10"/>
    <w:bookmarkEnd w:id="9"/>
    <w:p>
      <w:pPr>
        <w:ind w:right="180" w:firstLine="320"/>
        <w:spacing w:after="0" w:line="238" w:lineRule="auto"/>
        <w:rPr>
          <w:sz w:val="20"/>
          <w:szCs w:val="20"/>
          <w:color w:val="auto"/>
        </w:rPr>
      </w:pPr>
      <w:r>
        <w:rPr>
          <w:rFonts w:ascii="Arial" w:cs="Arial" w:eastAsia="Arial" w:hAnsi="Arial"/>
          <w:sz w:val="22"/>
          <w:szCs w:val="22"/>
          <w:color w:val="auto"/>
        </w:rPr>
        <w:t>The following table provides information about stock options exercised in fiscal 2001 and options held as of December 31, 2001 by each of our executive officers named in the Summary Compensation Table. No stock appreciation rights were exercised during fiscal 2001 and none were outstanding at December 31, 2001. Actual gains on exercise, if any, will depend on the value of our common stock on the date on which the shares are sold.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gridSpan w:val="4"/>
          </w:tcPr>
          <w:p>
            <w:pPr>
              <w:jc w:val="right"/>
              <w:ind w:right="100"/>
              <w:spacing w:after="0"/>
              <w:rPr>
                <w:sz w:val="20"/>
                <w:szCs w:val="20"/>
                <w:color w:val="auto"/>
              </w:rPr>
            </w:pPr>
            <w:r>
              <w:rPr>
                <w:rFonts w:ascii="Arial" w:cs="Arial" w:eastAsia="Arial" w:hAnsi="Arial"/>
                <w:sz w:val="22"/>
                <w:szCs w:val="22"/>
                <w:b w:val="1"/>
                <w:bCs w:val="1"/>
                <w:color w:val="auto"/>
              </w:rPr>
              <w:t>Fiscal 2001 Option Values</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3"/>
              </w:rPr>
              <w:t>Number Of</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4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auto"/>
                <w:w w:val="88"/>
              </w:rPr>
              <w:t>Securities Underlying</w:t>
            </w:r>
          </w:p>
        </w:tc>
        <w:tc>
          <w:tcPr>
            <w:tcW w:w="40" w:type="dxa"/>
            <w:vAlign w:val="bottom"/>
          </w:tcPr>
          <w:p>
            <w:pPr>
              <w:spacing w:after="0"/>
              <w:rPr>
                <w:sz w:val="21"/>
                <w:szCs w:val="21"/>
                <w:color w:val="auto"/>
              </w:rPr>
            </w:pPr>
          </w:p>
        </w:tc>
        <w:tc>
          <w:tcPr>
            <w:tcW w:w="286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auto"/>
                <w:w w:val="87"/>
              </w:rPr>
              <w:t>Value of Unexercised</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4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auto"/>
                <w:w w:val="87"/>
              </w:rPr>
              <w:t>Unexercised Options At</w:t>
            </w:r>
          </w:p>
        </w:tc>
        <w:tc>
          <w:tcPr>
            <w:tcW w:w="40" w:type="dxa"/>
            <w:vAlign w:val="bottom"/>
          </w:tcPr>
          <w:p>
            <w:pPr>
              <w:spacing w:after="0"/>
              <w:rPr>
                <w:sz w:val="21"/>
                <w:szCs w:val="21"/>
                <w:color w:val="auto"/>
              </w:rPr>
            </w:pPr>
          </w:p>
        </w:tc>
        <w:tc>
          <w:tcPr>
            <w:tcW w:w="286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auto"/>
                <w:w w:val="90"/>
              </w:rPr>
              <w:t>In-the-money Options At</w:t>
            </w:r>
          </w:p>
        </w:tc>
        <w:tc>
          <w:tcPr>
            <w:tcW w:w="0" w:type="dxa"/>
            <w:vAlign w:val="bottom"/>
          </w:tcPr>
          <w:p>
            <w:pPr>
              <w:spacing w:after="0"/>
              <w:rPr>
                <w:sz w:val="1"/>
                <w:szCs w:val="1"/>
                <w:color w:val="auto"/>
              </w:rPr>
            </w:pPr>
          </w:p>
        </w:tc>
      </w:tr>
      <w:tr>
        <w:trPr>
          <w:trHeight w:val="281"/>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December 31, 2001 (#)(2)</w:t>
            </w:r>
          </w:p>
        </w:tc>
        <w:tc>
          <w:tcPr>
            <w:tcW w:w="40" w:type="dxa"/>
            <w:vAlign w:val="bottom"/>
          </w:tcPr>
          <w:p>
            <w:pPr>
              <w:spacing w:after="0"/>
              <w:rPr>
                <w:sz w:val="24"/>
                <w:szCs w:val="24"/>
                <w:color w:val="auto"/>
              </w:rPr>
            </w:pPr>
          </w:p>
        </w:tc>
        <w:tc>
          <w:tcPr>
            <w:tcW w:w="28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December 31, 2001($)(2)(3)</w:t>
            </w: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vMerge w:val="restart"/>
          </w:tcPr>
          <w:p>
            <w:pPr>
              <w:jc w:val="right"/>
              <w:spacing w:after="0" w:line="246" w:lineRule="exact"/>
              <w:rPr>
                <w:sz w:val="20"/>
                <w:szCs w:val="20"/>
                <w:color w:val="auto"/>
              </w:rPr>
            </w:pPr>
            <w:r>
              <w:rPr>
                <w:rFonts w:ascii="Arial" w:cs="Arial" w:eastAsia="Arial" w:hAnsi="Arial"/>
                <w:sz w:val="22"/>
                <w:szCs w:val="22"/>
                <w:b w:val="1"/>
                <w:bCs w:val="1"/>
                <w:color w:val="auto"/>
                <w:w w:val="92"/>
              </w:rPr>
              <w:t>Shares Acquired</w:t>
            </w:r>
          </w:p>
        </w:tc>
        <w:tc>
          <w:tcPr>
            <w:tcW w:w="40" w:type="dxa"/>
            <w:vAlign w:val="bottom"/>
          </w:tcPr>
          <w:p>
            <w:pPr>
              <w:spacing w:after="0"/>
              <w:rPr>
                <w:sz w:val="8"/>
                <w:szCs w:val="8"/>
                <w:color w:val="auto"/>
              </w:rPr>
            </w:pPr>
          </w:p>
        </w:tc>
        <w:tc>
          <w:tcPr>
            <w:tcW w:w="1580" w:type="dxa"/>
            <w:vAlign w:val="bottom"/>
            <w:gridSpan w:val="2"/>
            <w:vMerge w:val="restart"/>
          </w:tcPr>
          <w:p>
            <w:pPr>
              <w:jc w:val="center"/>
              <w:ind w:right="20"/>
              <w:spacing w:after="0" w:line="246" w:lineRule="exact"/>
              <w:rPr>
                <w:sz w:val="20"/>
                <w:szCs w:val="20"/>
                <w:color w:val="auto"/>
              </w:rPr>
            </w:pPr>
            <w:r>
              <w:rPr>
                <w:rFonts w:ascii="Arial" w:cs="Arial" w:eastAsia="Arial" w:hAnsi="Arial"/>
                <w:sz w:val="22"/>
                <w:szCs w:val="22"/>
                <w:b w:val="1"/>
                <w:bCs w:val="1"/>
                <w:color w:val="auto"/>
                <w:w w:val="88"/>
              </w:rPr>
              <w:t>Value</w:t>
            </w: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300" w:type="dxa"/>
            <w:vAlign w:val="bottom"/>
          </w:tcPr>
          <w:p>
            <w:pPr>
              <w:spacing w:after="0"/>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24"/>
                <w:szCs w:val="24"/>
                <w:color w:val="auto"/>
              </w:rPr>
            </w:pPr>
          </w:p>
        </w:tc>
        <w:tc>
          <w:tcPr>
            <w:tcW w:w="1740" w:type="dxa"/>
            <w:vAlign w:val="bottom"/>
          </w:tcPr>
          <w:p>
            <w:pPr>
              <w:jc w:val="right"/>
              <w:ind w:right="52"/>
              <w:spacing w:after="0"/>
              <w:rPr>
                <w:sz w:val="20"/>
                <w:szCs w:val="20"/>
                <w:color w:val="auto"/>
              </w:rPr>
            </w:pPr>
            <w:r>
              <w:rPr>
                <w:rFonts w:ascii="Arial" w:cs="Arial" w:eastAsia="Arial" w:hAnsi="Arial"/>
                <w:sz w:val="22"/>
                <w:szCs w:val="22"/>
                <w:b w:val="1"/>
                <w:bCs w:val="1"/>
                <w:color w:val="auto"/>
                <w:w w:val="97"/>
              </w:rPr>
              <w:t>On Exercise (#)</w:t>
            </w:r>
          </w:p>
        </w:tc>
        <w:tc>
          <w:tcPr>
            <w:tcW w:w="40" w:type="dxa"/>
            <w:vAlign w:val="bottom"/>
          </w:tcPr>
          <w:p>
            <w:pPr>
              <w:spacing w:after="0"/>
              <w:rPr>
                <w:sz w:val="24"/>
                <w:szCs w:val="24"/>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22"/>
                <w:szCs w:val="22"/>
                <w:b w:val="1"/>
                <w:bCs w:val="1"/>
                <w:color w:val="auto"/>
                <w:w w:val="89"/>
              </w:rPr>
              <w:t>Realized ($)(1)</w:t>
            </w:r>
          </w:p>
        </w:tc>
        <w:tc>
          <w:tcPr>
            <w:tcW w:w="1260" w:type="dxa"/>
            <w:vAlign w:val="bottom"/>
            <w:gridSpan w:val="2"/>
          </w:tcPr>
          <w:p>
            <w:pPr>
              <w:jc w:val="right"/>
              <w:ind w:right="120"/>
              <w:spacing w:after="0"/>
              <w:rPr>
                <w:sz w:val="20"/>
                <w:szCs w:val="20"/>
                <w:color w:val="auto"/>
              </w:rPr>
            </w:pPr>
            <w:r>
              <w:rPr>
                <w:rFonts w:ascii="Arial" w:cs="Arial" w:eastAsia="Arial" w:hAnsi="Arial"/>
                <w:sz w:val="22"/>
                <w:szCs w:val="22"/>
                <w:b w:val="1"/>
                <w:bCs w:val="1"/>
                <w:color w:val="auto"/>
                <w:w w:val="91"/>
              </w:rPr>
              <w:t>Exercisable</w:t>
            </w:r>
          </w:p>
        </w:tc>
        <w:tc>
          <w:tcPr>
            <w:tcW w:w="1480" w:type="dxa"/>
            <w:vAlign w:val="bottom"/>
          </w:tcPr>
          <w:p>
            <w:pPr>
              <w:jc w:val="right"/>
              <w:spacing w:after="0"/>
              <w:rPr>
                <w:sz w:val="20"/>
                <w:szCs w:val="20"/>
                <w:color w:val="auto"/>
              </w:rPr>
            </w:pPr>
            <w:r>
              <w:rPr>
                <w:rFonts w:ascii="Arial" w:cs="Arial" w:eastAsia="Arial" w:hAnsi="Arial"/>
                <w:sz w:val="22"/>
                <w:szCs w:val="22"/>
                <w:b w:val="1"/>
                <w:bCs w:val="1"/>
                <w:color w:val="auto"/>
                <w:w w:val="91"/>
              </w:rPr>
              <w:t>Unexercisable</w:t>
            </w:r>
          </w:p>
        </w:tc>
        <w:tc>
          <w:tcPr>
            <w:tcW w:w="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w w:val="94"/>
              </w:rPr>
              <w:t>Exercisable</w:t>
            </w:r>
          </w:p>
        </w:tc>
        <w:tc>
          <w:tcPr>
            <w:tcW w:w="60" w:type="dxa"/>
            <w:vAlign w:val="bottom"/>
          </w:tcPr>
          <w:p>
            <w:pPr>
              <w:spacing w:after="0"/>
              <w:rPr>
                <w:sz w:val="24"/>
                <w:szCs w:val="24"/>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b w:val="1"/>
                <w:bCs w:val="1"/>
                <w:color w:val="auto"/>
                <w:w w:val="93"/>
              </w:rPr>
              <w:t>Unexercisable</w:t>
            </w:r>
          </w:p>
        </w:tc>
        <w:tc>
          <w:tcPr>
            <w:tcW w:w="0" w:type="dxa"/>
            <w:vAlign w:val="bottom"/>
          </w:tcPr>
          <w:p>
            <w:pPr>
              <w:spacing w:after="0"/>
              <w:rPr>
                <w:sz w:val="1"/>
                <w:szCs w:val="1"/>
                <w:color w:val="auto"/>
              </w:rPr>
            </w:pPr>
          </w:p>
        </w:tc>
      </w:tr>
      <w:tr>
        <w:trPr>
          <w:trHeight w:val="98"/>
        </w:trPr>
        <w:tc>
          <w:tcPr>
            <w:tcW w:w="230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300" w:type="dxa"/>
            <w:vAlign w:val="bottom"/>
          </w:tcPr>
          <w:p>
            <w:pPr>
              <w:spacing w:after="0"/>
              <w:rPr>
                <w:sz w:val="20"/>
                <w:szCs w:val="20"/>
                <w:color w:val="auto"/>
              </w:rPr>
            </w:pPr>
            <w:r>
              <w:rPr>
                <w:rFonts w:ascii="Arial" w:cs="Arial" w:eastAsia="Arial" w:hAnsi="Arial"/>
                <w:sz w:val="22"/>
                <w:szCs w:val="22"/>
                <w:color w:val="auto"/>
              </w:rPr>
              <w:t>Joseph F. Pinkerton, III</w:t>
            </w:r>
          </w:p>
        </w:tc>
        <w:tc>
          <w:tcPr>
            <w:tcW w:w="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70,500</w:t>
            </w:r>
          </w:p>
        </w:tc>
        <w:tc>
          <w:tcPr>
            <w:tcW w:w="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Arial" w:cs="Arial" w:eastAsia="Arial" w:hAnsi="Arial"/>
                <w:sz w:val="22"/>
                <w:szCs w:val="22"/>
                <w:color w:val="auto"/>
              </w:rPr>
              <w:t>David S. Gino</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135,996</w:t>
            </w:r>
          </w:p>
        </w:tc>
        <w:tc>
          <w:tcPr>
            <w:tcW w:w="1620" w:type="dxa"/>
            <w:vAlign w:val="bottom"/>
            <w:gridSpan w:val="3"/>
          </w:tcPr>
          <w:p>
            <w:pPr>
              <w:jc w:val="right"/>
              <w:ind w:right="40"/>
              <w:spacing w:after="0"/>
              <w:rPr>
                <w:sz w:val="20"/>
                <w:szCs w:val="20"/>
                <w:color w:val="auto"/>
              </w:rPr>
            </w:pPr>
            <w:r>
              <w:rPr>
                <w:rFonts w:ascii="Arial" w:cs="Arial" w:eastAsia="Arial" w:hAnsi="Arial"/>
                <w:sz w:val="22"/>
                <w:szCs w:val="22"/>
                <w:color w:val="auto"/>
              </w:rPr>
              <w:t>365,400</w:t>
            </w:r>
          </w:p>
        </w:tc>
        <w:tc>
          <w:tcPr>
            <w:tcW w:w="126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96,511</w:t>
            </w:r>
          </w:p>
        </w:tc>
        <w:tc>
          <w:tcPr>
            <w:tcW w:w="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334,386</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Arial" w:cs="Arial" w:eastAsia="Arial" w:hAnsi="Arial"/>
                <w:sz w:val="22"/>
                <w:szCs w:val="22"/>
                <w:color w:val="auto"/>
              </w:rPr>
              <w:t>Mark A. Ascolese</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44,000</w:t>
            </w:r>
          </w:p>
        </w:tc>
        <w:tc>
          <w:tcPr>
            <w:tcW w:w="1620" w:type="dxa"/>
            <w:vAlign w:val="bottom"/>
            <w:gridSpan w:val="3"/>
          </w:tcPr>
          <w:p>
            <w:pPr>
              <w:jc w:val="right"/>
              <w:ind w:right="40"/>
              <w:spacing w:after="0"/>
              <w:rPr>
                <w:sz w:val="20"/>
                <w:szCs w:val="20"/>
                <w:color w:val="auto"/>
              </w:rPr>
            </w:pPr>
            <w:r>
              <w:rPr>
                <w:rFonts w:ascii="Arial" w:cs="Arial" w:eastAsia="Arial" w:hAnsi="Arial"/>
                <w:sz w:val="22"/>
                <w:szCs w:val="22"/>
                <w:color w:val="auto"/>
              </w:rPr>
              <w:t>1,154,495</w:t>
            </w:r>
          </w:p>
        </w:tc>
        <w:tc>
          <w:tcPr>
            <w:tcW w:w="1260" w:type="dxa"/>
            <w:vAlign w:val="bottom"/>
            <w:gridSpan w:val="2"/>
          </w:tcPr>
          <w:p>
            <w:pPr>
              <w:jc w:val="right"/>
              <w:ind w:right="60"/>
              <w:spacing w:after="0"/>
              <w:rPr>
                <w:sz w:val="20"/>
                <w:szCs w:val="20"/>
                <w:color w:val="auto"/>
              </w:rPr>
            </w:pPr>
            <w:r>
              <w:rPr>
                <w:rFonts w:ascii="Arial" w:cs="Arial" w:eastAsia="Arial" w:hAnsi="Arial"/>
                <w:sz w:val="22"/>
                <w:szCs w:val="22"/>
                <w:color w:val="auto"/>
              </w:rPr>
              <w:t>53,000</w:t>
            </w:r>
          </w:p>
        </w:tc>
        <w:tc>
          <w:tcPr>
            <w:tcW w:w="1480" w:type="dxa"/>
            <w:vAlign w:val="bottom"/>
          </w:tcPr>
          <w:p>
            <w:pPr>
              <w:jc w:val="right"/>
              <w:spacing w:after="0"/>
              <w:rPr>
                <w:sz w:val="20"/>
                <w:szCs w:val="20"/>
                <w:color w:val="auto"/>
              </w:rPr>
            </w:pPr>
            <w:r>
              <w:rPr>
                <w:rFonts w:ascii="Arial" w:cs="Arial" w:eastAsia="Arial" w:hAnsi="Arial"/>
                <w:sz w:val="22"/>
                <w:szCs w:val="22"/>
                <w:color w:val="auto"/>
              </w:rPr>
              <w:t>179,250</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293,805</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743,422</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Arial" w:cs="Arial" w:eastAsia="Arial" w:hAnsi="Arial"/>
                <w:sz w:val="22"/>
                <w:szCs w:val="22"/>
                <w:color w:val="auto"/>
              </w:rPr>
              <w:t>James A. Balthazar</w:t>
            </w:r>
          </w:p>
        </w:tc>
        <w:tc>
          <w:tcPr>
            <w:tcW w:w="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22"/>
                <w:szCs w:val="22"/>
                <w:color w:val="auto"/>
              </w:rPr>
              <w:t>25,195</w:t>
            </w:r>
          </w:p>
        </w:tc>
        <w:tc>
          <w:tcPr>
            <w:tcW w:w="1480" w:type="dxa"/>
            <w:vAlign w:val="bottom"/>
          </w:tcPr>
          <w:p>
            <w:pPr>
              <w:jc w:val="right"/>
              <w:spacing w:after="0"/>
              <w:rPr>
                <w:sz w:val="20"/>
                <w:szCs w:val="20"/>
                <w:color w:val="auto"/>
              </w:rPr>
            </w:pPr>
            <w:r>
              <w:rPr>
                <w:rFonts w:ascii="Arial" w:cs="Arial" w:eastAsia="Arial" w:hAnsi="Arial"/>
                <w:sz w:val="22"/>
                <w:szCs w:val="22"/>
                <w:color w:val="auto"/>
              </w:rPr>
              <w:t>31,975</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160,611</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72,036</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Arial" w:cs="Arial" w:eastAsia="Arial" w:hAnsi="Arial"/>
                <w:sz w:val="22"/>
                <w:szCs w:val="22"/>
                <w:color w:val="auto"/>
              </w:rPr>
              <w:t>William E. Ott</w:t>
            </w:r>
          </w:p>
        </w:tc>
        <w:tc>
          <w:tcPr>
            <w:tcW w:w="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22"/>
                <w:szCs w:val="22"/>
                <w:color w:val="auto"/>
              </w:rPr>
              <w:t>140,400</w:t>
            </w:r>
          </w:p>
        </w:tc>
        <w:tc>
          <w:tcPr>
            <w:tcW w:w="1480" w:type="dxa"/>
            <w:vAlign w:val="bottom"/>
          </w:tcPr>
          <w:p>
            <w:pPr>
              <w:jc w:val="right"/>
              <w:spacing w:after="0"/>
              <w:rPr>
                <w:sz w:val="20"/>
                <w:szCs w:val="20"/>
                <w:color w:val="auto"/>
              </w:rPr>
            </w:pPr>
            <w:r>
              <w:rPr>
                <w:rFonts w:ascii="Arial" w:cs="Arial" w:eastAsia="Arial" w:hAnsi="Arial"/>
                <w:sz w:val="22"/>
                <w:szCs w:val="22"/>
                <w:color w:val="auto"/>
              </w:rPr>
              <w:t>34,540</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919,900</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80,870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-1038860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-1038860</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-1038860</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-1373505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-1373505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-1038860</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-1038860</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6192520</wp:posOffset>
            </wp:positionH>
            <wp:positionV relativeFrom="paragraph">
              <wp:posOffset>-1038860</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-1038860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289560</wp:posOffset>
            </wp:positionV>
            <wp:extent cx="107188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7188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right="540" w:hanging="413"/>
        <w:spacing w:after="0" w:line="328" w:lineRule="auto"/>
        <w:tabs>
          <w:tab w:leader="none" w:pos="5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value realized of shares acquired on exercise was determined by subtracting the exercise price from the fair market value of the common stock on the exercise date multiplied by the number of shares acquired on exercise.</w:t>
      </w:r>
    </w:p>
    <w:p>
      <w:pPr>
        <w:spacing w:after="0" w:line="51" w:lineRule="exact"/>
        <w:rPr>
          <w:rFonts w:ascii="Arial" w:cs="Arial" w:eastAsia="Arial" w:hAnsi="Arial"/>
          <w:sz w:val="19"/>
          <w:szCs w:val="19"/>
          <w:color w:val="auto"/>
        </w:rPr>
      </w:pPr>
    </w:p>
    <w:p>
      <w:pPr>
        <w:ind w:left="520" w:right="360" w:hanging="413"/>
        <w:spacing w:after="0"/>
        <w:tabs>
          <w:tab w:leader="none" w:pos="5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Options granted under our 2000 Stock Incentive Plan and its predecessor plan are immediately exercisable. "Exercisable" refers to those options which were both exercisable and vested while "unexercisable" refers to those options which were unvested.</w:t>
      </w:r>
    </w:p>
    <w:p>
      <w:pPr>
        <w:spacing w:after="0" w:line="132" w:lineRule="exact"/>
        <w:rPr>
          <w:rFonts w:ascii="Arial" w:cs="Arial" w:eastAsia="Arial" w:hAnsi="Arial"/>
          <w:sz w:val="22"/>
          <w:szCs w:val="22"/>
          <w:color w:val="auto"/>
        </w:rPr>
      </w:pPr>
    </w:p>
    <w:p>
      <w:pPr>
        <w:ind w:left="520" w:right="120" w:hanging="413"/>
        <w:spacing w:after="0"/>
        <w:tabs>
          <w:tab w:leader="none" w:pos="5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Value is determined by subtracting the exercise price from the fair market value of our common stock at December 31, 2001 ($6.80 per share based upon the closing sale price of our common stock on the Nasdaq National Market on such date) and multiplying by the number of shares underlying the options.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Contracts, Termination of Employment and Change in Control Arrangements</w:t>
      </w:r>
    </w:p>
    <w:p>
      <w:pPr>
        <w:spacing w:after="0" w:line="212" w:lineRule="exact"/>
        <w:rPr>
          <w:sz w:val="20"/>
          <w:szCs w:val="20"/>
          <w:color w:val="auto"/>
        </w:rPr>
      </w:pPr>
    </w:p>
    <w:p>
      <w:pPr>
        <w:ind w:right="20" w:firstLine="320"/>
        <w:spacing w:after="0" w:line="275" w:lineRule="auto"/>
        <w:rPr>
          <w:sz w:val="20"/>
          <w:szCs w:val="20"/>
          <w:color w:val="auto"/>
        </w:rPr>
      </w:pPr>
      <w:r>
        <w:rPr>
          <w:rFonts w:ascii="Arial" w:cs="Arial" w:eastAsia="Arial" w:hAnsi="Arial"/>
          <w:sz w:val="19"/>
          <w:szCs w:val="19"/>
          <w:color w:val="auto"/>
        </w:rPr>
        <w:t>The Company has termination of employment and change in control arrangements in place with Joseph F. Pinkerton, III and David S. Gino. Mr. Pinkerton will receive six months of severance pay if he is terminated without cause, which would result in a severance payment of $137,500 based on Mr. Pinkerton's current salary. Additionally, if after six months of an inability to perform his duties due to a permanent disability Mr. Pinkerton is terminated, he will receive three months of severance pay, which would result in a severance payment of $68,750 based on Mr. Pinkerton's current salary. Upon a change in corporate control that results in a significant reduction in his role and/or responsibility within 12 months of the change in corporate control, Mr. Gino will receive up to six months of severance pay, which would result in a severance payment of $120,000 based on Mr. Gino's current salary. Additionally, 75% of his then unvested options will accelerate and vest immediately.</w:t>
      </w:r>
    </w:p>
    <w:p>
      <w:pPr>
        <w:spacing w:after="0" w:line="158" w:lineRule="exact"/>
        <w:rPr>
          <w:sz w:val="20"/>
          <w:szCs w:val="20"/>
          <w:color w:val="auto"/>
        </w:rPr>
      </w:pPr>
    </w:p>
    <w:p>
      <w:pPr>
        <w:ind w:right="500" w:firstLine="324"/>
        <w:spacing w:after="0" w:line="316" w:lineRule="auto"/>
        <w:rPr>
          <w:sz w:val="20"/>
          <w:szCs w:val="20"/>
          <w:color w:val="auto"/>
        </w:rPr>
      </w:pPr>
      <w:r>
        <w:rPr>
          <w:rFonts w:ascii="Arial" w:cs="Arial" w:eastAsia="Arial" w:hAnsi="Arial"/>
          <w:sz w:val="19"/>
          <w:szCs w:val="19"/>
          <w:color w:val="auto"/>
        </w:rPr>
        <w:t>Our 2000 Stock Incentive Plan, which governs the options granted to the named executive officers, includes the following change in control provisions, which may result in the accelerated vesting of outstanding option grants and stock issuances:</w:t>
      </w:r>
    </w:p>
    <w:p>
      <w:pPr>
        <w:spacing w:after="0" w:line="167" w:lineRule="exact"/>
        <w:rPr>
          <w:sz w:val="20"/>
          <w:szCs w:val="20"/>
          <w:color w:val="auto"/>
        </w:rPr>
      </w:pPr>
    </w:p>
    <w:p>
      <w:pPr>
        <w:ind w:left="500" w:right="80" w:hanging="243"/>
        <w:spacing w:after="0" w:line="183" w:lineRule="auto"/>
        <w:tabs>
          <w:tab w:leader="none" w:pos="500" w:val="left"/>
        </w:tabs>
        <w:numPr>
          <w:ilvl w:val="0"/>
          <w:numId w:val="13"/>
        </w:numPr>
        <w:rPr>
          <w:rFonts w:ascii="Arial" w:cs="Arial" w:eastAsia="Arial" w:hAnsi="Arial"/>
          <w:sz w:val="39"/>
          <w:szCs w:val="39"/>
          <w:color w:val="auto"/>
          <w:vertAlign w:val="subscript"/>
        </w:rPr>
      </w:pPr>
      <w:r>
        <w:rPr>
          <w:rFonts w:ascii="Arial" w:cs="Arial" w:eastAsia="Arial" w:hAnsi="Arial"/>
          <w:sz w:val="20"/>
          <w:szCs w:val="20"/>
          <w:color w:val="auto"/>
        </w:rPr>
        <w:t>In the event that we are acquired by merger or asset sale or board-approved sale by the stockholders of more than 50% of our outstanding voting stock, each outstanding option under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47" w:lineRule="exact"/>
        <w:rPr>
          <w:sz w:val="20"/>
          <w:szCs w:val="20"/>
          <w:color w:val="auto"/>
        </w:rPr>
      </w:pPr>
    </w:p>
    <w:p>
      <w:pPr>
        <w:ind w:left="500" w:right="140"/>
        <w:spacing w:after="0" w:line="238" w:lineRule="auto"/>
        <w:rPr>
          <w:sz w:val="20"/>
          <w:szCs w:val="20"/>
          <w:color w:val="auto"/>
        </w:rPr>
      </w:pPr>
      <w:r>
        <w:rPr>
          <w:rFonts w:ascii="Arial" w:cs="Arial" w:eastAsia="Arial" w:hAnsi="Arial"/>
          <w:sz w:val="22"/>
          <w:szCs w:val="22"/>
          <w:color w:val="auto"/>
        </w:rPr>
        <w:t>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compensation committee will have complete discretion to grant one or more options that will become exercisable for all</w:t>
      </w:r>
    </w:p>
    <w:p>
      <w:pPr>
        <w:spacing w:after="0" w:line="43" w:lineRule="exact"/>
        <w:rPr>
          <w:sz w:val="20"/>
          <w:szCs w:val="20"/>
          <w:color w:val="auto"/>
        </w:rPr>
      </w:pPr>
    </w:p>
    <w:p>
      <w:pPr>
        <w:ind w:left="500" w:right="60" w:hanging="243"/>
        <w:spacing w:after="0" w:line="184" w:lineRule="auto"/>
        <w:tabs>
          <w:tab w:leader="none" w:pos="500" w:val="left"/>
        </w:tabs>
        <w:numPr>
          <w:ilvl w:val="0"/>
          <w:numId w:val="14"/>
        </w:numPr>
        <w:rPr>
          <w:rFonts w:ascii="Arial" w:cs="Arial" w:eastAsia="Arial" w:hAnsi="Arial"/>
          <w:sz w:val="42"/>
          <w:szCs w:val="42"/>
          <w:color w:val="auto"/>
          <w:vertAlign w:val="subscript"/>
        </w:rPr>
      </w:pPr>
      <w:r>
        <w:rPr>
          <w:rFonts w:ascii="Arial" w:cs="Arial" w:eastAsia="Arial" w:hAnsi="Arial"/>
          <w:sz w:val="21"/>
          <w:szCs w:val="21"/>
          <w:color w:val="auto"/>
        </w:rPr>
        <w:t>the option shares in the event those options are assumed in the acquisition and the optionee's service with us, or the acquiring entity, is subsequently involuntarily terminated. The vesting of any outstanding shares under our 2000 plan may be accelerated upon similar terms and conditions.</w:t>
      </w:r>
    </w:p>
    <w:p>
      <w:pPr>
        <w:spacing w:after="0" w:line="24" w:lineRule="exact"/>
        <w:rPr>
          <w:rFonts w:ascii="Arial" w:cs="Arial" w:eastAsia="Arial" w:hAnsi="Arial"/>
          <w:sz w:val="42"/>
          <w:szCs w:val="42"/>
          <w:color w:val="auto"/>
          <w:vertAlign w:val="subscript"/>
        </w:rPr>
      </w:pPr>
    </w:p>
    <w:p>
      <w:pPr>
        <w:ind w:left="500" w:right="140"/>
        <w:spacing w:after="0" w:line="276" w:lineRule="auto"/>
        <w:rPr>
          <w:rFonts w:ascii="Arial" w:cs="Arial" w:eastAsia="Arial" w:hAnsi="Arial"/>
          <w:sz w:val="42"/>
          <w:szCs w:val="42"/>
          <w:color w:val="auto"/>
          <w:vertAlign w:val="subscript"/>
        </w:rPr>
      </w:pPr>
      <w:r>
        <w:rPr>
          <w:rFonts w:ascii="Arial" w:cs="Arial" w:eastAsia="Arial" w:hAnsi="Arial"/>
          <w:sz w:val="19"/>
          <w:szCs w:val="19"/>
          <w:color w:val="auto"/>
        </w:rPr>
        <w:t>The compensation committee may grant options and structure repurchase rights so that the shares subject to those options or repurchase rights will immediately vest in connection with a hostile take-over effected through a successful tender offer for</w:t>
      </w:r>
    </w:p>
    <w:p>
      <w:pPr>
        <w:spacing w:after="0" w:line="1" w:lineRule="exact"/>
        <w:rPr>
          <w:rFonts w:ascii="Arial" w:cs="Arial" w:eastAsia="Arial" w:hAnsi="Arial"/>
          <w:sz w:val="42"/>
          <w:szCs w:val="42"/>
          <w:color w:val="auto"/>
          <w:vertAlign w:val="subscript"/>
        </w:rPr>
      </w:pPr>
    </w:p>
    <w:p>
      <w:pPr>
        <w:ind w:left="500" w:right="60" w:hanging="243"/>
        <w:spacing w:after="0" w:line="234" w:lineRule="auto"/>
        <w:tabs>
          <w:tab w:leader="none" w:pos="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25" w:lineRule="exact"/>
        <w:rPr>
          <w:rFonts w:ascii="Arial" w:cs="Arial" w:eastAsia="Arial" w:hAnsi="Arial"/>
          <w:sz w:val="22"/>
          <w:szCs w:val="22"/>
          <w:color w:val="auto"/>
        </w:rPr>
      </w:pPr>
    </w:p>
    <w:p>
      <w:pPr>
        <w:ind w:left="500" w:hanging="243"/>
        <w:spacing w:after="0"/>
        <w:tabs>
          <w:tab w:leader="none" w:pos="5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options currently outstanding under our 1993 Stock Option/Stock Issuance Plan, which was succeeded by the 2000 plan,</w:t>
      </w:r>
    </w:p>
    <w:p>
      <w:pPr>
        <w:sectPr>
          <w:pgSz w:w="11900" w:h="16838" w:orient="portrait"/>
          <w:cols w:equalWidth="0" w:num="1">
            <w:col w:w="11380"/>
          </w:cols>
          <w:pgMar w:left="240" w:top="118" w:right="279" w:bottom="0" w:gutter="0" w:footer="0" w:header="0"/>
        </w:sectPr>
      </w:pPr>
    </w:p>
    <w:bookmarkStart w:id="10" w:name="page11"/>
    <w:bookmarkEnd w:id="10"/>
    <w:p>
      <w:pPr>
        <w:spacing w:after="0" w:line="54" w:lineRule="exact"/>
        <w:rPr>
          <w:sz w:val="20"/>
          <w:szCs w:val="20"/>
          <w:color w:val="auto"/>
        </w:rPr>
      </w:pPr>
    </w:p>
    <w:p>
      <w:pPr>
        <w:ind w:left="500" w:right="120"/>
        <w:spacing w:after="0" w:line="249" w:lineRule="auto"/>
        <w:rPr>
          <w:sz w:val="20"/>
          <w:szCs w:val="20"/>
          <w:color w:val="auto"/>
        </w:rPr>
      </w:pPr>
      <w:r>
        <w:rPr>
          <w:rFonts w:ascii="Arial" w:cs="Arial" w:eastAsia="Arial" w:hAnsi="Arial"/>
          <w:sz w:val="21"/>
          <w:szCs w:val="21"/>
          <w:color w:val="auto"/>
        </w:rPr>
        <w:t>will immediately vest in the event we are acquired by merger or asset sale, unless those options are assumed by the acquiring entity or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the options will accelerate and vest in full upon an involuntary termination of the optionee's employment within 18 months following the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12"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None of our executive officers serves as a member of the board of directors or compensation committee of any entity that has one or more of its executive officers serving as a member of our board of directors or compensation committee. Our compensation committee currently consists of Messrs. Anderson, Lindelow and Rock, none of whom currently serves or has previously served as an officer or employee of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Compensation Committee Report on Executive Compensation</w:t>
      </w:r>
    </w:p>
    <w:p>
      <w:pPr>
        <w:spacing w:after="0" w:line="212"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It is the duty of the compensation committee to review and determine the salaries and bonuses of executive officers of Active Power, including the Chief Executive Officer, and to establish the general compensation policies for such individuals. The compensation committee also has the sole and exclusive authority to make discretionary option grants to the company's executive officers under our 2000 Stock Incentive Plan.</w:t>
      </w:r>
    </w:p>
    <w:p>
      <w:pPr>
        <w:spacing w:after="0" w:line="185" w:lineRule="exact"/>
        <w:rPr>
          <w:sz w:val="20"/>
          <w:szCs w:val="20"/>
          <w:color w:val="auto"/>
        </w:rPr>
      </w:pPr>
    </w:p>
    <w:p>
      <w:pPr>
        <w:ind w:firstLine="320"/>
        <w:spacing w:after="0" w:line="282" w:lineRule="auto"/>
        <w:rPr>
          <w:sz w:val="20"/>
          <w:szCs w:val="20"/>
          <w:color w:val="auto"/>
        </w:rPr>
      </w:pPr>
      <w:r>
        <w:rPr>
          <w:rFonts w:ascii="Arial" w:cs="Arial" w:eastAsia="Arial" w:hAnsi="Arial"/>
          <w:sz w:val="19"/>
          <w:szCs w:val="19"/>
          <w:color w:val="auto"/>
        </w:rPr>
        <w:t>The compensation committee believes that the compensation programs for the company's executive officers should reflect Active Power' performance and the value created for Active Power' stockholders. In addition, the compensation programs should support the short-term and long-term strategic goals and values of the company and should reward individual contribution to Active Power' success. Active Power is engaged in a very competitive industry, and the company's success depends upon its ability to attract and retain qualified executives through the competitive compensation packages it offers to such individuals.</w:t>
      </w:r>
    </w:p>
    <w:p>
      <w:pPr>
        <w:spacing w:after="0" w:line="148" w:lineRule="exact"/>
        <w:rPr>
          <w:sz w:val="20"/>
          <w:szCs w:val="20"/>
          <w:color w:val="auto"/>
        </w:rPr>
      </w:pPr>
    </w:p>
    <w:p>
      <w:pPr>
        <w:ind w:right="160" w:firstLine="324"/>
        <w:spacing w:after="0" w:line="282" w:lineRule="auto"/>
        <w:rPr>
          <w:sz w:val="20"/>
          <w:szCs w:val="20"/>
          <w:color w:val="auto"/>
        </w:rPr>
      </w:pPr>
      <w:r>
        <w:rPr>
          <w:rFonts w:ascii="Arial" w:cs="Arial" w:eastAsia="Arial" w:hAnsi="Arial"/>
          <w:sz w:val="19"/>
          <w:szCs w:val="19"/>
          <w:i w:val="1"/>
          <w:iCs w:val="1"/>
          <w:color w:val="auto"/>
        </w:rPr>
        <w:t>General Compensation Policy</w:t>
      </w:r>
      <w:r>
        <w:rPr>
          <w:rFonts w:ascii="Arial" w:cs="Arial" w:eastAsia="Arial" w:hAnsi="Arial"/>
          <w:sz w:val="19"/>
          <w:szCs w:val="19"/>
          <w:color w:val="auto"/>
        </w:rPr>
        <w:t>. The compensation committee's policy is to provide the company's executive officers with</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opportunities which are based upon their personal performance, the financial performance of the company and their contribution to that performance and which are competitive enough to attract and retain highly skilled individuals. Each executive officer's compensation package is comprised of three elements: (i) base salary that is competitive with the market and reflects individual performance, (ii) annual variable performance awards payable in cash and tied to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6"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company's achievement of annual financial, strategic and operational objectives in addition to individual contributions to these objectives and (iii) long-term stock-based incentive awards designed to strengthen the mutual interest of Active Power's executive officers and its stockholders. As an officer's level of responsibility increases, a greater proportion of his or her total compensation will be dependent upon the company's financial performance and stock price appreciation rather than base salary.</w:t>
      </w:r>
    </w:p>
    <w:p>
      <w:pPr>
        <w:spacing w:after="0" w:line="143" w:lineRule="exact"/>
        <w:rPr>
          <w:sz w:val="20"/>
          <w:szCs w:val="20"/>
          <w:color w:val="auto"/>
        </w:rPr>
      </w:pPr>
    </w:p>
    <w:p>
      <w:pPr>
        <w:jc w:val="both"/>
        <w:ind w:right="140" w:firstLine="324"/>
        <w:spacing w:after="0"/>
        <w:rPr>
          <w:sz w:val="20"/>
          <w:szCs w:val="20"/>
          <w:color w:val="auto"/>
        </w:rPr>
      </w:pPr>
      <w:r>
        <w:rPr>
          <w:rFonts w:ascii="Arial" w:cs="Arial" w:eastAsia="Arial" w:hAnsi="Arial"/>
          <w:sz w:val="22"/>
          <w:szCs w:val="22"/>
          <w:i w:val="1"/>
          <w:iCs w:val="1"/>
          <w:color w:val="auto"/>
        </w:rPr>
        <w:t>Factors</w:t>
      </w:r>
      <w:r>
        <w:rPr>
          <w:rFonts w:ascii="Arial" w:cs="Arial" w:eastAsia="Arial" w:hAnsi="Arial"/>
          <w:sz w:val="22"/>
          <w:szCs w:val="22"/>
          <w:color w:val="auto"/>
        </w:rPr>
        <w:t>. The principal factors that were taken into account in establishing each executive officer's compensation package for</w:t>
      </w:r>
      <w:r>
        <w:rPr>
          <w:rFonts w:ascii="Arial" w:cs="Arial" w:eastAsia="Arial" w:hAnsi="Arial"/>
          <w:sz w:val="22"/>
          <w:szCs w:val="22"/>
          <w:i w:val="1"/>
          <w:iCs w:val="1"/>
          <w:color w:val="auto"/>
        </w:rPr>
        <w:t xml:space="preserve"> </w:t>
      </w:r>
      <w:r>
        <w:rPr>
          <w:rFonts w:ascii="Arial" w:cs="Arial" w:eastAsia="Arial" w:hAnsi="Arial"/>
          <w:sz w:val="22"/>
          <w:szCs w:val="22"/>
          <w:color w:val="auto"/>
        </w:rPr>
        <w:t>fiscal 2001 are described below. However, the compensation committee may in its discretion apply entirely different factors, such as different measures of financial performance, for future fiscal years.</w:t>
      </w:r>
    </w:p>
    <w:p>
      <w:pPr>
        <w:spacing w:after="0" w:line="186" w:lineRule="exact"/>
        <w:rPr>
          <w:sz w:val="20"/>
          <w:szCs w:val="20"/>
          <w:color w:val="auto"/>
        </w:rPr>
      </w:pPr>
    </w:p>
    <w:p>
      <w:pPr>
        <w:ind w:right="140" w:firstLine="324"/>
        <w:spacing w:after="0" w:line="245" w:lineRule="auto"/>
        <w:rPr>
          <w:sz w:val="20"/>
          <w:szCs w:val="20"/>
          <w:color w:val="auto"/>
        </w:rPr>
      </w:pPr>
      <w:r>
        <w:rPr>
          <w:rFonts w:ascii="Arial" w:cs="Arial" w:eastAsia="Arial" w:hAnsi="Arial"/>
          <w:sz w:val="21"/>
          <w:szCs w:val="21"/>
          <w:i w:val="1"/>
          <w:iCs w:val="1"/>
          <w:color w:val="auto"/>
        </w:rPr>
        <w:t>Base Salary</w:t>
      </w:r>
      <w:r>
        <w:rPr>
          <w:rFonts w:ascii="Arial" w:cs="Arial" w:eastAsia="Arial" w:hAnsi="Arial"/>
          <w:sz w:val="21"/>
          <w:szCs w:val="21"/>
          <w:color w:val="auto"/>
        </w:rPr>
        <w:t>. In setting base salaries, the compensation committee reviewed published compensation survey data for its</w:t>
      </w:r>
      <w:r>
        <w:rPr>
          <w:rFonts w:ascii="Arial" w:cs="Arial" w:eastAsia="Arial" w:hAnsi="Arial"/>
          <w:sz w:val="21"/>
          <w:szCs w:val="21"/>
          <w:i w:val="1"/>
          <w:iCs w:val="1"/>
          <w:color w:val="auto"/>
        </w:rPr>
        <w:t xml:space="preserve"> </w:t>
      </w:r>
      <w:r>
        <w:rPr>
          <w:rFonts w:ascii="Arial" w:cs="Arial" w:eastAsia="Arial" w:hAnsi="Arial"/>
          <w:sz w:val="21"/>
          <w:szCs w:val="21"/>
          <w:color w:val="auto"/>
        </w:rPr>
        <w:t>industry. Specifically, the Committee considered an October 2000 report by the Watson Wyatt Worldwide consulting firm, entitled Executive Compensation Review and Stock Option Modeling Report. The base salary for each officer reflects the salary levels for comparable positions in the published surveys and the comparative group of companies, as well as the individual's personal performance and internal alignment considerations. The relative weight given to each factor varies with each individual in the sole discretion of the compensation committee. Each executive officer's base salary is adjusted each year on the basis of (i) the compensation committee's evaluation of the officer's personal performance for the year and (ii) the competitive marketplace for persons in comparable positions. Active Power' performance may also be a factor in determining the base salaries of executive officers.</w:t>
      </w:r>
    </w:p>
    <w:p>
      <w:pPr>
        <w:spacing w:after="0" w:line="185"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i w:val="1"/>
          <w:iCs w:val="1"/>
          <w:color w:val="auto"/>
        </w:rPr>
        <w:t>Annual Incentives</w:t>
      </w:r>
      <w:r>
        <w:rPr>
          <w:rFonts w:ascii="Arial" w:cs="Arial" w:eastAsia="Arial" w:hAnsi="Arial"/>
          <w:sz w:val="22"/>
          <w:szCs w:val="22"/>
          <w:color w:val="auto"/>
        </w:rPr>
        <w:t>. In setting bonus amounts to executive officers, the compensation committee looks to external market data</w:t>
      </w:r>
      <w:r>
        <w:rPr>
          <w:rFonts w:ascii="Arial" w:cs="Arial" w:eastAsia="Arial" w:hAnsi="Arial"/>
          <w:sz w:val="22"/>
          <w:szCs w:val="22"/>
          <w:i w:val="1"/>
          <w:iCs w:val="1"/>
          <w:color w:val="auto"/>
        </w:rPr>
        <w:t xml:space="preserve"> </w:t>
      </w:r>
      <w:r>
        <w:rPr>
          <w:rFonts w:ascii="Arial" w:cs="Arial" w:eastAsia="Arial" w:hAnsi="Arial"/>
          <w:sz w:val="22"/>
          <w:szCs w:val="22"/>
          <w:color w:val="auto"/>
        </w:rPr>
        <w:t>to assemble competitive variable compensation levels in competitive companies and markets. Based on the foregoing factors and the company's performance for fiscal 2001, bonuses were awarded to the executive officers named in the Summary Compensation Table in the indicated amounts.</w:t>
      </w:r>
    </w:p>
    <w:p>
      <w:pPr>
        <w:spacing w:after="0" w:line="185" w:lineRule="exact"/>
        <w:rPr>
          <w:sz w:val="20"/>
          <w:szCs w:val="20"/>
          <w:color w:val="auto"/>
        </w:rPr>
      </w:pPr>
    </w:p>
    <w:p>
      <w:pPr>
        <w:ind w:right="20" w:firstLine="324"/>
        <w:spacing w:after="0" w:line="275" w:lineRule="auto"/>
        <w:rPr>
          <w:sz w:val="20"/>
          <w:szCs w:val="20"/>
          <w:color w:val="auto"/>
        </w:rPr>
      </w:pPr>
      <w:r>
        <w:rPr>
          <w:rFonts w:ascii="Arial" w:cs="Arial" w:eastAsia="Arial" w:hAnsi="Arial"/>
          <w:sz w:val="19"/>
          <w:szCs w:val="19"/>
          <w:i w:val="1"/>
          <w:iCs w:val="1"/>
          <w:color w:val="auto"/>
        </w:rPr>
        <w:t>Long-Term Incentives</w:t>
      </w:r>
      <w:r>
        <w:rPr>
          <w:rFonts w:ascii="Arial" w:cs="Arial" w:eastAsia="Arial" w:hAnsi="Arial"/>
          <w:sz w:val="19"/>
          <w:szCs w:val="19"/>
          <w:color w:val="auto"/>
        </w:rPr>
        <w:t>. Generally, stock option grants are made annually by the compensation committee to each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executive officers. Each grant is designed to align the interests of the executive officer with those of the stockholders and provide each individual with a significant incentive to manage Active Power from the perspective of an owner with an equity stake in the business. Each grant allows the officer to acquire shares of the company's common stock at a fixed price per share (typically, the market price on the grant date) over a specified period of time (up to ten years). Each option becomes exercisable in a series of installments over a four-year period, contingent upon the officer's continued employment with Active Power. Accordingly, the option will provide a return to the executive officer only if he or she remains employed by the company during the vesting period, and then only if the market price of the shares appreciates over the option term.</w:t>
      </w:r>
    </w:p>
    <w:p>
      <w:pPr>
        <w:spacing w:after="0" w:line="158" w:lineRule="exact"/>
        <w:rPr>
          <w:sz w:val="20"/>
          <w:szCs w:val="20"/>
          <w:color w:val="auto"/>
        </w:rPr>
      </w:pPr>
    </w:p>
    <w:p>
      <w:pPr>
        <w:ind w:right="80" w:firstLine="320"/>
        <w:spacing w:after="0" w:line="328" w:lineRule="auto"/>
        <w:rPr>
          <w:sz w:val="20"/>
          <w:szCs w:val="20"/>
          <w:color w:val="auto"/>
        </w:rPr>
      </w:pPr>
      <w:r>
        <w:rPr>
          <w:rFonts w:ascii="Arial" w:cs="Arial" w:eastAsia="Arial" w:hAnsi="Arial"/>
          <w:sz w:val="19"/>
          <w:szCs w:val="19"/>
          <w:color w:val="auto"/>
        </w:rPr>
        <w:t>The size of the option grant to each executive officer is set by the compensation committee at a level that is intended to create a meaningful opportunity for stock ownership based upon the individual's current position with the company, the individual's</w:t>
      </w:r>
    </w:p>
    <w:p>
      <w:pPr>
        <w:sectPr>
          <w:pgSz w:w="11900" w:h="16892" w:orient="portrait"/>
          <w:cols w:equalWidth="0" w:num="1">
            <w:col w:w="11420"/>
          </w:cols>
          <w:pgMar w:left="240" w:top="118" w:right="239" w:bottom="0" w:gutter="0" w:footer="0" w:header="0"/>
        </w:sectPr>
      </w:pPr>
    </w:p>
    <w:bookmarkStart w:id="11" w:name="page12"/>
    <w:bookmarkEnd w:id="11"/>
    <w:p>
      <w:pPr>
        <w:ind w:right="20"/>
        <w:spacing w:after="0" w:line="282" w:lineRule="auto"/>
        <w:rPr>
          <w:sz w:val="20"/>
          <w:szCs w:val="20"/>
          <w:color w:val="auto"/>
        </w:rPr>
      </w:pPr>
      <w:r>
        <w:rPr>
          <w:rFonts w:ascii="Arial" w:cs="Arial" w:eastAsia="Arial" w:hAnsi="Arial"/>
          <w:sz w:val="19"/>
          <w:szCs w:val="19"/>
          <w:color w:val="auto"/>
        </w:rPr>
        <w:t>personal performance in recent periods and his or her potential for future responsibility and promotion over the option term. The compensation committee also takes into account the number of unvested options held by the executive officer in order to maintain an appropriate level of equity incentive for that individual. The relevant weight given to each of these factors varies from individual to individual. The compensation committee has established certain guidelines with respect to the option grants made to the executive officers, but has the flexibility to make adjustments to those guidelines at its discretion.</w:t>
      </w:r>
    </w:p>
    <w:p>
      <w:pPr>
        <w:spacing w:after="0" w:line="148"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i w:val="1"/>
          <w:iCs w:val="1"/>
          <w:color w:val="auto"/>
        </w:rPr>
        <w:t>CEO Compensation</w:t>
      </w:r>
      <w:r>
        <w:rPr>
          <w:rFonts w:ascii="Arial" w:cs="Arial" w:eastAsia="Arial" w:hAnsi="Arial"/>
          <w:sz w:val="21"/>
          <w:szCs w:val="21"/>
          <w:color w:val="auto"/>
        </w:rPr>
        <w:t>. In setting the total compensation payable to our Chief Executive Officer, Joseph F. Pinkerton III, in</w:t>
      </w:r>
      <w:r>
        <w:rPr>
          <w:rFonts w:ascii="Arial" w:cs="Arial" w:eastAsia="Arial" w:hAnsi="Arial"/>
          <w:sz w:val="21"/>
          <w:szCs w:val="21"/>
          <w:i w:val="1"/>
          <w:iCs w:val="1"/>
          <w:color w:val="auto"/>
        </w:rPr>
        <w:t xml:space="preserve"> </w:t>
      </w:r>
      <w:r>
        <w:rPr>
          <w:rFonts w:ascii="Arial" w:cs="Arial" w:eastAsia="Arial" w:hAnsi="Arial"/>
          <w:sz w:val="21"/>
          <w:szCs w:val="21"/>
          <w:color w:val="auto"/>
        </w:rPr>
        <w:t>fiscal 2001, the compensation committee has taken into consideration Mr. Pinkerton's prior accomplishments and strategic leadership in our industry and also sought to make that compensation competitive with the compensation paid to the chief executive officers of comparable companies. Additionally, the compensation committee looks at Active Power's performance and stock price appreciation for a significant percentage of his total compensation.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6"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i w:val="1"/>
          <w:iCs w:val="1"/>
          <w:color w:val="auto"/>
        </w:rPr>
        <w:t>Employee Stock Purchase Plan</w:t>
      </w:r>
      <w:r>
        <w:rPr>
          <w:rFonts w:ascii="Arial" w:cs="Arial" w:eastAsia="Arial" w:hAnsi="Arial"/>
          <w:sz w:val="22"/>
          <w:szCs w:val="22"/>
          <w:color w:val="auto"/>
        </w:rPr>
        <w:t>. We maintain an employee stock purchase plan that qualifies under Section 423 of the Internal</w:t>
      </w:r>
      <w:r>
        <w:rPr>
          <w:rFonts w:ascii="Arial" w:cs="Arial" w:eastAsia="Arial" w:hAnsi="Arial"/>
          <w:sz w:val="22"/>
          <w:szCs w:val="22"/>
          <w:i w:val="1"/>
          <w:iCs w:val="1"/>
          <w:color w:val="auto"/>
        </w:rPr>
        <w:t xml:space="preserve"> </w:t>
      </w:r>
      <w:r>
        <w:rPr>
          <w:rFonts w:ascii="Arial" w:cs="Arial" w:eastAsia="Arial" w:hAnsi="Arial"/>
          <w:sz w:val="22"/>
          <w:szCs w:val="22"/>
          <w:color w:val="auto"/>
        </w:rPr>
        <w:t>Revenue Code and permits substantially all of our U.S. employees to purchase shares of our common stock. Participating employees may purchase our common stock at a purchase price equal to 85% of the lower of the fair market value of our common stock at the beginning of an offering period or on the exercise date. Employees may designate up to 15% of their base compensation for the purchase of our common stock under this plan. Active Power' executive officers are eligible to participate in this program, subject to any applicable tax laws.</w:t>
      </w:r>
    </w:p>
    <w:p>
      <w:pPr>
        <w:spacing w:after="0" w:line="188" w:lineRule="exact"/>
        <w:rPr>
          <w:sz w:val="20"/>
          <w:szCs w:val="20"/>
          <w:color w:val="auto"/>
        </w:rPr>
      </w:pPr>
    </w:p>
    <w:p>
      <w:pPr>
        <w:ind w:right="80" w:firstLine="324"/>
        <w:spacing w:after="0" w:line="236" w:lineRule="auto"/>
        <w:rPr>
          <w:sz w:val="20"/>
          <w:szCs w:val="20"/>
          <w:color w:val="auto"/>
        </w:rPr>
      </w:pPr>
      <w:r>
        <w:rPr>
          <w:rFonts w:ascii="Arial" w:cs="Arial" w:eastAsia="Arial" w:hAnsi="Arial"/>
          <w:sz w:val="22"/>
          <w:szCs w:val="22"/>
          <w:i w:val="1"/>
          <w:iCs w:val="1"/>
          <w:color w:val="auto"/>
        </w:rPr>
        <w:t>Retirement Plans</w:t>
      </w:r>
      <w:r>
        <w:rPr>
          <w:rFonts w:ascii="Arial" w:cs="Arial" w:eastAsia="Arial" w:hAnsi="Arial"/>
          <w:sz w:val="22"/>
          <w:szCs w:val="22"/>
          <w:color w:val="auto"/>
        </w:rPr>
        <w:t>. We maintain a plan that complies with the provisions of Section 401(k) of the Internal Revenue Code.</w:t>
      </w:r>
      <w:r>
        <w:rPr>
          <w:rFonts w:ascii="Arial" w:cs="Arial" w:eastAsia="Arial" w:hAnsi="Arial"/>
          <w:sz w:val="22"/>
          <w:szCs w:val="22"/>
          <w:i w:val="1"/>
          <w:iCs w:val="1"/>
          <w:color w:val="auto"/>
        </w:rPr>
        <w:t xml:space="preserve"> </w:t>
      </w:r>
      <w:r>
        <w:rPr>
          <w:rFonts w:ascii="Arial" w:cs="Arial" w:eastAsia="Arial" w:hAnsi="Arial"/>
          <w:sz w:val="22"/>
          <w:szCs w:val="22"/>
          <w:color w:val="auto"/>
        </w:rPr>
        <w:t>Substantially all U.S. employees are eligible to participate in this plan, and eligibility for participation commences upon hiring. We also maintain retirement plans for certain non-U.S. employees. Obligations under these plans are determined in accordance with local regulations and customs. Active Power' executive officers are eligible to participate in this program, subject to any applicable tax laws.</w:t>
      </w:r>
    </w:p>
    <w:p>
      <w:pPr>
        <w:spacing w:after="0" w:line="18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9"/>
          <w:szCs w:val="19"/>
          <w:i w:val="1"/>
          <w:iCs w:val="1"/>
          <w:color w:val="auto"/>
        </w:rPr>
        <w:t>Compliance with Internal Revenue Code Section 162(m)</w:t>
      </w:r>
      <w:r>
        <w:rPr>
          <w:rFonts w:ascii="Arial" w:cs="Arial" w:eastAsia="Arial" w:hAnsi="Arial"/>
          <w:sz w:val="19"/>
          <w:szCs w:val="19"/>
          <w:color w:val="auto"/>
        </w:rPr>
        <w:t>. Section 162(m) of the Internal Revenue Code disallows a tax</w:t>
      </w:r>
      <w:r>
        <w:rPr>
          <w:rFonts w:ascii="Arial" w:cs="Arial" w:eastAsia="Arial" w:hAnsi="Arial"/>
          <w:sz w:val="19"/>
          <w:szCs w:val="19"/>
          <w:i w:val="1"/>
          <w:iCs w:val="1"/>
          <w:color w:val="auto"/>
        </w:rPr>
        <w:t xml:space="preserve"> </w:t>
      </w:r>
      <w:r>
        <w:rPr>
          <w:rFonts w:ascii="Arial" w:cs="Arial" w:eastAsia="Arial" w:hAnsi="Arial"/>
          <w:sz w:val="19"/>
          <w:szCs w:val="19"/>
          <w:color w:val="auto"/>
        </w:rPr>
        <w:t>deduction to publicly held companies for compensation paid to certain of their executive officers, to the extent that compensation exceeds $1 million per covered officer in any fiscal year. The limitation applies only to compensation that is not considered to be performance-based. Active Power' 2000 Stock Incentive Plan has been structured so that any compensation deemed paid in connection with the exercise of option grants made under that plan with an exercise price equal to the fair market value of the option shares on the grant date will qualify as performance-based compensation which will not be subject to the $1 million limitation. Cash and other non-performance based compensation paid to Active Power' executive officers for fiscal 2001 did not exceed the $1 million limit per officer, and the compensation committee does not anticipate that the non-performance based compensation to be paid to the company's executive officers will exceed that limit. Because it is unlikely that the cash compensation payable to any of the company's executive officers in the foreseeable future will approach the $1 million limit, the compensation committee has decided at this time not to take any action to limit or restructure the elements of cash compensation payable to the company's executive officers. The compensation committee will reconsider this decision should the individual cash compensation of any executive officer ever approach the $1 million level.</w:t>
      </w:r>
    </w:p>
    <w:p>
      <w:pPr>
        <w:spacing w:after="0" w:line="157" w:lineRule="exact"/>
        <w:rPr>
          <w:sz w:val="20"/>
          <w:szCs w:val="20"/>
          <w:color w:val="auto"/>
        </w:rPr>
      </w:pPr>
    </w:p>
    <w:p>
      <w:pPr>
        <w:jc w:val="both"/>
        <w:ind w:right="40" w:firstLine="324"/>
        <w:spacing w:after="0" w:line="297" w:lineRule="auto"/>
        <w:rPr>
          <w:sz w:val="20"/>
          <w:szCs w:val="20"/>
          <w:color w:val="auto"/>
        </w:rPr>
      </w:pPr>
      <w:r>
        <w:rPr>
          <w:rFonts w:ascii="Arial" w:cs="Arial" w:eastAsia="Arial" w:hAnsi="Arial"/>
          <w:sz w:val="19"/>
          <w:szCs w:val="19"/>
          <w:color w:val="auto"/>
        </w:rPr>
        <w:t>It is the opinion of the compensation committee that the executive compensation policies and plans provide the necessary total remuneration program to properly align the company's performance and the interests of Active Power' stockholders through the use of competitive and equitable executive compensation in a balanced and reasonable manner, for both the short and long-term.</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Submitted by the compensation committee of the board of directors:</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Richard E. Anderson</w:t>
      </w:r>
    </w:p>
    <w:p>
      <w:pPr>
        <w:ind w:left="4940"/>
        <w:spacing w:after="0" w:line="238" w:lineRule="auto"/>
        <w:rPr>
          <w:sz w:val="20"/>
          <w:szCs w:val="20"/>
          <w:color w:val="auto"/>
        </w:rPr>
      </w:pPr>
      <w:r>
        <w:rPr>
          <w:rFonts w:ascii="Arial" w:cs="Arial" w:eastAsia="Arial" w:hAnsi="Arial"/>
          <w:sz w:val="22"/>
          <w:szCs w:val="22"/>
          <w:color w:val="auto"/>
        </w:rPr>
        <w:t>Jan H. Lindelow</w:t>
      </w:r>
    </w:p>
    <w:p>
      <w:pPr>
        <w:ind w:left="4940"/>
        <w:spacing w:after="0"/>
        <w:rPr>
          <w:sz w:val="20"/>
          <w:szCs w:val="20"/>
          <w:color w:val="auto"/>
        </w:rPr>
      </w:pPr>
      <w:r>
        <w:rPr>
          <w:rFonts w:ascii="Arial" w:cs="Arial" w:eastAsia="Arial" w:hAnsi="Arial"/>
          <w:sz w:val="22"/>
          <w:szCs w:val="22"/>
          <w:color w:val="auto"/>
        </w:rPr>
        <w:t>Terrence L. Rock</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Performance Graph</w:t>
      </w:r>
    </w:p>
    <w:p>
      <w:pPr>
        <w:spacing w:after="0" w:line="212" w:lineRule="exact"/>
        <w:rPr>
          <w:sz w:val="20"/>
          <w:szCs w:val="20"/>
          <w:color w:val="auto"/>
        </w:rPr>
      </w:pPr>
    </w:p>
    <w:p>
      <w:pPr>
        <w:ind w:right="120" w:firstLine="320"/>
        <w:spacing w:after="0" w:line="251" w:lineRule="auto"/>
        <w:rPr>
          <w:sz w:val="20"/>
          <w:szCs w:val="20"/>
          <w:color w:val="auto"/>
        </w:rPr>
      </w:pPr>
      <w:r>
        <w:rPr>
          <w:rFonts w:ascii="Arial" w:cs="Arial" w:eastAsia="Arial" w:hAnsi="Arial"/>
          <w:sz w:val="22"/>
          <w:szCs w:val="22"/>
          <w:color w:val="auto"/>
        </w:rPr>
        <w:t>The graph depicted below shows a comparison of cumulative total stockholder returns for an investment in our common stock, the Nasdaq Stock Market (U.S.) Index and the CIBC Power Technology &amp; Growth Index.</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COMPARISON OF CUMULATIVE TOTAL RETURN</w:t>
      </w:r>
    </w:p>
    <w:p>
      <w:pPr>
        <w:sectPr>
          <w:pgSz w:w="11900" w:h="16838" w:orient="portrait"/>
          <w:cols w:equalWidth="0" w:num="1">
            <w:col w:w="11420"/>
          </w:cols>
          <w:pgMar w:left="240" w:top="118"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2215515</wp:posOffset>
            </wp:positionH>
            <wp:positionV relativeFrom="page">
              <wp:posOffset>88900</wp:posOffset>
            </wp:positionV>
            <wp:extent cx="3129915" cy="1646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312991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0" w:right="260" w:hanging="413"/>
        <w:spacing w:after="0" w:line="251" w:lineRule="auto"/>
        <w:tabs>
          <w:tab w:leader="none" w:pos="5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graph covers the period from August 7, 2000, the date on which our common stock began trading following our initial public offering of shares of our common stock, to December 31, 2001.</w:t>
      </w:r>
    </w:p>
    <w:p>
      <w:pPr>
        <w:spacing w:after="0" w:line="119" w:lineRule="exact"/>
        <w:rPr>
          <w:rFonts w:ascii="Arial" w:cs="Arial" w:eastAsia="Arial" w:hAnsi="Arial"/>
          <w:sz w:val="22"/>
          <w:szCs w:val="22"/>
          <w:color w:val="auto"/>
        </w:rPr>
      </w:pPr>
    </w:p>
    <w:p>
      <w:pPr>
        <w:jc w:val="both"/>
        <w:ind w:left="520" w:right="460" w:hanging="413"/>
        <w:spacing w:after="0"/>
        <w:tabs>
          <w:tab w:leader="none" w:pos="5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graph assumes that $100 was invested in our common stock on August 7, 2000 at our initial public offering price of $17.00 per share and in each index, and that all dividends were reinvested. No cash dividends have been declared on our common stock.</w:t>
      </w:r>
    </w:p>
    <w:p>
      <w:pPr>
        <w:spacing w:after="0" w:line="132" w:lineRule="exact"/>
        <w:rPr>
          <w:rFonts w:ascii="Arial" w:cs="Arial" w:eastAsia="Arial" w:hAnsi="Arial"/>
          <w:sz w:val="22"/>
          <w:szCs w:val="22"/>
          <w:color w:val="auto"/>
        </w:rPr>
      </w:pPr>
    </w:p>
    <w:p>
      <w:pPr>
        <w:ind w:left="520" w:hanging="413"/>
        <w:spacing w:after="0"/>
        <w:tabs>
          <w:tab w:leader="none" w:pos="5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Stockholder returns over the indicated period should not be considered indicative of future stockholder returns.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 INCORPORATION BY REFERENCE OF CERTAIN PORTIONS OF THIS PROXY STATEMENT</w:t>
      </w:r>
    </w:p>
    <w:p>
      <w:pPr>
        <w:spacing w:after="0" w:line="21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Stock Performance Graph, the audit committee report nor the compensation committee report is to be incorporated by reference into any such prior filings, nor shall such graph or report be incorporated by reference into any future filings made by us under those statutes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COMPLIANCE WITH SECTION 16(a) OF THE SECURITIES EXCHANGE ACT OF 1934</w:t>
      </w:r>
    </w:p>
    <w:p>
      <w:pPr>
        <w:spacing w:after="0" w:line="212" w:lineRule="exact"/>
        <w:rPr>
          <w:sz w:val="20"/>
          <w:szCs w:val="20"/>
          <w:color w:val="auto"/>
        </w:rPr>
      </w:pPr>
    </w:p>
    <w:p>
      <w:pPr>
        <w:ind w:right="100" w:firstLine="320"/>
        <w:spacing w:after="0" w:line="273" w:lineRule="auto"/>
        <w:rPr>
          <w:sz w:val="20"/>
          <w:szCs w:val="20"/>
          <w:color w:val="auto"/>
        </w:rPr>
      </w:pPr>
      <w:r>
        <w:rPr>
          <w:rFonts w:ascii="Arial" w:cs="Arial" w:eastAsia="Arial" w:hAnsi="Arial"/>
          <w:sz w:val="19"/>
          <w:szCs w:val="19"/>
          <w:color w:val="auto"/>
        </w:rPr>
        <w:t>The members of our board of directors, our executive officers and persons who hold more than 10% of our outstanding common stock are subject to the reporting requirements of Section 16(a) of the Securities Exchange Act of 1934, which require them to file reports with respect to their ownership of our common stock and their transactions in such common stock. Based upon</w:t>
      </w:r>
    </w:p>
    <w:p>
      <w:pPr>
        <w:spacing w:after="0" w:line="2" w:lineRule="exact"/>
        <w:rPr>
          <w:sz w:val="20"/>
          <w:szCs w:val="20"/>
          <w:color w:val="auto"/>
        </w:rPr>
      </w:pPr>
    </w:p>
    <w:p>
      <w:pPr>
        <w:ind w:right="240" w:firstLine="8"/>
        <w:spacing w:after="0" w:line="280" w:lineRule="auto"/>
        <w:tabs>
          <w:tab w:leader="none" w:pos="258"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copies of Section 16(a) reports we received from such persons for their fiscal 2001 transactions in our common stock and their common stock holdings, and (ii) the written representations received from one or more of such persons that no other reports were required to be filed by them for fiscal 2001, we believe that all reporting requirements under Section 16(a) for fiscal 2001 were met in a timely manner by our directors, executive officers and greater than ten percent beneficial owners.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w:t>
      </w:r>
    </w:p>
    <w:p>
      <w:pPr>
        <w:spacing w:after="0" w:line="212" w:lineRule="exact"/>
        <w:rPr>
          <w:sz w:val="20"/>
          <w:szCs w:val="20"/>
          <w:color w:val="auto"/>
        </w:rPr>
      </w:pPr>
    </w:p>
    <w:p>
      <w:pPr>
        <w:ind w:right="120" w:firstLine="312"/>
        <w:spacing w:after="0"/>
        <w:rPr>
          <w:sz w:val="20"/>
          <w:szCs w:val="20"/>
          <w:color w:val="auto"/>
        </w:rPr>
      </w:pPr>
      <w:r>
        <w:rPr>
          <w:rFonts w:ascii="Arial" w:cs="Arial" w:eastAsia="Arial" w:hAnsi="Arial"/>
          <w:sz w:val="22"/>
          <w:szCs w:val="22"/>
          <w:color w:val="auto"/>
        </w:rPr>
        <w:t>A copy of our Annual Report to Stockholders for fiscal 2001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ON FORM 10-K</w:t>
      </w:r>
    </w:p>
    <w:p>
      <w:pPr>
        <w:spacing w:after="0" w:line="212" w:lineRule="exact"/>
        <w:rPr>
          <w:sz w:val="20"/>
          <w:szCs w:val="20"/>
          <w:color w:val="auto"/>
        </w:rPr>
      </w:pPr>
    </w:p>
    <w:p>
      <w:pPr>
        <w:ind w:right="20" w:firstLine="320"/>
        <w:spacing w:after="0"/>
        <w:rPr>
          <w:sz w:val="20"/>
          <w:szCs w:val="20"/>
          <w:color w:val="auto"/>
        </w:rPr>
      </w:pPr>
      <w:r>
        <w:rPr>
          <w:rFonts w:ascii="Arial" w:cs="Arial" w:eastAsia="Arial" w:hAnsi="Arial"/>
          <w:sz w:val="22"/>
          <w:szCs w:val="22"/>
          <w:color w:val="auto"/>
        </w:rPr>
        <w:t>We filed an Annual Report on Form 10-K with the Securities and Exchange Commission on March 15, 2002. Stockholders may obtain a copy of this report, without charge, by writing to the attention of Investor Relations, at our principal executive offices located at 11525 Stonehollow Drive, Suite 110, Austin, Texas 78758.</w:t>
      </w:r>
    </w:p>
    <w:p>
      <w:pPr>
        <w:spacing w:after="0" w:line="20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THE BOARD OF DIRECTORS OF ACTIVE POWER,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 March 15, 2002</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[Proxy Card to Come]</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2)"/>
      <w:numFmt w:val="decimal"/>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2019-12-14T18:12:45Z</dcterms:created>
  <dcterms:modified xsi:type="dcterms:W3CDTF">2019-12-14T18:12:45Z</dcterms:modified>
</cp:coreProperties>
</file>