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677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77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Blatherwick Nell M.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P10,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12/26/2024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133,000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jc w:val="right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141,480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12/26/2024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59,037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12.82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jc w:val="right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82,443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12/26/2024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4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133,000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01/30/2023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40" w:type="dxa"/>
            <w:vAlign w:val="bottom"/>
            <w:gridSpan w:val="17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7"/>
              </w:rPr>
              <w:t>The reporting person may be deemed to be a member of a Section 13(d) group that collectively owns more than 10% of the Issuer's 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/s/Amanda Coussens, 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in Fact for the Reporting Person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-2476500</wp:posOffset>
            </wp:positionV>
            <wp:extent cx="28575" cy="1656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5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8782" TargetMode="External"/><Relationship Id="rId14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2024-12-30T15:27:42Z</dcterms:created>
  <dcterms:modified xsi:type="dcterms:W3CDTF">2024-12-30T15:27:42Z</dcterms:modified>
</cp:coreProperties>
</file>