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280778ds8.htm"/>
        <w:bookmarkStart w:id="1" w:name="ksd280778ds8"/>
        <w:bookmarkEnd w:id="0"/>
        <w:bookmarkEnd w:id="1"/>
        <w:r>
          <w:rPr>
            <w:rStyle w:val="InternetLink"/>
          </w:rPr>
          <w:t>Table of Contents</w:t>
        </w:r>
      </w:hyperlink>
    </w:p>
    <w:p>
      <w:pPr>
        <w:pStyle w:val="TextBody"/>
        <w:spacing w:before="0" w:after="0"/>
        <w:jc w:val="right"/>
        <w:rPr>
          <w:rFonts w:ascii="Times New Roman" w:hAnsi="Times New Roman"/>
          <w:b/>
          <w:sz w:val="20"/>
        </w:rPr>
      </w:pPr>
      <w:r>
        <w:rPr>
          <w:rFonts w:ascii="Times New Roman" w:hAnsi="Times New Roman"/>
          <w:b/>
          <w:sz w:val="20"/>
        </w:rPr>
        <w:t xml:space="preserve">As filed with the Securities and Exchange Commission on May 12, 2022 </w:t>
      </w:r>
    </w:p>
    <w:p>
      <w:pPr>
        <w:pStyle w:val="TextBody"/>
        <w:spacing w:before="0" w:after="0"/>
        <w:jc w:val="right"/>
        <w:rPr>
          <w:rFonts w:ascii="Times New Roman" w:hAnsi="Times New Roman"/>
          <w:b/>
          <w:sz w:val="20"/>
        </w:rPr>
      </w:pPr>
      <w:r>
        <w:rPr>
          <w:rFonts w:ascii="Times New Roman" w:hAnsi="Times New Roman"/>
          <w:b/>
          <w:sz w:val="20"/>
        </w:rPr>
        <w:t xml:space="preserve">Registration No. 333-________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S-8 </w:t>
      </w:r>
    </w:p>
    <w:p>
      <w:pPr>
        <w:pStyle w:val="TextBody"/>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spacing w:before="0" w:after="0"/>
        <w:jc w:val="center"/>
        <w:rPr>
          <w:rFonts w:ascii="Times New Roman" w:hAnsi="Times New Roman"/>
          <w:b/>
          <w:i/>
          <w:sz w:val="24"/>
        </w:rPr>
      </w:pPr>
      <w:r>
        <w:rPr>
          <w:rFonts w:ascii="Times New Roman" w:hAnsi="Times New Roman"/>
          <w:b/>
          <w:i/>
          <w:sz w:val="24"/>
        </w:rPr>
        <w:t xml:space="preserve">UNDER </w:t>
      </w:r>
    </w:p>
    <w:p>
      <w:pPr>
        <w:pStyle w:val="TextBody"/>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P10,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3"/>
        <w:gridCol w:w="103"/>
        <w:gridCol w:w="4949"/>
      </w:tblGrid>
      <w:tr>
        <w:trPr/>
        <w:tc>
          <w:tcPr>
            <w:tcW w:w="515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3" w:type="dxa"/>
            <w:tcBorders/>
            <w:shd w:fill="auto" w:val="clear"/>
          </w:tcPr>
          <w:p>
            <w:pPr>
              <w:pStyle w:val="TableContents"/>
              <w:spacing w:before="0" w:after="283"/>
              <w:jc w:val="center"/>
              <w:rPr>
                <w:b/>
              </w:rPr>
            </w:pPr>
            <w:r>
              <w:rPr>
                <w:b/>
              </w:rPr>
              <w:t>Delaware</w:t>
            </w:r>
          </w:p>
        </w:tc>
        <w:tc>
          <w:tcPr>
            <w:tcW w:w="103"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87-2908160</w:t>
            </w:r>
          </w:p>
        </w:tc>
      </w:tr>
      <w:tr>
        <w:trPr/>
        <w:tc>
          <w:tcPr>
            <w:tcW w:w="5153"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(State or other jurisdiction of</w:t>
            </w:r>
          </w:p>
          <w:p>
            <w:pPr>
              <w:pStyle w:val="TableContents"/>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240" w:after="0"/>
        <w:jc w:val="center"/>
        <w:rPr>
          <w:rFonts w:ascii="Times New Roman" w:hAnsi="Times New Roman"/>
          <w:b/>
          <w:sz w:val="20"/>
        </w:rPr>
      </w:pPr>
      <w:r>
        <w:rPr>
          <w:rFonts w:ascii="Times New Roman" w:hAnsi="Times New Roman"/>
          <w:b/>
          <w:sz w:val="20"/>
        </w:rPr>
        <w:t xml:space="preserve">P10, Inc. </w:t>
      </w:r>
    </w:p>
    <w:p>
      <w:pPr>
        <w:pStyle w:val="TextBody"/>
        <w:spacing w:before="0" w:after="0"/>
        <w:jc w:val="center"/>
        <w:rPr>
          <w:rFonts w:ascii="Times New Roman" w:hAnsi="Times New Roman"/>
          <w:b/>
          <w:sz w:val="20"/>
        </w:rPr>
      </w:pPr>
      <w:r>
        <w:rPr>
          <w:rFonts w:ascii="Times New Roman" w:hAnsi="Times New Roman"/>
          <w:b/>
          <w:sz w:val="20"/>
        </w:rPr>
        <w:t xml:space="preserve">4514 Cole Avenue, Suite 1600 </w:t>
      </w:r>
    </w:p>
    <w:p>
      <w:pPr>
        <w:pStyle w:val="TextBody"/>
        <w:spacing w:before="0" w:after="0"/>
        <w:jc w:val="center"/>
        <w:rPr>
          <w:rFonts w:ascii="Times New Roman" w:hAnsi="Times New Roman"/>
          <w:b/>
          <w:sz w:val="20"/>
        </w:rPr>
      </w:pPr>
      <w:r>
        <w:rPr>
          <w:rFonts w:ascii="Times New Roman" w:hAnsi="Times New Roman"/>
          <w:b/>
          <w:sz w:val="20"/>
        </w:rPr>
        <w:t xml:space="preserve">Dallas, Texas 75205 </w:t>
      </w:r>
    </w:p>
    <w:p>
      <w:pPr>
        <w:pStyle w:val="TextBody"/>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spacing w:before="240" w:after="0"/>
        <w:jc w:val="center"/>
        <w:rPr>
          <w:rFonts w:ascii="Times New Roman" w:hAnsi="Times New Roman"/>
          <w:b/>
          <w:sz w:val="20"/>
        </w:rPr>
      </w:pPr>
      <w:r>
        <w:rPr>
          <w:rFonts w:ascii="Times New Roman" w:hAnsi="Times New Roman"/>
          <w:b/>
          <w:sz w:val="20"/>
        </w:rPr>
        <w:t xml:space="preserve">P10 Holdings, Inc. 2018 Stock Incentive Plan </w:t>
      </w:r>
    </w:p>
    <w:p>
      <w:pPr>
        <w:pStyle w:val="TextBody"/>
        <w:spacing w:before="0" w:after="0"/>
        <w:jc w:val="center"/>
        <w:rPr>
          <w:rFonts w:ascii="Times New Roman" w:hAnsi="Times New Roman"/>
          <w:b/>
          <w:sz w:val="20"/>
        </w:rPr>
      </w:pPr>
      <w:r>
        <w:rPr>
          <w:rFonts w:ascii="Times New Roman" w:hAnsi="Times New Roman"/>
          <w:b/>
          <w:sz w:val="20"/>
        </w:rPr>
        <w:t xml:space="preserve">P10, Inc. 2021 Incentive Plan </w:t>
      </w:r>
    </w:p>
    <w:p>
      <w:pPr>
        <w:pStyle w:val="TextBody"/>
        <w:spacing w:before="240" w:after="0"/>
        <w:jc w:val="center"/>
        <w:rPr>
          <w:rFonts w:ascii="Times New Roman" w:hAnsi="Times New Roman"/>
          <w:b/>
          <w:sz w:val="16"/>
        </w:rPr>
      </w:pPr>
      <w:r>
        <w:rPr>
          <w:rFonts w:ascii="Times New Roman" w:hAnsi="Times New Roman"/>
          <w:b/>
          <w:sz w:val="16"/>
        </w:rPr>
        <w:t xml:space="preserve">(Full title of the plans) </w:t>
      </w:r>
    </w:p>
    <w:p>
      <w:pPr>
        <w:pStyle w:val="TextBody"/>
        <w:spacing w:before="240" w:after="0"/>
        <w:jc w:val="center"/>
        <w:rPr>
          <w:rFonts w:ascii="Times New Roman" w:hAnsi="Times New Roman"/>
          <w:b/>
          <w:sz w:val="20"/>
        </w:rPr>
      </w:pPr>
      <w:r>
        <w:rPr>
          <w:rFonts w:ascii="Times New Roman" w:hAnsi="Times New Roman"/>
          <w:b/>
          <w:sz w:val="20"/>
        </w:rPr>
        <w:t xml:space="preserve">Robert Alpert </w:t>
      </w:r>
    </w:p>
    <w:p>
      <w:pPr>
        <w:pStyle w:val="TextBody"/>
        <w:spacing w:before="0" w:after="0"/>
        <w:jc w:val="center"/>
        <w:rPr>
          <w:rFonts w:ascii="Times New Roman" w:hAnsi="Times New Roman"/>
          <w:b/>
          <w:sz w:val="20"/>
        </w:rPr>
      </w:pPr>
      <w:r>
        <w:rPr>
          <w:rFonts w:ascii="Times New Roman" w:hAnsi="Times New Roman"/>
          <w:b/>
          <w:sz w:val="20"/>
        </w:rPr>
        <w:t xml:space="preserve">C. Clark Webb </w:t>
      </w:r>
    </w:p>
    <w:p>
      <w:pPr>
        <w:pStyle w:val="TextBody"/>
        <w:spacing w:before="0" w:after="0"/>
        <w:jc w:val="center"/>
        <w:rPr>
          <w:rFonts w:ascii="Times New Roman" w:hAnsi="Times New Roman"/>
          <w:b/>
          <w:sz w:val="20"/>
        </w:rPr>
      </w:pPr>
      <w:r>
        <w:rPr>
          <w:rFonts w:ascii="Times New Roman" w:hAnsi="Times New Roman"/>
          <w:b/>
          <w:sz w:val="20"/>
        </w:rPr>
        <w:t xml:space="preserve">Co-Chief Executive Officers </w:t>
      </w:r>
    </w:p>
    <w:p>
      <w:pPr>
        <w:pStyle w:val="TextBody"/>
        <w:spacing w:before="0" w:after="0"/>
        <w:jc w:val="center"/>
        <w:rPr>
          <w:rFonts w:ascii="Times New Roman" w:hAnsi="Times New Roman"/>
          <w:b/>
          <w:sz w:val="20"/>
        </w:rPr>
      </w:pPr>
      <w:r>
        <w:rPr>
          <w:rFonts w:ascii="Times New Roman" w:hAnsi="Times New Roman"/>
          <w:b/>
          <w:sz w:val="20"/>
        </w:rPr>
        <w:t xml:space="preserve">P10, Inc. </w:t>
      </w:r>
    </w:p>
    <w:p>
      <w:pPr>
        <w:pStyle w:val="TextBody"/>
        <w:spacing w:before="0" w:after="0"/>
        <w:jc w:val="center"/>
        <w:rPr>
          <w:rFonts w:ascii="Times New Roman" w:hAnsi="Times New Roman"/>
          <w:b/>
          <w:sz w:val="20"/>
        </w:rPr>
      </w:pPr>
      <w:r>
        <w:rPr>
          <w:rFonts w:ascii="Times New Roman" w:hAnsi="Times New Roman"/>
          <w:b/>
          <w:sz w:val="20"/>
        </w:rPr>
        <w:t xml:space="preserve">4514 Cole Avenue, Suite 1600 </w:t>
      </w:r>
    </w:p>
    <w:p>
      <w:pPr>
        <w:pStyle w:val="TextBody"/>
        <w:spacing w:before="0" w:after="0"/>
        <w:jc w:val="center"/>
        <w:rPr>
          <w:rFonts w:ascii="Times New Roman" w:hAnsi="Times New Roman"/>
          <w:b/>
          <w:sz w:val="20"/>
        </w:rPr>
      </w:pPr>
      <w:r>
        <w:rPr>
          <w:rFonts w:ascii="Times New Roman" w:hAnsi="Times New Roman"/>
          <w:b/>
          <w:sz w:val="20"/>
        </w:rPr>
        <w:t xml:space="preserve">Dallas, Texas 75205 </w:t>
      </w:r>
    </w:p>
    <w:p>
      <w:pPr>
        <w:pStyle w:val="TextBody"/>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spacing w:before="240" w:after="0"/>
        <w:jc w:val="center"/>
        <w:rPr>
          <w:rFonts w:ascii="Times New Roman" w:hAnsi="Times New Roman"/>
          <w:b/>
          <w:sz w:val="20"/>
        </w:rPr>
      </w:pPr>
      <w:r>
        <w:rPr>
          <w:rFonts w:ascii="Times New Roman" w:hAnsi="Times New Roman"/>
          <w:b/>
          <w:sz w:val="20"/>
        </w:rPr>
        <w:t xml:space="preserve">(214) 865-7998 </w:t>
      </w:r>
    </w:p>
    <w:p>
      <w:pPr>
        <w:pStyle w:val="TextBody"/>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spacing w:before="240" w:after="0"/>
        <w:jc w:val="center"/>
        <w:rPr>
          <w:rFonts w:ascii="Times New Roman" w:hAnsi="Times New Roman"/>
          <w:sz w:val="20"/>
        </w:rPr>
      </w:pPr>
      <w:r>
        <w:rPr>
          <w:rFonts w:ascii="Times New Roman" w:hAnsi="Times New Roman"/>
          <w:sz w:val="20"/>
        </w:rPr>
        <w:t xml:space="preserve">It is requested that copies of notices and communications from the Securities and Exchange Commission be sent to: </w:t>
      </w:r>
    </w:p>
    <w:p>
      <w:pPr>
        <w:pStyle w:val="TextBody"/>
        <w:spacing w:before="240" w:after="0"/>
        <w:jc w:val="center"/>
        <w:rPr>
          <w:rFonts w:ascii="Times New Roman" w:hAnsi="Times New Roman"/>
          <w:b/>
          <w:sz w:val="20"/>
        </w:rPr>
      </w:pPr>
      <w:r>
        <w:rPr>
          <w:rFonts w:ascii="Times New Roman" w:hAnsi="Times New Roman"/>
          <w:b/>
          <w:sz w:val="20"/>
        </w:rPr>
        <w:t xml:space="preserve">Robert Alpert </w:t>
      </w:r>
    </w:p>
    <w:p>
      <w:pPr>
        <w:pStyle w:val="TextBody"/>
        <w:spacing w:before="0" w:after="0"/>
        <w:jc w:val="center"/>
        <w:rPr>
          <w:rFonts w:ascii="Times New Roman" w:hAnsi="Times New Roman"/>
          <w:b/>
          <w:sz w:val="20"/>
        </w:rPr>
      </w:pPr>
      <w:r>
        <w:rPr>
          <w:rFonts w:ascii="Times New Roman" w:hAnsi="Times New Roman"/>
          <w:b/>
          <w:sz w:val="20"/>
        </w:rPr>
        <w:t xml:space="preserve">C. Clark Webb </w:t>
      </w:r>
    </w:p>
    <w:p>
      <w:pPr>
        <w:pStyle w:val="TextBody"/>
        <w:spacing w:before="0" w:after="0"/>
        <w:jc w:val="center"/>
        <w:rPr>
          <w:rFonts w:ascii="Times New Roman" w:hAnsi="Times New Roman"/>
          <w:b/>
          <w:sz w:val="20"/>
        </w:rPr>
      </w:pPr>
      <w:r>
        <w:rPr>
          <w:rFonts w:ascii="Times New Roman" w:hAnsi="Times New Roman"/>
          <w:b/>
          <w:sz w:val="20"/>
        </w:rPr>
        <w:t xml:space="preserve">Co-Chief Executive Officer </w:t>
      </w:r>
    </w:p>
    <w:p>
      <w:pPr>
        <w:pStyle w:val="TextBody"/>
        <w:spacing w:before="0" w:after="0"/>
        <w:jc w:val="center"/>
        <w:rPr>
          <w:rFonts w:ascii="Times New Roman" w:hAnsi="Times New Roman"/>
          <w:b/>
          <w:sz w:val="20"/>
        </w:rPr>
      </w:pPr>
      <w:r>
        <w:rPr>
          <w:rFonts w:ascii="Times New Roman" w:hAnsi="Times New Roman"/>
          <w:b/>
          <w:sz w:val="20"/>
        </w:rPr>
        <w:t xml:space="preserve">P10, Inc. </w:t>
      </w:r>
    </w:p>
    <w:p>
      <w:pPr>
        <w:pStyle w:val="TextBody"/>
        <w:spacing w:before="0" w:after="0"/>
        <w:jc w:val="center"/>
        <w:rPr>
          <w:rFonts w:ascii="Times New Roman" w:hAnsi="Times New Roman"/>
          <w:b/>
          <w:sz w:val="20"/>
        </w:rPr>
      </w:pPr>
      <w:r>
        <w:rPr>
          <w:rFonts w:ascii="Times New Roman" w:hAnsi="Times New Roman"/>
          <w:b/>
          <w:sz w:val="20"/>
        </w:rPr>
        <w:t xml:space="preserve">4514 Cole Avenue, Suite 1600 </w:t>
      </w:r>
    </w:p>
    <w:p>
      <w:pPr>
        <w:pStyle w:val="TextBody"/>
        <w:spacing w:before="0" w:after="0"/>
        <w:jc w:val="center"/>
        <w:rPr>
          <w:rFonts w:ascii="Times New Roman" w:hAnsi="Times New Roman"/>
          <w:b/>
          <w:sz w:val="20"/>
        </w:rPr>
      </w:pPr>
      <w:r>
        <w:rPr>
          <w:rFonts w:ascii="Times New Roman" w:hAnsi="Times New Roman"/>
          <w:b/>
          <w:sz w:val="20"/>
        </w:rPr>
        <w:t xml:space="preserve">Dallas, Texas 75205 </w:t>
      </w:r>
    </w:p>
    <w:p>
      <w:pPr>
        <w:pStyle w:val="TextBody"/>
        <w:spacing w:before="0" w:after="0"/>
        <w:jc w:val="center"/>
        <w:rPr>
          <w:rFonts w:ascii="Times New Roman" w:hAnsi="Times New Roman"/>
          <w:b/>
          <w:sz w:val="20"/>
        </w:rPr>
      </w:pPr>
      <w:r>
        <w:rPr>
          <w:rFonts w:ascii="Times New Roman" w:hAnsi="Times New Roman"/>
          <w:b/>
          <w:sz w:val="20"/>
        </w:rPr>
        <w:t xml:space="preserve">Tel: (214) 865-7998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84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264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pPr>
            <w:r>
              <w:rPr/>
              <w:t>Large accelerated filer</w:t>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pPr>
            <w:r>
              <w:rPr/>
              <w:t>☐</w:t>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Accelerated filer</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r>
        <w:trPr>
          <w:trHeight w:val="120" w:hRule="atLeast"/>
        </w:trPr>
        <w:tc>
          <w:tcPr>
            <w:tcW w:w="2137" w:type="dxa"/>
            <w:tcBorders/>
            <w:shd w:fill="auto" w:val="clear"/>
            <w:vAlign w:val="center"/>
          </w:tcPr>
          <w:p>
            <w:pPr>
              <w:pStyle w:val="TableContents"/>
              <w:spacing w:before="0" w:after="283"/>
              <w:rPr>
                <w:sz w:val="4"/>
                <w:szCs w:val="4"/>
              </w:rPr>
            </w:pPr>
            <w:r>
              <w:rPr>
                <w:sz w:val="4"/>
                <w:szCs w:val="4"/>
              </w:rPr>
            </w:r>
          </w:p>
        </w:tc>
        <w:tc>
          <w:tcPr>
            <w:tcW w:w="4952"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3"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pPr>
            <w:r>
              <w:rPr/>
              <w:t>Non-accelerated filer</w:t>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pPr>
            <w:r>
              <w:rPr/>
              <w:t>☒</w:t>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Smaller reporting company</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r>
        <w:trPr>
          <w:trHeight w:val="120" w:hRule="atLeast"/>
        </w:trPr>
        <w:tc>
          <w:tcPr>
            <w:tcW w:w="2137" w:type="dxa"/>
            <w:tcBorders/>
            <w:shd w:fill="auto" w:val="clear"/>
            <w:vAlign w:val="center"/>
          </w:tcPr>
          <w:p>
            <w:pPr>
              <w:pStyle w:val="TableContents"/>
              <w:spacing w:before="0" w:after="283"/>
              <w:rPr>
                <w:sz w:val="4"/>
                <w:szCs w:val="4"/>
              </w:rPr>
            </w:pPr>
            <w:r>
              <w:rPr>
                <w:sz w:val="4"/>
                <w:szCs w:val="4"/>
              </w:rPr>
            </w:r>
          </w:p>
        </w:tc>
        <w:tc>
          <w:tcPr>
            <w:tcW w:w="4952"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3"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Emerging growth company</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bl>
    <w:p>
      <w:pPr>
        <w:pStyle w:val="TextBody"/>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EXPLANATORY NOTE </w:t>
      </w:r>
    </w:p>
    <w:p>
      <w:pPr>
        <w:pStyle w:val="TextBody"/>
        <w:spacing w:before="240" w:after="0"/>
        <w:jc w:val="left"/>
        <w:rPr>
          <w:rFonts w:ascii="Times New Roman" w:hAnsi="Times New Roman"/>
          <w:sz w:val="20"/>
        </w:rPr>
      </w:pPr>
      <w:r>
        <w:rPr>
          <w:rFonts w:ascii="Times New Roman" w:hAnsi="Times New Roman"/>
          <w:sz w:val="20"/>
        </w:rPr>
        <w:t>This Registration Statement on Form S-8 (this </w:t>
      </w:r>
      <w:r>
        <w:rPr>
          <w:rFonts w:ascii="Times New Roman" w:hAnsi="Times New Roman"/>
          <w:b/>
          <w:sz w:val="20"/>
        </w:rPr>
        <w:t>Registration Statement</w:t>
      </w:r>
      <w:r>
        <w:rPr>
          <w:rFonts w:ascii="Times New Roman" w:hAnsi="Times New Roman"/>
          <w:sz w:val="20"/>
        </w:rPr>
        <w:t>) is being filed by P10, Inc., a Delaware corporation (the </w:t>
      </w:r>
      <w:r>
        <w:rPr>
          <w:rFonts w:ascii="Times New Roman" w:hAnsi="Times New Roman"/>
          <w:b/>
          <w:sz w:val="20"/>
        </w:rPr>
        <w:t>Company</w:t>
      </w:r>
      <w:r>
        <w:rPr>
          <w:rFonts w:ascii="Times New Roman" w:hAnsi="Times New Roman"/>
          <w:sz w:val="20"/>
        </w:rPr>
        <w:t>), relating to (i) 5,788,331 shares of class A common stock, par value $0.001 per share (the </w:t>
      </w:r>
      <w:r>
        <w:rPr>
          <w:rFonts w:ascii="Times New Roman" w:hAnsi="Times New Roman"/>
          <w:b/>
          <w:sz w:val="20"/>
        </w:rPr>
        <w:t>Common Stock</w:t>
      </w:r>
      <w:r>
        <w:rPr>
          <w:rFonts w:ascii="Times New Roman" w:hAnsi="Times New Roman"/>
          <w:sz w:val="20"/>
        </w:rPr>
        <w:t>), issuable upon the exercise of stock options granted under the P10 Holdings, Inc. 2018 Stock Incentive Plan (the </w:t>
      </w:r>
      <w:r>
        <w:rPr>
          <w:rFonts w:ascii="Times New Roman" w:hAnsi="Times New Roman"/>
          <w:b/>
          <w:sz w:val="20"/>
        </w:rPr>
        <w:t>2018 Plan</w:t>
      </w:r>
      <w:r>
        <w:rPr>
          <w:rFonts w:ascii="Times New Roman" w:hAnsi="Times New Roman"/>
          <w:sz w:val="20"/>
        </w:rPr>
        <w:t>); (ii) 1,456,733 shares of Common Stock issuable upon the exercise of stock options granted under the P10, Inc. 2021 Stock Plan (the </w:t>
      </w:r>
      <w:r>
        <w:rPr>
          <w:rFonts w:ascii="Times New Roman" w:hAnsi="Times New Roman"/>
          <w:b/>
          <w:sz w:val="20"/>
        </w:rPr>
        <w:t>2021 Plan</w:t>
      </w:r>
      <w:r>
        <w:rPr>
          <w:rFonts w:ascii="Times New Roman" w:hAnsi="Times New Roman"/>
          <w:sz w:val="20"/>
        </w:rPr>
        <w:t> and together with the 2018 Plan, the </w:t>
      </w:r>
      <w:r>
        <w:rPr>
          <w:rFonts w:ascii="Times New Roman" w:hAnsi="Times New Roman"/>
          <w:b/>
          <w:sz w:val="20"/>
        </w:rPr>
        <w:t>Plans</w:t>
      </w:r>
      <w:r>
        <w:rPr>
          <w:rFonts w:ascii="Times New Roman" w:hAnsi="Times New Roman"/>
          <w:sz w:val="20"/>
        </w:rPr>
        <w:t xml:space="preserve">); (iii) the resale of 36,033 restricted shares of Common Stock issued under the 2021 Plan; (iv) the resale of 567,789 shares underlying RSUs issued under the 2021 Plan; and (v) 1,451,114 shares of Common Stock available for issuance under the 2021 Plan. </w:t>
      </w:r>
    </w:p>
    <w:p>
      <w:pPr>
        <w:pStyle w:val="TextBody"/>
        <w:spacing w:before="240" w:after="0"/>
        <w:jc w:val="left"/>
        <w:rPr>
          <w:rFonts w:ascii="Times New Roman" w:hAnsi="Times New Roman"/>
          <w:sz w:val="20"/>
        </w:rPr>
      </w:pPr>
      <w:r>
        <w:rPr>
          <w:rFonts w:ascii="Times New Roman" w:hAnsi="Times New Roman"/>
          <w:sz w:val="20"/>
        </w:rPr>
        <w:t>This Registration Statement also includes a prospectus (the </w:t>
      </w:r>
      <w:r>
        <w:rPr>
          <w:rFonts w:ascii="Times New Roman" w:hAnsi="Times New Roman"/>
          <w:b/>
          <w:sz w:val="20"/>
        </w:rPr>
        <w:t>Reoffer Prospectus</w:t>
      </w:r>
      <w:r>
        <w:rPr>
          <w:rFonts w:ascii="Times New Roman" w:hAnsi="Times New Roman"/>
          <w:sz w:val="20"/>
        </w:rPr>
        <w:t>) prepared in accordance with General Instruction C of Form S-8 and in accordance with the requirements of Part I of Form S-3. This Reoffer Prospectus may be used for the reoffer and resale of shares of Common Stock on a continuous or delayed basis that may be deemed to be restricted securities and/or control securities within the meaning of the Securities Act of 1933, as amended (the </w:t>
      </w:r>
      <w:r>
        <w:rPr>
          <w:rFonts w:ascii="Times New Roman" w:hAnsi="Times New Roman"/>
          <w:b/>
          <w:sz w:val="20"/>
        </w:rPr>
        <w:t>Securities Act</w:t>
      </w:r>
      <w:r>
        <w:rPr>
          <w:rFonts w:ascii="Times New Roman" w:hAnsi="Times New Roman"/>
          <w:sz w:val="20"/>
        </w:rPr>
        <w:t xml:space="preserve">), and the rules and regulations promulgated thereunder, that are issuable to certain of our executive officers, employees, consultants and directors identified in the Reoffer Prospectus. The number of shares of Common Stock included in the Reoffer Prospectus represents shares of Common Stock issuable to the selling securityholders pursuant to equity awards, including restricted stock restricted stock unit grants, granted to the selling securityholders and does not necessarily represent a present intention to sell any or all such shares of Common Stock. </w:t>
      </w:r>
    </w:p>
    <w:p>
      <w:pPr>
        <w:pStyle w:val="TextBody"/>
        <w:spacing w:before="240" w:after="0"/>
        <w:jc w:val="center"/>
        <w:rPr>
          <w:rFonts w:ascii="Times New Roman" w:hAnsi="Times New Roman"/>
          <w:b/>
          <w:sz w:val="20"/>
        </w:rPr>
      </w:pPr>
      <w:r>
        <w:rPr>
          <w:rFonts w:ascii="Times New Roman" w:hAnsi="Times New Roman"/>
          <w:b/>
          <w:sz w:val="20"/>
        </w:rPr>
        <w:t xml:space="preserve">PART I </w:t>
      </w:r>
    </w:p>
    <w:p>
      <w:pPr>
        <w:pStyle w:val="TextBody"/>
        <w:spacing w:before="24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b/>
              </w:rPr>
            </w:pPr>
            <w:r>
              <w:rPr>
                <w:b/>
              </w:rPr>
              <w:t>Item 1.</w:t>
            </w:r>
          </w:p>
        </w:tc>
        <w:tc>
          <w:tcPr>
            <w:tcW w:w="928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Plan Information. </w:t>
            </w:r>
          </w:p>
        </w:tc>
      </w:tr>
    </w:tbl>
    <w:p>
      <w:pPr>
        <w:pStyle w:val="TextBody"/>
        <w:spacing w:before="120" w:after="0"/>
        <w:jc w:val="left"/>
        <w:rPr>
          <w:rFonts w:ascii="Times New Roman" w:hAnsi="Times New Roman"/>
          <w:sz w:val="20"/>
        </w:rPr>
      </w:pPr>
      <w:r>
        <w:rPr>
          <w:rFonts w:ascii="Times New Roman" w:hAnsi="Times New Roman"/>
          <w:sz w:val="20"/>
        </w:rPr>
        <w:t>The Company will provide each recipient of a grant under the Plans (the </w:t>
      </w:r>
      <w:r>
        <w:rPr>
          <w:rFonts w:ascii="Times New Roman" w:hAnsi="Times New Roman"/>
          <w:b/>
          <w:sz w:val="20"/>
        </w:rPr>
        <w:t>Recipients</w:t>
      </w:r>
      <w:r>
        <w:rPr>
          <w:rFonts w:ascii="Times New Roman" w:hAnsi="Times New Roman"/>
          <w:sz w:val="20"/>
        </w:rPr>
        <w:t>) with documents that contain information related to the Plans, and other information including, but not limited to, the disclosure required by Item 1 of Form S-8, which information is not required to be and is not being filed as a part of this Registration Statement on Form S-8 (the </w:t>
      </w:r>
      <w:r>
        <w:rPr>
          <w:rFonts w:ascii="Times New Roman" w:hAnsi="Times New Roman"/>
          <w:b/>
          <w:sz w:val="20"/>
        </w:rPr>
        <w:t>Registration Statement</w:t>
      </w:r>
      <w:r>
        <w:rPr>
          <w:rFonts w:ascii="Times New Roman" w:hAnsi="Times New Roman"/>
          <w:sz w:val="20"/>
        </w:rPr>
        <w:t xml:space="preserve">) or as prospectuses or prospectus supplements pursuant to Rule 424 under the Securities Act. The foregoing information and the documents incorporated by reference in response to Item 3 of Part II of this Registration Statement, taken together, constitute a prospectus that meets the requirements of Section 10(a) of the Securities Act. A Section 10(a) prospectus will be given to each Recipient who receives shares of Common Stock covered by this Registration Statement, in accordance with Rule 428(b)(1) under the Securities Act.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b/>
              </w:rPr>
            </w:pPr>
            <w:r>
              <w:rPr>
                <w:b/>
              </w:rPr>
              <w:t>Item 2.</w:t>
            </w:r>
          </w:p>
        </w:tc>
        <w:tc>
          <w:tcPr>
            <w:tcW w:w="928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Registrant Information and Employee Plan Annual Information. </w:t>
            </w:r>
          </w:p>
        </w:tc>
      </w:tr>
    </w:tbl>
    <w:p>
      <w:pPr>
        <w:pStyle w:val="TextBody"/>
        <w:spacing w:before="120" w:after="0"/>
        <w:jc w:val="left"/>
        <w:rPr>
          <w:rFonts w:ascii="Times New Roman" w:hAnsi="Times New Roman"/>
          <w:sz w:val="20"/>
        </w:rPr>
      </w:pPr>
      <w:r>
        <w:rPr>
          <w:rFonts w:ascii="Times New Roman" w:hAnsi="Times New Roman"/>
          <w:sz w:val="20"/>
        </w:rPr>
        <w:t xml:space="preserve">We will provide to each Recipient a written statement advising of the availability of documents incorporated by reference in Item 3 of Part II of this Registration Statement (which documents are incorporated by reference in this Section 10(a) prospectus) and of documents required to be delivered pursuant to Rule 428(b) under the Securities Act without charge and upon written or oral request by contacting: </w:t>
      </w:r>
    </w:p>
    <w:p>
      <w:pPr>
        <w:pStyle w:val="TextBody"/>
        <w:spacing w:before="240" w:after="0"/>
        <w:jc w:val="center"/>
        <w:rPr>
          <w:rFonts w:ascii="Times New Roman" w:hAnsi="Times New Roman"/>
          <w:sz w:val="20"/>
        </w:rPr>
      </w:pPr>
      <w:r>
        <w:rPr>
          <w:rFonts w:ascii="Times New Roman" w:hAnsi="Times New Roman"/>
          <w:sz w:val="20"/>
        </w:rPr>
        <w:t xml:space="preserve">Caryn Peeples </w:t>
      </w:r>
    </w:p>
    <w:p>
      <w:pPr>
        <w:pStyle w:val="TextBody"/>
        <w:spacing w:before="0" w:after="0"/>
        <w:jc w:val="center"/>
        <w:rPr>
          <w:rFonts w:ascii="Times New Roman" w:hAnsi="Times New Roman"/>
          <w:sz w:val="20"/>
        </w:rPr>
      </w:pPr>
      <w:r>
        <w:rPr>
          <w:rFonts w:ascii="Times New Roman" w:hAnsi="Times New Roman"/>
          <w:sz w:val="20"/>
        </w:rPr>
        <w:t xml:space="preserve">Office Manager </w:t>
      </w:r>
    </w:p>
    <w:p>
      <w:pPr>
        <w:pStyle w:val="TextBody"/>
        <w:spacing w:before="0" w:after="0"/>
        <w:jc w:val="center"/>
        <w:rPr>
          <w:rFonts w:ascii="Times New Roman" w:hAnsi="Times New Roman"/>
          <w:sz w:val="20"/>
        </w:rPr>
      </w:pPr>
      <w:r>
        <w:rPr>
          <w:rFonts w:ascii="Times New Roman" w:hAnsi="Times New Roman"/>
          <w:sz w:val="20"/>
        </w:rPr>
        <w:t xml:space="preserve">P10, Inc. </w:t>
      </w:r>
    </w:p>
    <w:p>
      <w:pPr>
        <w:pStyle w:val="TextBody"/>
        <w:spacing w:before="0" w:after="0"/>
        <w:jc w:val="center"/>
        <w:rPr>
          <w:rFonts w:ascii="Times New Roman" w:hAnsi="Times New Roman"/>
          <w:sz w:val="20"/>
        </w:rPr>
      </w:pPr>
      <w:r>
        <w:rPr>
          <w:rFonts w:ascii="Times New Roman" w:hAnsi="Times New Roman"/>
          <w:sz w:val="20"/>
        </w:rPr>
        <w:t xml:space="preserve">4514 Cole Avenue, Suite 1600 </w:t>
      </w:r>
    </w:p>
    <w:p>
      <w:pPr>
        <w:pStyle w:val="TextBody"/>
        <w:spacing w:before="0" w:after="0"/>
        <w:jc w:val="center"/>
        <w:rPr>
          <w:rFonts w:ascii="Times New Roman" w:hAnsi="Times New Roman"/>
          <w:sz w:val="20"/>
        </w:rPr>
      </w:pPr>
      <w:r>
        <w:rPr>
          <w:rFonts w:ascii="Times New Roman" w:hAnsi="Times New Roman"/>
          <w:sz w:val="20"/>
        </w:rPr>
        <w:t xml:space="preserve">Dallas, Texas 75205 </w:t>
      </w:r>
    </w:p>
    <w:p>
      <w:pPr>
        <w:pStyle w:val="TextBody"/>
        <w:spacing w:before="0" w:after="0"/>
        <w:jc w:val="center"/>
        <w:rPr>
          <w:rFonts w:ascii="Times New Roman" w:hAnsi="Times New Roman"/>
          <w:sz w:val="20"/>
        </w:rPr>
      </w:pPr>
      <w:r>
        <w:rPr>
          <w:rFonts w:ascii="Times New Roman" w:hAnsi="Times New Roman"/>
          <w:sz w:val="20"/>
        </w:rPr>
        <w:t xml:space="preserve">Tel: (214) 865-7998 </w:t>
      </w:r>
    </w:p>
    <w:p>
      <w:pPr>
        <w:pStyle w:val="TextBody"/>
        <w:spacing w:before="0" w:after="0"/>
        <w:jc w:val="center"/>
        <w:rPr>
          <w:rFonts w:ascii="Times New Roman" w:hAnsi="Times New Roman"/>
          <w:sz w:val="20"/>
        </w:rPr>
      </w:pPr>
      <w:r>
        <w:rPr>
          <w:rFonts w:ascii="Times New Roman" w:hAnsi="Times New Roman"/>
          <w:sz w:val="20"/>
        </w:rPr>
        <w:t xml:space="preserve">Email: info@p10alts.com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REOFFER PROSPECTUS </w:t>
      </w:r>
    </w:p>
    <w:p>
      <w:pPr>
        <w:pStyle w:val="TextBody"/>
        <w:spacing w:before="240" w:after="0"/>
        <w:jc w:val="center"/>
        <w:rPr>
          <w:rFonts w:ascii="Times New Roman" w:hAnsi="Times New Roman"/>
          <w:b/>
          <w:sz w:val="36"/>
        </w:rPr>
      </w:pPr>
      <w:r>
        <w:rPr>
          <w:rFonts w:ascii="Times New Roman" w:hAnsi="Times New Roman"/>
          <w:b/>
          <w:sz w:val="36"/>
        </w:rPr>
        <w:t xml:space="preserve">603,822 Shares </w:t>
      </w:r>
    </w:p>
    <w:p>
      <w:pPr>
        <w:pStyle w:val="TextBody"/>
        <w:spacing w:before="240" w:after="0"/>
        <w:jc w:val="center"/>
        <w:rPr>
          <w:rFonts w:ascii="Times New Roman" w:hAnsi="Times New Roman"/>
          <w:b/>
          <w:sz w:val="48"/>
        </w:rPr>
      </w:pPr>
      <w:r>
        <w:rPr>
          <w:rFonts w:ascii="Times New Roman" w:hAnsi="Times New Roman"/>
          <w:b/>
          <w:sz w:val="48"/>
        </w:rPr>
        <w:t xml:space="preserve">P10, Inc. </w:t>
      </w:r>
    </w:p>
    <w:p>
      <w:pPr>
        <w:pStyle w:val="TextBody"/>
        <w:spacing w:before="240" w:after="0"/>
        <w:jc w:val="center"/>
        <w:rPr>
          <w:rFonts w:ascii="Times New Roman" w:hAnsi="Times New Roman"/>
          <w:b/>
          <w:sz w:val="28"/>
        </w:rPr>
      </w:pPr>
      <w:r>
        <w:rPr>
          <w:rFonts w:ascii="Times New Roman" w:hAnsi="Times New Roman"/>
          <w:b/>
          <w:sz w:val="28"/>
        </w:rPr>
        <w:t xml:space="preserve">Common Stock </w:t>
      </w:r>
    </w:p>
    <w:p>
      <w:pPr>
        <w:pStyle w:val="TextBody"/>
        <w:spacing w:before="0" w:after="0"/>
        <w:jc w:val="center"/>
        <w:rPr>
          <w:rFonts w:ascii="Times New Roman" w:hAnsi="Times New Roman"/>
          <w:b/>
          <w:sz w:val="20"/>
        </w:rPr>
      </w:pPr>
      <w:r>
        <w:rPr>
          <w:rFonts w:ascii="Times New Roman" w:hAnsi="Times New Roman"/>
          <w:b/>
          <w:sz w:val="20"/>
        </w:rPr>
        <w:t xml:space="preserve">Issuable under certain awards </w:t>
      </w:r>
    </w:p>
    <w:p>
      <w:pPr>
        <w:pStyle w:val="TextBody"/>
        <w:spacing w:before="0" w:after="0"/>
        <w:jc w:val="center"/>
        <w:rPr>
          <w:rFonts w:ascii="Times New Roman" w:hAnsi="Times New Roman"/>
          <w:b/>
          <w:sz w:val="20"/>
        </w:rPr>
      </w:pPr>
      <w:r>
        <w:rPr>
          <w:rFonts w:ascii="Times New Roman" w:hAnsi="Times New Roman"/>
          <w:b/>
          <w:sz w:val="20"/>
        </w:rPr>
        <w:t xml:space="preserve">granted under the Plans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This reoffer prospectus relates to the public resale, from time to time, of an aggregate of 603,822 (the </w:t>
      </w:r>
      <w:r>
        <w:rPr>
          <w:rFonts w:ascii="Times New Roman" w:hAnsi="Times New Roman"/>
          <w:b/>
          <w:sz w:val="20"/>
        </w:rPr>
        <w:t>Shares</w:t>
      </w:r>
      <w:r>
        <w:rPr>
          <w:rFonts w:ascii="Times New Roman" w:hAnsi="Times New Roman"/>
          <w:sz w:val="20"/>
        </w:rPr>
        <w:t>) of our class A common stock, $0.001 par value per share (the </w:t>
      </w:r>
      <w:r>
        <w:rPr>
          <w:rFonts w:ascii="Times New Roman" w:hAnsi="Times New Roman"/>
          <w:b/>
          <w:sz w:val="20"/>
        </w:rPr>
        <w:t>Common Stock</w:t>
      </w:r>
      <w:r>
        <w:rPr>
          <w:rFonts w:ascii="Times New Roman" w:hAnsi="Times New Roman"/>
          <w:sz w:val="20"/>
        </w:rPr>
        <w:t>) by certain securityholders identified herein in the section entitled Selling Securityholders. Such shares may be acquired in connection with awards granted under the P10 Holdings, Inc. 2018 Stock Incentive Plan (the </w:t>
      </w:r>
      <w:r>
        <w:rPr>
          <w:rFonts w:ascii="Times New Roman" w:hAnsi="Times New Roman"/>
          <w:b/>
          <w:sz w:val="20"/>
        </w:rPr>
        <w:t>2018 Plan</w:t>
      </w:r>
      <w:r>
        <w:rPr>
          <w:rFonts w:ascii="Times New Roman" w:hAnsi="Times New Roman"/>
          <w:sz w:val="20"/>
        </w:rPr>
        <w:t>) and the P10, Inc. (the </w:t>
      </w:r>
      <w:r>
        <w:rPr>
          <w:rFonts w:ascii="Times New Roman" w:hAnsi="Times New Roman"/>
          <w:b/>
          <w:sz w:val="20"/>
        </w:rPr>
        <w:t>Company</w:t>
      </w:r>
      <w:r>
        <w:rPr>
          <w:rFonts w:ascii="Times New Roman" w:hAnsi="Times New Roman"/>
          <w:sz w:val="20"/>
        </w:rPr>
        <w:t>) 2021 Stock Plan (the </w:t>
      </w:r>
      <w:r>
        <w:rPr>
          <w:rFonts w:ascii="Times New Roman" w:hAnsi="Times New Roman"/>
          <w:b/>
          <w:sz w:val="20"/>
        </w:rPr>
        <w:t>2021 Plan</w:t>
      </w:r>
      <w:r>
        <w:rPr>
          <w:rFonts w:ascii="Times New Roman" w:hAnsi="Times New Roman"/>
          <w:sz w:val="20"/>
        </w:rPr>
        <w:t> and together with the 2018 Plan, the </w:t>
      </w:r>
      <w:r>
        <w:rPr>
          <w:rFonts w:ascii="Times New Roman" w:hAnsi="Times New Roman"/>
          <w:b/>
          <w:sz w:val="20"/>
        </w:rPr>
        <w:t>Plans</w:t>
      </w:r>
      <w:r>
        <w:rPr>
          <w:rFonts w:ascii="Times New Roman" w:hAnsi="Times New Roman"/>
          <w:sz w:val="20"/>
        </w:rPr>
        <w:t xml:space="preserve">). You should read this prospectus carefully before you invest in our Common Stock. </w:t>
      </w:r>
    </w:p>
    <w:p>
      <w:pPr>
        <w:pStyle w:val="TextBody"/>
        <w:spacing w:before="240" w:after="0"/>
        <w:jc w:val="left"/>
        <w:rPr>
          <w:rFonts w:ascii="Times New Roman" w:hAnsi="Times New Roman"/>
          <w:sz w:val="20"/>
        </w:rPr>
      </w:pPr>
      <w:r>
        <w:rPr>
          <w:rFonts w:ascii="Times New Roman" w:hAnsi="Times New Roman"/>
          <w:sz w:val="20"/>
        </w:rPr>
        <w:t xml:space="preserve">Such resales shall take place on the NYSE, or such other stock market or exchange on which our Common Stock may be listed or quoted, in negotiated transactions or otherwise, at market prices prevailing at the time of the sale or at prices otherwise negotiated (see Plan of Distribution starting on page 3 of this prospectus). We will receive no part of the proceeds from sales made under this reoffer prospectus. The Selling Securityholders will bear all sales commissions and similar expenses. Any other expenses incurred by us in connection with the registration and offering and not borne by the Selling Securityholders will be borne by us. </w:t>
      </w:r>
    </w:p>
    <w:p>
      <w:pPr>
        <w:pStyle w:val="TextBody"/>
        <w:spacing w:before="240" w:after="0"/>
        <w:jc w:val="left"/>
        <w:rPr>
          <w:rFonts w:ascii="Times New Roman" w:hAnsi="Times New Roman"/>
          <w:sz w:val="20"/>
        </w:rPr>
      </w:pPr>
      <w:r>
        <w:rPr>
          <w:rFonts w:ascii="Times New Roman" w:hAnsi="Times New Roman"/>
          <w:sz w:val="20"/>
        </w:rPr>
        <w:t xml:space="preserve">This reoffer prospectus has been prepared for the purposes of registering the resale of our shares of Common Stock under the Securities Act to allow for future sales by Selling Securityholders on a continuous or delayed basis to the public without restriction, provided that the amount of shares of Common Stock to be offered or resold under this Reoffer Prospectus by each Selling Securityholder or other person with whom he or she is acting in concert for the purpose of selling shares of Common Stock, may not exceed, during any three-month period, the amount specified in Rule 144(e) under the Securities Act. We have not entered into any underwriting arrangements in connection with the sale of the shares covered by this reoffer prospectus. The Selling Securityholders identified in this reoffer prospectus, or their pledgees, donees, transferees or other successors-in-interest, may offer the shares covered by this reoffer prospectus from time to time through public or private transactions at prevailing market prices, at prices related to prevailing market prices or at privately negotiated prices. </w:t>
      </w:r>
    </w:p>
    <w:p>
      <w:pPr>
        <w:pStyle w:val="TextBody"/>
        <w:spacing w:before="240" w:after="0"/>
        <w:jc w:val="left"/>
        <w:rPr/>
      </w:pPr>
      <w:r>
        <w:rPr>
          <w:rFonts w:ascii="Times New Roman" w:hAnsi="Times New Roman"/>
          <w:b/>
          <w:sz w:val="24"/>
        </w:rPr>
        <w:t>Investing in our Common Stock involves risks. See </w:t>
      </w:r>
      <w:hyperlink w:anchor="tx280778_3">
        <w:r>
          <w:rPr>
            <w:rStyle w:val="InternetLink"/>
            <w:rFonts w:ascii="Times New Roman" w:hAnsi="Times New Roman"/>
            <w:b/>
            <w:sz w:val="24"/>
          </w:rPr>
          <w:t>Risk Factors</w:t>
        </w:r>
      </w:hyperlink>
      <w:r>
        <w:rPr>
          <w:rFonts w:ascii="Times New Roman" w:hAnsi="Times New Roman"/>
          <w:b/>
          <w:sz w:val="24"/>
        </w:rPr>
        <w:t xml:space="preserve"> beginning on page 3 of this reoffer prospectus. These are speculative securities. </w:t>
      </w:r>
    </w:p>
    <w:p>
      <w:pPr>
        <w:pStyle w:val="TextBody"/>
        <w:spacing w:before="240" w:after="0"/>
        <w:jc w:val="left"/>
        <w:rPr>
          <w:rFonts w:ascii="Times New Roman" w:hAnsi="Times New Roman"/>
          <w:sz w:val="20"/>
        </w:rPr>
      </w:pPr>
      <w:r>
        <w:rPr>
          <w:rFonts w:ascii="Times New Roman" w:hAnsi="Times New Roman"/>
          <w:sz w:val="20"/>
        </w:rPr>
        <w:t xml:space="preserve">Our Common Stock is quoted on the NYSE under the symbol PX and the last reported sale price of our Common Stock on May 6, 2022 was $12.26 per share. </w:t>
      </w:r>
    </w:p>
    <w:p>
      <w:pPr>
        <w:pStyle w:val="TextBody"/>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The date of this prospectus is May 12, 2022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P10, INC. </w:t>
      </w:r>
    </w:p>
    <w:p>
      <w:pPr>
        <w:pStyle w:val="TextBody"/>
        <w:spacing w:before="24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338"/>
        <w:gridCol w:w="291"/>
        <w:gridCol w:w="154"/>
        <w:gridCol w:w="361"/>
        <w:gridCol w:w="61"/>
      </w:tblGrid>
      <w:tr>
        <w:trPr/>
        <w:tc>
          <w:tcPr>
            <w:tcW w:w="933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r>
      <w:tr>
        <w:trPr/>
        <w:tc>
          <w:tcPr>
            <w:tcW w:w="933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5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1" w:type="dxa"/>
            <w:tcBorders/>
            <w:shd w:fill="auto" w:val="clear"/>
            <w:vAlign w:val="bottom"/>
          </w:tcPr>
          <w:p>
            <w:pPr>
              <w:pStyle w:val="TableContents"/>
              <w:spacing w:before="0" w:after="283"/>
              <w:rPr/>
            </w:pPr>
            <w:r>
              <w:rPr/>
              <w:t> </w:t>
            </w:r>
          </w:p>
        </w:tc>
      </w:tr>
      <w:tr>
        <w:trPr/>
        <w:tc>
          <w:tcPr>
            <w:tcW w:w="9338" w:type="dxa"/>
            <w:tcBorders/>
            <w:shd w:fill="auto" w:val="clear"/>
          </w:tcPr>
          <w:p>
            <w:pPr>
              <w:pStyle w:val="TableContents"/>
              <w:spacing w:before="0" w:after="0"/>
              <w:rPr/>
            </w:pPr>
            <w:hyperlink w:anchor="tx280778_1">
              <w:r>
                <w:rPr>
                  <w:rStyle w:val="InternetLink"/>
                  <w:rFonts w:ascii="Times New Roman" w:hAnsi="Times New Roman"/>
                  <w:sz w:val="20"/>
                </w:rPr>
                <w:t>Cautionary Statement Regarding Forward-Looking Statements</w:t>
              </w:r>
            </w:hyperlink>
          </w:p>
        </w:tc>
        <w:tc>
          <w:tcPr>
            <w:tcW w:w="29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i</w:t>
            </w:r>
          </w:p>
        </w:tc>
        <w:tc>
          <w:tcPr>
            <w:tcW w:w="61" w:type="dxa"/>
            <w:tcBorders/>
            <w:shd w:fill="auto" w:val="clear"/>
            <w:vAlign w:val="bottom"/>
          </w:tcPr>
          <w:p>
            <w:pPr>
              <w:pStyle w:val="TableContents"/>
              <w:spacing w:before="0" w:after="283"/>
              <w:rPr/>
            </w:pPr>
            <w:r>
              <w:rPr/>
              <w:t> </w:t>
            </w:r>
          </w:p>
        </w:tc>
      </w:tr>
      <w:tr>
        <w:trPr/>
        <w:tc>
          <w:tcPr>
            <w:tcW w:w="9338" w:type="dxa"/>
            <w:tcBorders/>
            <w:shd w:fill="auto" w:val="clear"/>
          </w:tcPr>
          <w:p>
            <w:pPr>
              <w:pStyle w:val="TableContents"/>
              <w:spacing w:before="0" w:after="0"/>
              <w:rPr/>
            </w:pPr>
            <w:hyperlink w:anchor="tx280778_2">
              <w:r>
                <w:rPr>
                  <w:rStyle w:val="InternetLink"/>
                  <w:rFonts w:ascii="Times New Roman" w:hAnsi="Times New Roman"/>
                  <w:sz w:val="20"/>
                </w:rPr>
                <w:t>Prospectus Summary</w:t>
              </w:r>
            </w:hyperlink>
          </w:p>
        </w:tc>
        <w:tc>
          <w:tcPr>
            <w:tcW w:w="29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1</w:t>
            </w:r>
          </w:p>
        </w:tc>
        <w:tc>
          <w:tcPr>
            <w:tcW w:w="61" w:type="dxa"/>
            <w:tcBorders/>
            <w:shd w:fill="auto" w:val="clear"/>
            <w:vAlign w:val="bottom"/>
          </w:tcPr>
          <w:p>
            <w:pPr>
              <w:pStyle w:val="TableContents"/>
              <w:spacing w:before="0" w:after="283"/>
              <w:rPr/>
            </w:pPr>
            <w:r>
              <w:rPr/>
              <w:t> </w:t>
            </w:r>
          </w:p>
        </w:tc>
      </w:tr>
      <w:tr>
        <w:trPr/>
        <w:tc>
          <w:tcPr>
            <w:tcW w:w="9338" w:type="dxa"/>
            <w:tcBorders/>
            <w:shd w:fill="auto" w:val="clear"/>
          </w:tcPr>
          <w:p>
            <w:pPr>
              <w:pStyle w:val="TableContents"/>
              <w:spacing w:before="0" w:after="0"/>
              <w:rPr/>
            </w:pPr>
            <w:hyperlink w:anchor="tx280778_3">
              <w:r>
                <w:rPr>
                  <w:rStyle w:val="InternetLink"/>
                  <w:rFonts w:ascii="Times New Roman" w:hAnsi="Times New Roman"/>
                  <w:sz w:val="20"/>
                </w:rPr>
                <w:t>Risk Factors</w:t>
              </w:r>
            </w:hyperlink>
          </w:p>
        </w:tc>
        <w:tc>
          <w:tcPr>
            <w:tcW w:w="29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3</w:t>
            </w:r>
          </w:p>
        </w:tc>
        <w:tc>
          <w:tcPr>
            <w:tcW w:w="61" w:type="dxa"/>
            <w:tcBorders/>
            <w:shd w:fill="auto" w:val="clear"/>
            <w:vAlign w:val="bottom"/>
          </w:tcPr>
          <w:p>
            <w:pPr>
              <w:pStyle w:val="TableContents"/>
              <w:spacing w:before="0" w:after="283"/>
              <w:rPr/>
            </w:pPr>
            <w:r>
              <w:rPr/>
              <w:t> </w:t>
            </w:r>
          </w:p>
        </w:tc>
      </w:tr>
      <w:tr>
        <w:trPr/>
        <w:tc>
          <w:tcPr>
            <w:tcW w:w="9338" w:type="dxa"/>
            <w:tcBorders/>
            <w:shd w:fill="auto" w:val="clear"/>
          </w:tcPr>
          <w:p>
            <w:pPr>
              <w:pStyle w:val="TableContents"/>
              <w:spacing w:before="0" w:after="0"/>
              <w:rPr/>
            </w:pPr>
            <w:hyperlink w:anchor="tx280778_4">
              <w:r>
                <w:rPr>
                  <w:rStyle w:val="InternetLink"/>
                  <w:rFonts w:ascii="Times New Roman" w:hAnsi="Times New Roman"/>
                  <w:sz w:val="20"/>
                </w:rPr>
                <w:t>Use of Proceeds</w:t>
              </w:r>
            </w:hyperlink>
          </w:p>
        </w:tc>
        <w:tc>
          <w:tcPr>
            <w:tcW w:w="29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3</w:t>
            </w:r>
          </w:p>
        </w:tc>
        <w:tc>
          <w:tcPr>
            <w:tcW w:w="61" w:type="dxa"/>
            <w:tcBorders/>
            <w:shd w:fill="auto" w:val="clear"/>
            <w:vAlign w:val="bottom"/>
          </w:tcPr>
          <w:p>
            <w:pPr>
              <w:pStyle w:val="TableContents"/>
              <w:spacing w:before="0" w:after="283"/>
              <w:rPr/>
            </w:pPr>
            <w:r>
              <w:rPr/>
              <w:t> </w:t>
            </w:r>
          </w:p>
        </w:tc>
      </w:tr>
      <w:tr>
        <w:trPr/>
        <w:tc>
          <w:tcPr>
            <w:tcW w:w="9338" w:type="dxa"/>
            <w:tcBorders/>
            <w:shd w:fill="auto" w:val="clear"/>
          </w:tcPr>
          <w:p>
            <w:pPr>
              <w:pStyle w:val="TableContents"/>
              <w:spacing w:before="0" w:after="0"/>
              <w:rPr/>
            </w:pPr>
            <w:hyperlink w:anchor="tx280778_5">
              <w:r>
                <w:rPr>
                  <w:rStyle w:val="InternetLink"/>
                  <w:rFonts w:ascii="Times New Roman" w:hAnsi="Times New Roman"/>
                  <w:sz w:val="20"/>
                </w:rPr>
                <w:t>Selling Securityholders</w:t>
              </w:r>
            </w:hyperlink>
          </w:p>
        </w:tc>
        <w:tc>
          <w:tcPr>
            <w:tcW w:w="29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4</w:t>
            </w:r>
          </w:p>
        </w:tc>
        <w:tc>
          <w:tcPr>
            <w:tcW w:w="61" w:type="dxa"/>
            <w:tcBorders/>
            <w:shd w:fill="auto" w:val="clear"/>
            <w:vAlign w:val="bottom"/>
          </w:tcPr>
          <w:p>
            <w:pPr>
              <w:pStyle w:val="TableContents"/>
              <w:spacing w:before="0" w:after="283"/>
              <w:rPr/>
            </w:pPr>
            <w:r>
              <w:rPr/>
              <w:t> </w:t>
            </w:r>
          </w:p>
        </w:tc>
      </w:tr>
      <w:tr>
        <w:trPr/>
        <w:tc>
          <w:tcPr>
            <w:tcW w:w="9338" w:type="dxa"/>
            <w:tcBorders/>
            <w:shd w:fill="auto" w:val="clear"/>
          </w:tcPr>
          <w:p>
            <w:pPr>
              <w:pStyle w:val="TableContents"/>
              <w:spacing w:before="0" w:after="0"/>
              <w:rPr/>
            </w:pPr>
            <w:hyperlink w:anchor="tx280778_6">
              <w:r>
                <w:rPr>
                  <w:rStyle w:val="InternetLink"/>
                  <w:rFonts w:ascii="Times New Roman" w:hAnsi="Times New Roman"/>
                  <w:sz w:val="20"/>
                </w:rPr>
                <w:t>Plan of Distribution</w:t>
              </w:r>
            </w:hyperlink>
          </w:p>
        </w:tc>
        <w:tc>
          <w:tcPr>
            <w:tcW w:w="29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6</w:t>
            </w:r>
          </w:p>
        </w:tc>
        <w:tc>
          <w:tcPr>
            <w:tcW w:w="61" w:type="dxa"/>
            <w:tcBorders/>
            <w:shd w:fill="auto" w:val="clear"/>
            <w:vAlign w:val="bottom"/>
          </w:tcPr>
          <w:p>
            <w:pPr>
              <w:pStyle w:val="TableContents"/>
              <w:spacing w:before="0" w:after="283"/>
              <w:rPr/>
            </w:pPr>
            <w:r>
              <w:rPr/>
              <w:t> </w:t>
            </w:r>
          </w:p>
        </w:tc>
      </w:tr>
      <w:tr>
        <w:trPr/>
        <w:tc>
          <w:tcPr>
            <w:tcW w:w="9338" w:type="dxa"/>
            <w:tcBorders/>
            <w:shd w:fill="auto" w:val="clear"/>
          </w:tcPr>
          <w:p>
            <w:pPr>
              <w:pStyle w:val="TableContents"/>
              <w:spacing w:before="0" w:after="0"/>
              <w:rPr/>
            </w:pPr>
            <w:hyperlink w:anchor="tx280778_7">
              <w:r>
                <w:rPr>
                  <w:rStyle w:val="InternetLink"/>
                  <w:rFonts w:ascii="Times New Roman" w:hAnsi="Times New Roman"/>
                  <w:sz w:val="20"/>
                </w:rPr>
                <w:t>Legal Matters</w:t>
              </w:r>
            </w:hyperlink>
          </w:p>
        </w:tc>
        <w:tc>
          <w:tcPr>
            <w:tcW w:w="29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7</w:t>
            </w:r>
          </w:p>
        </w:tc>
        <w:tc>
          <w:tcPr>
            <w:tcW w:w="61" w:type="dxa"/>
            <w:tcBorders/>
            <w:shd w:fill="auto" w:val="clear"/>
            <w:vAlign w:val="bottom"/>
          </w:tcPr>
          <w:p>
            <w:pPr>
              <w:pStyle w:val="TableContents"/>
              <w:spacing w:before="0" w:after="283"/>
              <w:rPr/>
            </w:pPr>
            <w:r>
              <w:rPr/>
              <w:t> </w:t>
            </w:r>
          </w:p>
        </w:tc>
      </w:tr>
      <w:tr>
        <w:trPr/>
        <w:tc>
          <w:tcPr>
            <w:tcW w:w="9338" w:type="dxa"/>
            <w:tcBorders/>
            <w:shd w:fill="auto" w:val="clear"/>
          </w:tcPr>
          <w:p>
            <w:pPr>
              <w:pStyle w:val="TableContents"/>
              <w:spacing w:before="0" w:after="0"/>
              <w:rPr/>
            </w:pPr>
            <w:hyperlink w:anchor="tx280778_8">
              <w:r>
                <w:rPr>
                  <w:rStyle w:val="InternetLink"/>
                  <w:rFonts w:ascii="Times New Roman" w:hAnsi="Times New Roman"/>
                  <w:sz w:val="20"/>
                </w:rPr>
                <w:t>Experts</w:t>
              </w:r>
            </w:hyperlink>
          </w:p>
        </w:tc>
        <w:tc>
          <w:tcPr>
            <w:tcW w:w="29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7</w:t>
            </w:r>
          </w:p>
        </w:tc>
        <w:tc>
          <w:tcPr>
            <w:tcW w:w="61" w:type="dxa"/>
            <w:tcBorders/>
            <w:shd w:fill="auto" w:val="clear"/>
            <w:vAlign w:val="bottom"/>
          </w:tcPr>
          <w:p>
            <w:pPr>
              <w:pStyle w:val="TableContents"/>
              <w:spacing w:before="0" w:after="283"/>
              <w:rPr/>
            </w:pPr>
            <w:r>
              <w:rPr/>
              <w:t> </w:t>
            </w:r>
          </w:p>
        </w:tc>
      </w:tr>
      <w:tr>
        <w:trPr/>
        <w:tc>
          <w:tcPr>
            <w:tcW w:w="9338" w:type="dxa"/>
            <w:tcBorders/>
            <w:shd w:fill="auto" w:val="clear"/>
          </w:tcPr>
          <w:p>
            <w:pPr>
              <w:pStyle w:val="TableContents"/>
              <w:spacing w:before="0" w:after="0"/>
              <w:rPr/>
            </w:pPr>
            <w:hyperlink w:anchor="tx280778_9">
              <w:r>
                <w:rPr>
                  <w:rStyle w:val="InternetLink"/>
                  <w:rFonts w:ascii="Times New Roman" w:hAnsi="Times New Roman"/>
                  <w:sz w:val="20"/>
                </w:rPr>
                <w:t>Incorporation of Certain Documents by Reference</w:t>
              </w:r>
            </w:hyperlink>
          </w:p>
        </w:tc>
        <w:tc>
          <w:tcPr>
            <w:tcW w:w="29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7</w:t>
            </w:r>
          </w:p>
        </w:tc>
        <w:tc>
          <w:tcPr>
            <w:tcW w:w="61" w:type="dxa"/>
            <w:tcBorders/>
            <w:shd w:fill="auto" w:val="clear"/>
            <w:vAlign w:val="bottom"/>
          </w:tcPr>
          <w:p>
            <w:pPr>
              <w:pStyle w:val="TableContents"/>
              <w:spacing w:before="0" w:after="283"/>
              <w:rPr/>
            </w:pPr>
            <w:r>
              <w:rPr/>
              <w:t> </w:t>
            </w:r>
          </w:p>
        </w:tc>
      </w:tr>
      <w:tr>
        <w:trPr/>
        <w:tc>
          <w:tcPr>
            <w:tcW w:w="9338" w:type="dxa"/>
            <w:tcBorders/>
            <w:shd w:fill="auto" w:val="clear"/>
          </w:tcPr>
          <w:p>
            <w:pPr>
              <w:pStyle w:val="TableContents"/>
              <w:spacing w:before="0" w:after="0"/>
              <w:rPr/>
            </w:pPr>
            <w:hyperlink w:anchor="tx280778_10">
              <w:r>
                <w:rPr>
                  <w:rStyle w:val="InternetLink"/>
                  <w:rFonts w:ascii="Times New Roman" w:hAnsi="Times New Roman"/>
                  <w:sz w:val="20"/>
                </w:rPr>
                <w:t xml:space="preserve">Disclosure of Commission Position on Indemnification For Securities Act Liabilities </w:t>
              </w:r>
            </w:hyperlink>
          </w:p>
        </w:tc>
        <w:tc>
          <w:tcPr>
            <w:tcW w:w="29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7</w:t>
            </w:r>
          </w:p>
        </w:tc>
        <w:tc>
          <w:tcPr>
            <w:tcW w:w="61" w:type="dxa"/>
            <w:tcBorders/>
            <w:shd w:fill="auto" w:val="clear"/>
            <w:vAlign w:val="bottom"/>
          </w:tcPr>
          <w:p>
            <w:pPr>
              <w:pStyle w:val="TableContents"/>
              <w:spacing w:before="0" w:after="283"/>
              <w:rPr/>
            </w:pPr>
            <w:r>
              <w:rPr/>
              <w:t> </w:t>
            </w:r>
          </w:p>
        </w:tc>
      </w:tr>
      <w:tr>
        <w:trPr/>
        <w:tc>
          <w:tcPr>
            <w:tcW w:w="9338" w:type="dxa"/>
            <w:tcBorders/>
            <w:shd w:fill="auto" w:val="clear"/>
          </w:tcPr>
          <w:p>
            <w:pPr>
              <w:pStyle w:val="TableContents"/>
              <w:spacing w:before="0" w:after="0"/>
              <w:rPr/>
            </w:pPr>
            <w:hyperlink w:anchor="tx280778_11">
              <w:r>
                <w:rPr>
                  <w:rStyle w:val="InternetLink"/>
                  <w:rFonts w:ascii="Times New Roman" w:hAnsi="Times New Roman"/>
                  <w:sz w:val="20"/>
                </w:rPr>
                <w:t>Where You can Find Additional Information</w:t>
              </w:r>
            </w:hyperlink>
          </w:p>
        </w:tc>
        <w:tc>
          <w:tcPr>
            <w:tcW w:w="29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8</w:t>
            </w:r>
          </w:p>
        </w:tc>
        <w:tc>
          <w:tcPr>
            <w:tcW w:w="61" w:type="dxa"/>
            <w:tcBorders/>
            <w:shd w:fill="auto" w:val="clear"/>
            <w:vAlign w:val="bottom"/>
          </w:tcPr>
          <w:p>
            <w:pPr>
              <w:pStyle w:val="TableContents"/>
              <w:spacing w:before="0" w:after="283"/>
              <w:rPr/>
            </w:pPr>
            <w:r>
              <w:rPr/>
              <w:t> </w:t>
            </w:r>
          </w:p>
        </w:tc>
      </w:tr>
    </w:tbl>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Except where the context otherwise requires, the terms, we, us, our or the Company, refer to the business of P10, Inc., a Delaware corporation and its subsidiaries. </w:t>
      </w:r>
    </w:p>
    <w:p>
      <w:pPr>
        <w:pStyle w:val="TextBody"/>
        <w:spacing w:before="480" w:after="0"/>
        <w:jc w:val="center"/>
        <w:rPr>
          <w:rFonts w:ascii="Times New Roman" w:hAnsi="Times New Roman"/>
          <w:b/>
          <w:sz w:val="20"/>
        </w:rPr>
      </w:pPr>
      <w:bookmarkStart w:id="3" w:name="tx280778_1"/>
      <w:bookmarkEnd w:id="3"/>
      <w:r>
        <w:rPr>
          <w:rFonts w:ascii="Times New Roman" w:hAnsi="Times New Roman"/>
          <w:b/>
          <w:sz w:val="20"/>
        </w:rPr>
        <w:t xml:space="preserve">CAUTIONARY STATEMENT REGARDING 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prospectus contains forward-looking statements, which reflect our current views with respect to, among other things, future events and financial performance, our operations, strategies and expectations. The words believe, may, will, estimate, continue, anticipate, intend, expect, plan and similar expressions are intended to identify forward-looking statements. Any forward-looking statements contained in this prospectus are based upon our historical performance and on our current plans, estimates and expectations. The inclusion of this or any forward-looking information should not be regarded as a representation by us or any other person that the future plans, estimates or expectations contemplated by us will be achieved. Such forward-looking statements are subject to various risks, uncertainties and assumptions, including but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Accordingly, there are or will be important factors that could cause actual outcomes or results to differ materially from those indicated in these statements. We believe these factors include, but are not limited to, those described under Risk Factors. These factors should not be construed as exhaustive and should be read in conjunction with the other cautionary statements that are included in this prospectus.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We undertake no obligation to publicly update or review any forward-looking statement, whether as a result of new information, future developments or otherwise.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4" w:name="tx280778_2"/>
      <w:bookmarkEnd w:id="4"/>
      <w:r>
        <w:rPr>
          <w:rFonts w:ascii="Times New Roman" w:hAnsi="Times New Roman"/>
          <w:b/>
          <w:sz w:val="20"/>
          <w:bdr w:val="single" w:sz="8" w:space="1" w:color="000000"/>
        </w:rPr>
        <w:t xml:space="preserve">PROSPECTUS SUMMARY </w:t>
      </w:r>
    </w:p>
    <w:p>
      <w:pPr>
        <w:pStyle w:val="TextBody"/>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The Securities and Exchange Commission (the </w:t>
      </w:r>
      <w:r>
        <w:rPr>
          <w:rFonts w:ascii="Times New Roman" w:hAnsi="Times New Roman"/>
          <w:b/>
          <w:i/>
          <w:sz w:val="20"/>
          <w:bdr w:val="single" w:sz="8" w:space="1" w:color="000000"/>
        </w:rPr>
        <w:t>Commission</w:t>
      </w:r>
      <w:r>
        <w:rPr>
          <w:rFonts w:ascii="Times New Roman" w:hAnsi="Times New Roman"/>
          <w:i/>
          <w:sz w:val="20"/>
          <w:bdr w:val="single" w:sz="8" w:space="1" w:color="000000"/>
        </w:rPr>
        <w:t xml:space="preserve">) allows us to incorporate by reference certain information that we file with the Commission, which means that we can disclose important information to you by referring you to those documents. The information incorporated by reference is considered to be part of this prospectus, and information that we file later with the Commission will update automatically, supplement and/or supersede the information disclosed in this prospectus. Any statement contained in a document incorporated or deemed to be incorporated by reference in this prospectus shall be deemed to be modified or superseded for purposes of this prospectus to the extent that a statement contained in this prospectus or in any other document that also is or is deemed to be incorporated by reference in this prospectus modifies or supersedes such statement. Any such statement so modified or superseded shall not be deemed, except as so modified or superseded, to constitute a part of this prospectus. You should read the following summary together with the more detailed information regarding our company, our Common Stock and our financial statements and notes to those statements appearing elsewhere in this prospectus or incorporated herein by reference. </w:t>
      </w:r>
    </w:p>
    <w:p>
      <w:pPr>
        <w:pStyle w:val="TextBody"/>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We are a leading multi-asset class private market solutions provider in the alternative asset management industry. Our mission is to provide our investors differentiated access to a broad set of investment solutions that address their diverse investment needs within private markets. We structure, manage and monitor portfolios of private market investments, which include specialized funds and customized separate accounts within primary investment funds, secondary investments, direct investments and co-investments, collectively (</w:t>
      </w:r>
      <w:r>
        <w:rPr>
          <w:rFonts w:ascii="Times New Roman" w:hAnsi="Times New Roman"/>
          <w:b/>
          <w:sz w:val="20"/>
          <w:bdr w:val="single" w:sz="8" w:space="1" w:color="000000"/>
        </w:rPr>
        <w:t>specialized investment vehicles</w:t>
      </w:r>
      <w:r>
        <w:rPr>
          <w:rFonts w:ascii="Times New Roman" w:hAnsi="Times New Roman"/>
          <w:sz w:val="20"/>
          <w:bdr w:val="single" w:sz="8" w:space="1" w:color="000000"/>
        </w:rPr>
        <w:t>) across highly attractive asset classes and geographies in the middle and lower middle markets that generate superior risk-adjusted returns. Our existing portfolio of private solutions include </w:t>
      </w:r>
      <w:r>
        <w:rPr>
          <w:rFonts w:ascii="Times New Roman" w:hAnsi="Times New Roman"/>
          <w:i/>
          <w:sz w:val="20"/>
          <w:bdr w:val="single" w:sz="8" w:space="1" w:color="000000"/>
        </w:rPr>
        <w:t>Private Equity</w:t>
      </w:r>
      <w:r>
        <w:rPr>
          <w:rFonts w:ascii="Times New Roman" w:hAnsi="Times New Roman"/>
          <w:sz w:val="20"/>
          <w:bdr w:val="single" w:sz="8" w:space="1" w:color="000000"/>
        </w:rPr>
        <w:t>, </w:t>
      </w:r>
      <w:r>
        <w:rPr>
          <w:rFonts w:ascii="Times New Roman" w:hAnsi="Times New Roman"/>
          <w:i/>
          <w:sz w:val="20"/>
          <w:bdr w:val="single" w:sz="8" w:space="1" w:color="000000"/>
        </w:rPr>
        <w:t>Venture Capital</w:t>
      </w:r>
      <w:r>
        <w:rPr>
          <w:rFonts w:ascii="Times New Roman" w:hAnsi="Times New Roman"/>
          <w:sz w:val="20"/>
          <w:bdr w:val="single" w:sz="8" w:space="1" w:color="000000"/>
        </w:rPr>
        <w:t>, </w:t>
      </w:r>
      <w:r>
        <w:rPr>
          <w:rFonts w:ascii="Times New Roman" w:hAnsi="Times New Roman"/>
          <w:i/>
          <w:sz w:val="20"/>
          <w:bdr w:val="single" w:sz="8" w:space="1" w:color="000000"/>
        </w:rPr>
        <w:t>Impact Investing and Private Credit</w:t>
      </w:r>
      <w:r>
        <w:rPr>
          <w:rFonts w:ascii="Times New Roman" w:hAnsi="Times New Roman"/>
          <w:sz w:val="20"/>
          <w:bdr w:val="single" w:sz="8" w:space="1" w:color="000000"/>
        </w:rPr>
        <w:t xml:space="preserve">. Our deep industry relationships, differentiated investment access and structure, proprietary data analytics, and our portfolio monitoring and reporting capabilities provide our investors the ability to navigate the increasingly complex and difficult to access private markets investments.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Our revenue is composed almost entirely of recurring management and advisory fees, with the vast majority of fees earned on committed capital that is typically subject to ten to fifteen year lock up agreements. We have an attractive business model that is underpinned by highly recurring, diversified management and advisory fee revenues, and strong free cash flow. The nature of our solutions and the integral role that our solutions play in our investors investment decisions have translated into high revenue visibility and investor retention. As of December 31, 2021, we had fee paying assets under management (</w:t>
      </w:r>
      <w:r>
        <w:rPr>
          <w:rFonts w:ascii="Times New Roman" w:hAnsi="Times New Roman"/>
          <w:b/>
          <w:sz w:val="20"/>
          <w:bdr w:val="single" w:sz="8" w:space="1" w:color="000000"/>
        </w:rPr>
        <w:t>FPAUM</w:t>
      </w:r>
      <w:r>
        <w:rPr>
          <w:rFonts w:ascii="Times New Roman" w:hAnsi="Times New Roman"/>
          <w:sz w:val="20"/>
          <w:bdr w:val="single" w:sz="8" w:space="1" w:color="000000"/>
        </w:rPr>
        <w:t xml:space="preserve">) of $17.3 billion.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We are differentiated by the scale, depth, diversity and investment performance of our solutions, which are bolstered by the investment expertise of our investment team, our long-standing access to leading fund managers, our robust and constantly expanding data capabilities and our disciplined investment process. We market our solutions under well-established brands within the specialized markets in which we operate. These include RCP Advisors 2, LLC and RCP Advisors 3, LLC (collectively, </w:t>
      </w:r>
      <w:r>
        <w:rPr>
          <w:rFonts w:ascii="Times New Roman" w:hAnsi="Times New Roman"/>
          <w:b/>
          <w:sz w:val="20"/>
          <w:bdr w:val="single" w:sz="8" w:space="1" w:color="000000"/>
        </w:rPr>
        <w:t>RCP Advisors</w:t>
      </w:r>
      <w:r>
        <w:rPr>
          <w:rFonts w:ascii="Times New Roman" w:hAnsi="Times New Roman"/>
          <w:sz w:val="20"/>
          <w:bdr w:val="single" w:sz="8" w:space="1" w:color="000000"/>
        </w:rPr>
        <w:t>) and Bonaccord Capital Partners (</w:t>
      </w:r>
      <w:r>
        <w:rPr>
          <w:rFonts w:ascii="Times New Roman" w:hAnsi="Times New Roman"/>
          <w:b/>
          <w:sz w:val="20"/>
          <w:bdr w:val="single" w:sz="8" w:space="1" w:color="000000"/>
        </w:rPr>
        <w:t>Bonaccord</w:t>
      </w:r>
      <w:r>
        <w:rPr>
          <w:rFonts w:ascii="Times New Roman" w:hAnsi="Times New Roman"/>
          <w:sz w:val="20"/>
          <w:bdr w:val="single" w:sz="8" w:space="1" w:color="000000"/>
        </w:rPr>
        <w:t>), LLC and Hark Capital Advisors, LLC (</w:t>
      </w:r>
      <w:r>
        <w:rPr>
          <w:rFonts w:ascii="Times New Roman" w:hAnsi="Times New Roman"/>
          <w:b/>
          <w:sz w:val="20"/>
          <w:bdr w:val="single" w:sz="8" w:space="1" w:color="000000"/>
        </w:rPr>
        <w:t>Hark</w:t>
      </w:r>
      <w:r>
        <w:rPr>
          <w:rFonts w:ascii="Times New Roman" w:hAnsi="Times New Roman"/>
          <w:sz w:val="20"/>
          <w:bdr w:val="single" w:sz="8" w:space="1" w:color="000000"/>
        </w:rPr>
        <w:t>), our Private Equity solutions; TrueBridge Capital Partners LLC (</w:t>
      </w:r>
      <w:r>
        <w:rPr>
          <w:rFonts w:ascii="Times New Roman" w:hAnsi="Times New Roman"/>
          <w:b/>
          <w:sz w:val="20"/>
          <w:bdr w:val="single" w:sz="8" w:space="1" w:color="000000"/>
        </w:rPr>
        <w:t>TrueBridge</w:t>
      </w:r>
      <w:r>
        <w:rPr>
          <w:rFonts w:ascii="Times New Roman" w:hAnsi="Times New Roman"/>
          <w:sz w:val="20"/>
          <w:bdr w:val="single" w:sz="8" w:space="1" w:color="000000"/>
        </w:rPr>
        <w:t>), our Venture Capital solution; Enhanced Capital Group, LLC (</w:t>
      </w:r>
      <w:r>
        <w:rPr>
          <w:rFonts w:ascii="Times New Roman" w:hAnsi="Times New Roman"/>
          <w:b/>
          <w:sz w:val="20"/>
          <w:bdr w:val="single" w:sz="8" w:space="1" w:color="000000"/>
        </w:rPr>
        <w:t>Enhanced</w:t>
      </w:r>
      <w:r>
        <w:rPr>
          <w:rFonts w:ascii="Times New Roman" w:hAnsi="Times New Roman"/>
          <w:sz w:val="20"/>
          <w:bdr w:val="single" w:sz="8" w:space="1" w:color="000000"/>
        </w:rPr>
        <w:t>), our Impact Investing solution; and Five Points Capital, Inc. (</w:t>
      </w:r>
      <w:r>
        <w:rPr>
          <w:rFonts w:ascii="Times New Roman" w:hAnsi="Times New Roman"/>
          <w:b/>
          <w:sz w:val="20"/>
          <w:bdr w:val="single" w:sz="8" w:space="1" w:color="000000"/>
        </w:rPr>
        <w:t>Five Points</w:t>
      </w:r>
      <w:r>
        <w:rPr>
          <w:rFonts w:ascii="Times New Roman" w:hAnsi="Times New Roman"/>
          <w:sz w:val="20"/>
          <w:bdr w:val="single" w:sz="8" w:space="1" w:color="000000"/>
        </w:rPr>
        <w:t xml:space="preserve">), our Private Credit solution (Five Points also offers certain private equity solutions). We believe adding new asset class solutions will foster deeper manager relationships, enabling managers and portfolio companies alike to benefit from our offering and expect to expand within other asset classes and geographies through additional acquisitions and future planned organic growth by providing additional specialized investment vehicles within our existing investment asset class solutions. As of the date of this prospectus, we are pursuing additional acquisitions and are in discussions with certain target companies, however the Company does not currently have any agreements or commitments with respect to any acquisitions.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success and growth have been driven by our long history of strong performance and our position in the private markets ecosystem. We believe our growing scale in the middle and lower-middle markets provides us a competitive advantage with investors and fund managers. In addition, our senior investment professionals have developed strong and long-tenured relationships with leading middle and lower middle market private equity and venture capital firms, which we believe provides us with differentiated access to the relationship-driven middle and lower-middle market private equity and venture capital sectors. As we expand our offerings, our investors entrust us with additional capital, which strengthens our relationships with our fund managers, drives additional investment opportunities, sources more data, enables portfolio optimization and enhances returns, and in turn attracts new investors. We believe this powerful feedback process will continue to strengthen our position within the private markets ecosystem. In addition, our multi-asset class solutions are highly synergistic, and coupled with our vast network of general partners and portfolio companies, drive cross-solution sourcing opportunities.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global investor base includes some of the worlds largest institutional investors, including pension funds, endowments, foundations, corporate pensions and financial institutions. In addition, we have a strong footprint within some of the most prominent family offices and high net worth individuals. We have a significant presence within the middle and lower middle-market private markets industry in North America, where the majority of our capital is currently being deployed as we leverage our differentiated solutions to serve our global investors.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As of December 31, 2021, we had 180 employees, including 93 investment professionals across 10 offices located in 9 states. Over 100 of our employees have an equity interest in P10, collectively owning approximately 59% of the Company on a fully-diluted basis as of December 31, 2021.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managed $17.3 billion in FPAUM from which we earn management and advisory fees as of December 31, 2021. In addition, our FPAUM has grown at a compound annual growth rate of 21.8% from December 31, 2018 to December 31, 2021, determined on a pro forma basis as if the acquisitions of Five Points, TrueBridge, Enhanced, Bonaccord and Hark were completed as of January 1, 2018. </w:t>
      </w:r>
    </w:p>
    <w:p>
      <w:pPr>
        <w:pStyle w:val="TextBody"/>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P10, Inc. was incorporated in Delaware on January 20, 2021 as a wholly owned subsidiary of P10 Holdings, Inc. P10, Inc. became the sole stockholder of P10 Holdings, Inc. pursuant to a corporate reorganization. Our principal executive office is located at 4514 Cole Avenue, Suite 1600, Dallas, Texas 75205, and our phone number is (214) 865-7998. Our website is p10alts.com. Information contained on or accessible through our website is not incorporated by reference into this prospectus and should not be considered a part of this prospectus. </w:t>
      </w:r>
    </w:p>
    <w:p>
      <w:pPr>
        <w:pStyle w:val="TextBody"/>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spacing w:before="0" w:after="0"/>
        <w:jc w:val="left"/>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3259"/>
        <w:gridCol w:w="120"/>
        <w:gridCol w:w="6826"/>
      </w:tblGrid>
      <w:tr>
        <w:trPr/>
        <w:tc>
          <w:tcPr>
            <w:tcW w:w="32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826" w:type="dxa"/>
            <w:tcBorders/>
            <w:shd w:fill="auto" w:val="clear"/>
            <w:vAlign w:val="center"/>
          </w:tcPr>
          <w:p>
            <w:pPr>
              <w:pStyle w:val="TableContents"/>
              <w:spacing w:before="0" w:after="283"/>
              <w:rPr>
                <w:sz w:val="4"/>
                <w:szCs w:val="4"/>
              </w:rPr>
            </w:pPr>
            <w:r>
              <w:rPr>
                <w:sz w:val="4"/>
                <w:szCs w:val="4"/>
              </w:rPr>
            </w:r>
          </w:p>
        </w:tc>
      </w:tr>
      <w:tr>
        <w:trPr/>
        <w:tc>
          <w:tcPr>
            <w:tcW w:w="3259" w:type="dxa"/>
            <w:tcBorders/>
            <w:shd w:fill="auto" w:val="clear"/>
          </w:tcPr>
          <w:p>
            <w:pPr>
              <w:pStyle w:val="TableContents"/>
              <w:spacing w:before="0" w:after="283"/>
              <w:rPr>
                <w:b/>
              </w:rPr>
            </w:pPr>
            <w:r>
              <w:rPr>
                <w:b/>
              </w:rPr>
              <w:t>Outstanding Common Stock:        </w:t>
            </w:r>
          </w:p>
        </w:tc>
        <w:tc>
          <w:tcPr>
            <w:tcW w:w="120" w:type="dxa"/>
            <w:tcBorders/>
            <w:shd w:fill="auto" w:val="clear"/>
            <w:vAlign w:val="bottom"/>
          </w:tcPr>
          <w:p>
            <w:pPr>
              <w:pStyle w:val="TableContents"/>
              <w:spacing w:before="0" w:after="283"/>
              <w:rPr/>
            </w:pPr>
            <w:r>
              <w:rPr/>
              <w:t>  </w:t>
            </w:r>
          </w:p>
        </w:tc>
        <w:tc>
          <w:tcPr>
            <w:tcW w:w="6826" w:type="dxa"/>
            <w:tcBorders/>
            <w:shd w:fill="auto" w:val="clear"/>
          </w:tcPr>
          <w:p>
            <w:pPr>
              <w:pStyle w:val="TableContents"/>
              <w:spacing w:before="0" w:after="283"/>
              <w:rPr/>
            </w:pPr>
            <w:r>
              <w:rPr/>
              <w:t>35,742,547 shares of our Class A Common Stock and 81,450,200 shares of our Class B Common Stock are outstanding as of May 6, 2022.</w:t>
            </w:r>
          </w:p>
        </w:tc>
      </w:tr>
      <w:tr>
        <w:trPr>
          <w:trHeight w:val="120" w:hRule="atLeast"/>
        </w:trPr>
        <w:tc>
          <w:tcPr>
            <w:tcW w:w="3259" w:type="dxa"/>
            <w:tcBorders/>
            <w:shd w:fill="auto" w:val="clear"/>
            <w:vAlign w:val="center"/>
          </w:tcPr>
          <w:p>
            <w:pPr>
              <w:pStyle w:val="TableContents"/>
              <w:spacing w:before="0" w:after="283"/>
              <w:rPr>
                <w:sz w:val="4"/>
                <w:szCs w:val="4"/>
              </w:rPr>
            </w:pPr>
            <w:r>
              <w:rPr>
                <w:sz w:val="4"/>
                <w:szCs w:val="4"/>
              </w:rPr>
            </w:r>
          </w:p>
        </w:tc>
        <w:tc>
          <w:tcPr>
            <w:tcW w:w="6946" w:type="dxa"/>
            <w:gridSpan w:val="2"/>
            <w:tcBorders/>
            <w:shd w:fill="auto" w:val="clear"/>
            <w:vAlign w:val="center"/>
          </w:tcPr>
          <w:p>
            <w:pPr>
              <w:pStyle w:val="TableContents"/>
              <w:spacing w:before="0" w:after="283"/>
              <w:rPr>
                <w:sz w:val="4"/>
                <w:szCs w:val="4"/>
              </w:rPr>
            </w:pPr>
            <w:r>
              <w:rPr>
                <w:sz w:val="4"/>
                <w:szCs w:val="4"/>
              </w:rPr>
            </w:r>
          </w:p>
        </w:tc>
      </w:tr>
      <w:tr>
        <w:trPr/>
        <w:tc>
          <w:tcPr>
            <w:tcW w:w="3259" w:type="dxa"/>
            <w:tcBorders/>
            <w:shd w:fill="auto" w:val="clear"/>
          </w:tcPr>
          <w:p>
            <w:pPr>
              <w:pStyle w:val="TableContents"/>
              <w:spacing w:before="0" w:after="283"/>
              <w:rPr>
                <w:b/>
              </w:rPr>
            </w:pPr>
            <w:r>
              <w:rPr>
                <w:b/>
              </w:rPr>
              <w:t>Common Stock Offered:</w:t>
            </w:r>
          </w:p>
        </w:tc>
        <w:tc>
          <w:tcPr>
            <w:tcW w:w="120" w:type="dxa"/>
            <w:tcBorders/>
            <w:shd w:fill="auto" w:val="clear"/>
            <w:vAlign w:val="bottom"/>
          </w:tcPr>
          <w:p>
            <w:pPr>
              <w:pStyle w:val="TableContents"/>
              <w:spacing w:before="0" w:after="283"/>
              <w:rPr/>
            </w:pPr>
            <w:r>
              <w:rPr/>
              <w:t>  </w:t>
            </w:r>
          </w:p>
        </w:tc>
        <w:tc>
          <w:tcPr>
            <w:tcW w:w="6826" w:type="dxa"/>
            <w:tcBorders/>
            <w:shd w:fill="auto" w:val="clear"/>
          </w:tcPr>
          <w:p>
            <w:pPr>
              <w:pStyle w:val="TableContents"/>
              <w:spacing w:before="0" w:after="283"/>
              <w:rPr/>
            </w:pPr>
            <w:r>
              <w:rPr/>
              <w:t>Up to 603,822 shares of Class A Common Stock for sale by the selling securityholders (which include our executive officers and directors) for their own account pursuant to the Plans.</w:t>
            </w:r>
          </w:p>
        </w:tc>
      </w:tr>
      <w:tr>
        <w:trPr>
          <w:trHeight w:val="120" w:hRule="atLeast"/>
        </w:trPr>
        <w:tc>
          <w:tcPr>
            <w:tcW w:w="3259" w:type="dxa"/>
            <w:tcBorders/>
            <w:shd w:fill="auto" w:val="clear"/>
            <w:vAlign w:val="center"/>
          </w:tcPr>
          <w:p>
            <w:pPr>
              <w:pStyle w:val="TableContents"/>
              <w:spacing w:before="0" w:after="283"/>
              <w:rPr>
                <w:sz w:val="4"/>
                <w:szCs w:val="4"/>
              </w:rPr>
            </w:pPr>
            <w:r>
              <w:rPr>
                <w:sz w:val="4"/>
                <w:szCs w:val="4"/>
              </w:rPr>
            </w:r>
          </w:p>
        </w:tc>
        <w:tc>
          <w:tcPr>
            <w:tcW w:w="6946" w:type="dxa"/>
            <w:gridSpan w:val="2"/>
            <w:tcBorders/>
            <w:shd w:fill="auto" w:val="clear"/>
            <w:vAlign w:val="center"/>
          </w:tcPr>
          <w:p>
            <w:pPr>
              <w:pStyle w:val="TableContents"/>
              <w:spacing w:before="0" w:after="283"/>
              <w:rPr>
                <w:sz w:val="4"/>
                <w:szCs w:val="4"/>
              </w:rPr>
            </w:pPr>
            <w:r>
              <w:rPr>
                <w:sz w:val="4"/>
                <w:szCs w:val="4"/>
              </w:rPr>
            </w:r>
          </w:p>
        </w:tc>
      </w:tr>
      <w:tr>
        <w:trPr/>
        <w:tc>
          <w:tcPr>
            <w:tcW w:w="3259" w:type="dxa"/>
            <w:tcBorders/>
            <w:shd w:fill="auto" w:val="clear"/>
          </w:tcPr>
          <w:p>
            <w:pPr>
              <w:pStyle w:val="TableContents"/>
              <w:spacing w:before="0" w:after="283"/>
              <w:rPr>
                <w:b/>
              </w:rPr>
            </w:pPr>
            <w:r>
              <w:rPr>
                <w:b/>
              </w:rPr>
              <w:t>Selling Securityholders:</w:t>
            </w:r>
          </w:p>
        </w:tc>
        <w:tc>
          <w:tcPr>
            <w:tcW w:w="120" w:type="dxa"/>
            <w:tcBorders/>
            <w:shd w:fill="auto" w:val="clear"/>
            <w:vAlign w:val="bottom"/>
          </w:tcPr>
          <w:p>
            <w:pPr>
              <w:pStyle w:val="TableContents"/>
              <w:spacing w:before="0" w:after="283"/>
              <w:rPr/>
            </w:pPr>
            <w:r>
              <w:rPr/>
              <w:t>  </w:t>
            </w:r>
          </w:p>
        </w:tc>
        <w:tc>
          <w:tcPr>
            <w:tcW w:w="6826" w:type="dxa"/>
            <w:tcBorders/>
            <w:shd w:fill="auto" w:val="clear"/>
          </w:tcPr>
          <w:p>
            <w:pPr>
              <w:pStyle w:val="TableContents"/>
              <w:spacing w:before="0" w:after="283"/>
              <w:rPr/>
            </w:pPr>
            <w:r>
              <w:rPr/>
              <w:t>The selling securityholders are set forth in the section entitled Selling Securityholders of this reoffer prospectus on page 4.</w:t>
            </w:r>
          </w:p>
        </w:tc>
      </w:tr>
      <w:tr>
        <w:trPr>
          <w:trHeight w:val="120" w:hRule="atLeast"/>
        </w:trPr>
        <w:tc>
          <w:tcPr>
            <w:tcW w:w="3259" w:type="dxa"/>
            <w:tcBorders/>
            <w:shd w:fill="auto" w:val="clear"/>
            <w:vAlign w:val="center"/>
          </w:tcPr>
          <w:p>
            <w:pPr>
              <w:pStyle w:val="TableContents"/>
              <w:spacing w:before="0" w:after="283"/>
              <w:rPr>
                <w:sz w:val="4"/>
                <w:szCs w:val="4"/>
              </w:rPr>
            </w:pPr>
            <w:r>
              <w:rPr>
                <w:sz w:val="4"/>
                <w:szCs w:val="4"/>
              </w:rPr>
            </w:r>
          </w:p>
        </w:tc>
        <w:tc>
          <w:tcPr>
            <w:tcW w:w="6946" w:type="dxa"/>
            <w:gridSpan w:val="2"/>
            <w:tcBorders/>
            <w:shd w:fill="auto" w:val="clear"/>
            <w:vAlign w:val="center"/>
          </w:tcPr>
          <w:p>
            <w:pPr>
              <w:pStyle w:val="TableContents"/>
              <w:spacing w:before="0" w:after="283"/>
              <w:rPr>
                <w:sz w:val="4"/>
                <w:szCs w:val="4"/>
              </w:rPr>
            </w:pPr>
            <w:r>
              <w:rPr>
                <w:sz w:val="4"/>
                <w:szCs w:val="4"/>
              </w:rPr>
            </w:r>
          </w:p>
        </w:tc>
      </w:tr>
      <w:tr>
        <w:trPr/>
        <w:tc>
          <w:tcPr>
            <w:tcW w:w="3259" w:type="dxa"/>
            <w:tcBorders/>
            <w:shd w:fill="auto" w:val="clear"/>
          </w:tcPr>
          <w:p>
            <w:pPr>
              <w:pStyle w:val="TableContents"/>
              <w:spacing w:before="0" w:after="283"/>
              <w:rPr>
                <w:b/>
              </w:rPr>
            </w:pPr>
            <w:r>
              <w:rPr>
                <w:b/>
              </w:rPr>
              <w:t>Use of proceeds:</w:t>
            </w:r>
          </w:p>
        </w:tc>
        <w:tc>
          <w:tcPr>
            <w:tcW w:w="120" w:type="dxa"/>
            <w:tcBorders/>
            <w:shd w:fill="auto" w:val="clear"/>
            <w:vAlign w:val="bottom"/>
          </w:tcPr>
          <w:p>
            <w:pPr>
              <w:pStyle w:val="TableContents"/>
              <w:spacing w:before="0" w:after="283"/>
              <w:rPr/>
            </w:pPr>
            <w:r>
              <w:rPr/>
              <w:t>  </w:t>
            </w:r>
          </w:p>
        </w:tc>
        <w:tc>
          <w:tcPr>
            <w:tcW w:w="6826" w:type="dxa"/>
            <w:tcBorders/>
            <w:shd w:fill="auto" w:val="clear"/>
          </w:tcPr>
          <w:p>
            <w:pPr>
              <w:pStyle w:val="TableContents"/>
              <w:spacing w:before="0" w:after="283"/>
              <w:rPr/>
            </w:pPr>
            <w:r>
              <w:rPr/>
              <w:t>We will not receive any proceeds from the sale of our Common Stock by the selling securityholders. We would, however, receive proceeds upon the exercise of the stock options by those who receive options under the Plans and exercise such options for cash. Any cash proceeds will be used by us for general corporate purposes.</w:t>
            </w:r>
          </w:p>
        </w:tc>
      </w:tr>
      <w:tr>
        <w:trPr>
          <w:trHeight w:val="120" w:hRule="atLeast"/>
        </w:trPr>
        <w:tc>
          <w:tcPr>
            <w:tcW w:w="3259" w:type="dxa"/>
            <w:tcBorders/>
            <w:shd w:fill="auto" w:val="clear"/>
            <w:vAlign w:val="center"/>
          </w:tcPr>
          <w:p>
            <w:pPr>
              <w:pStyle w:val="TableContents"/>
              <w:spacing w:before="0" w:after="283"/>
              <w:rPr>
                <w:sz w:val="4"/>
                <w:szCs w:val="4"/>
              </w:rPr>
            </w:pPr>
            <w:r>
              <w:rPr>
                <w:sz w:val="4"/>
                <w:szCs w:val="4"/>
              </w:rPr>
            </w:r>
          </w:p>
        </w:tc>
        <w:tc>
          <w:tcPr>
            <w:tcW w:w="6946" w:type="dxa"/>
            <w:gridSpan w:val="2"/>
            <w:tcBorders/>
            <w:shd w:fill="auto" w:val="clear"/>
            <w:vAlign w:val="center"/>
          </w:tcPr>
          <w:p>
            <w:pPr>
              <w:pStyle w:val="TableContents"/>
              <w:spacing w:before="0" w:after="283"/>
              <w:rPr>
                <w:sz w:val="4"/>
                <w:szCs w:val="4"/>
              </w:rPr>
            </w:pPr>
            <w:r>
              <w:rPr>
                <w:sz w:val="4"/>
                <w:szCs w:val="4"/>
              </w:rPr>
            </w:r>
          </w:p>
        </w:tc>
      </w:tr>
      <w:tr>
        <w:trPr/>
        <w:tc>
          <w:tcPr>
            <w:tcW w:w="3259" w:type="dxa"/>
            <w:tcBorders/>
            <w:shd w:fill="auto" w:val="clear"/>
          </w:tcPr>
          <w:p>
            <w:pPr>
              <w:pStyle w:val="TableContents"/>
              <w:spacing w:before="0" w:after="283"/>
              <w:rPr>
                <w:b/>
              </w:rPr>
            </w:pPr>
            <w:r>
              <w:rPr>
                <w:b/>
              </w:rPr>
              <w:t>Risk Factors:</w:t>
            </w:r>
          </w:p>
        </w:tc>
        <w:tc>
          <w:tcPr>
            <w:tcW w:w="120" w:type="dxa"/>
            <w:tcBorders/>
            <w:shd w:fill="auto" w:val="clear"/>
            <w:vAlign w:val="bottom"/>
          </w:tcPr>
          <w:p>
            <w:pPr>
              <w:pStyle w:val="TableContents"/>
              <w:spacing w:before="0" w:after="283"/>
              <w:rPr/>
            </w:pPr>
            <w:r>
              <w:rPr/>
              <w:t>  </w:t>
            </w:r>
          </w:p>
        </w:tc>
        <w:tc>
          <w:tcPr>
            <w:tcW w:w="6826" w:type="dxa"/>
            <w:tcBorders/>
            <w:shd w:fill="auto" w:val="clear"/>
          </w:tcPr>
          <w:p>
            <w:pPr>
              <w:pStyle w:val="TableContents"/>
              <w:spacing w:before="0" w:after="283"/>
              <w:rPr/>
            </w:pPr>
            <w:r>
              <w:rPr/>
              <w:t>The securities offered hereby involve a high degree of risk. See Risk Factors.</w:t>
            </w:r>
          </w:p>
        </w:tc>
      </w:tr>
      <w:tr>
        <w:trPr>
          <w:trHeight w:val="120" w:hRule="atLeast"/>
        </w:trPr>
        <w:tc>
          <w:tcPr>
            <w:tcW w:w="3259" w:type="dxa"/>
            <w:tcBorders/>
            <w:shd w:fill="auto" w:val="clear"/>
            <w:vAlign w:val="center"/>
          </w:tcPr>
          <w:p>
            <w:pPr>
              <w:pStyle w:val="TableContents"/>
              <w:spacing w:before="0" w:after="283"/>
              <w:rPr>
                <w:sz w:val="4"/>
                <w:szCs w:val="4"/>
              </w:rPr>
            </w:pPr>
            <w:r>
              <w:rPr>
                <w:sz w:val="4"/>
                <w:szCs w:val="4"/>
              </w:rPr>
            </w:r>
          </w:p>
        </w:tc>
        <w:tc>
          <w:tcPr>
            <w:tcW w:w="6946" w:type="dxa"/>
            <w:gridSpan w:val="2"/>
            <w:tcBorders/>
            <w:shd w:fill="auto" w:val="clear"/>
            <w:vAlign w:val="center"/>
          </w:tcPr>
          <w:p>
            <w:pPr>
              <w:pStyle w:val="TableContents"/>
              <w:spacing w:before="0" w:after="283"/>
              <w:rPr>
                <w:sz w:val="4"/>
                <w:szCs w:val="4"/>
              </w:rPr>
            </w:pPr>
            <w:r>
              <w:rPr>
                <w:sz w:val="4"/>
                <w:szCs w:val="4"/>
              </w:rPr>
            </w:r>
          </w:p>
        </w:tc>
      </w:tr>
      <w:tr>
        <w:trPr/>
        <w:tc>
          <w:tcPr>
            <w:tcW w:w="3259" w:type="dxa"/>
            <w:tcBorders/>
            <w:shd w:fill="auto" w:val="clear"/>
          </w:tcPr>
          <w:p>
            <w:pPr>
              <w:pStyle w:val="TableContents"/>
              <w:spacing w:before="0" w:after="283"/>
              <w:rPr>
                <w:b/>
              </w:rPr>
            </w:pPr>
            <w:r>
              <w:rPr>
                <w:b/>
              </w:rPr>
              <w:t>NYSE trading symbol:</w:t>
            </w:r>
          </w:p>
        </w:tc>
        <w:tc>
          <w:tcPr>
            <w:tcW w:w="120" w:type="dxa"/>
            <w:tcBorders/>
            <w:shd w:fill="auto" w:val="clear"/>
            <w:vAlign w:val="bottom"/>
          </w:tcPr>
          <w:p>
            <w:pPr>
              <w:pStyle w:val="TableContents"/>
              <w:spacing w:before="0" w:after="283"/>
              <w:rPr/>
            </w:pPr>
            <w:r>
              <w:rPr/>
              <w:t>  </w:t>
            </w:r>
          </w:p>
        </w:tc>
        <w:tc>
          <w:tcPr>
            <w:tcW w:w="6826" w:type="dxa"/>
            <w:tcBorders/>
            <w:shd w:fill="auto" w:val="clear"/>
          </w:tcPr>
          <w:p>
            <w:pPr>
              <w:pStyle w:val="TableContents"/>
              <w:spacing w:before="0" w:after="283"/>
              <w:rPr/>
            </w:pPr>
            <w:r>
              <w:rPr/>
              <w:t>PX</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tx280778_3"/>
      <w:bookmarkEnd w:id="5"/>
      <w:r>
        <w:rPr>
          <w:rFonts w:ascii="Times New Roman" w:hAnsi="Times New Roman"/>
          <w:b/>
          <w:sz w:val="20"/>
        </w:rPr>
        <w:t xml:space="preserve">RISK FACTORS </w:t>
      </w:r>
    </w:p>
    <w:p>
      <w:pPr>
        <w:pStyle w:val="TextBody"/>
        <w:spacing w:before="240" w:after="0"/>
        <w:jc w:val="left"/>
        <w:rPr>
          <w:rFonts w:ascii="Times New Roman" w:hAnsi="Times New Roman"/>
          <w:sz w:val="20"/>
        </w:rPr>
      </w:pPr>
      <w:r>
        <w:rPr>
          <w:rFonts w:ascii="Times New Roman" w:hAnsi="Times New Roman"/>
          <w:sz w:val="20"/>
        </w:rPr>
        <w:t xml:space="preserve">Investing in shares of our Common Stock involves a high degree of risk. You should carefully consider the risks we have described under Risk Factors in our annual report on Form 10-K for the year ended December 31, 2021, filed with the Commission on March 21, 2022, together with all the other information appearing in or incorporated by reference into this prospectus, before deciding to invest in our Common Stock. If any of the events or developments we have described occur, our business, financial condition, or results of operations could be materially or adversely affected. As a result, the market price of our Common Stock could decline, and investors could lose all or part of their investment. The risks and uncertainties we have described are not the only risks and uncertainties that we face. Additional risks and uncertainties not presently known to us or that we currently deem immaterial may also impair our business operations. The risks we have described also include forward-looking statements, and our actual results may differ substantially from those discussed in these forward-looking statements. See Cautionary Note Regarding Forward-Looking Statements. </w:t>
      </w:r>
    </w:p>
    <w:p>
      <w:pPr>
        <w:pStyle w:val="TextBody"/>
        <w:spacing w:before="480" w:after="0"/>
        <w:jc w:val="center"/>
        <w:rPr>
          <w:rFonts w:ascii="Times New Roman" w:hAnsi="Times New Roman"/>
          <w:b/>
          <w:sz w:val="20"/>
        </w:rPr>
      </w:pPr>
      <w:bookmarkStart w:id="6" w:name="tx280778_4"/>
      <w:bookmarkEnd w:id="6"/>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The shares which may be sold under this reoffer prospectus will be sold for the respective accounts of each of the Selling Securityholders listed herein (which includes our executive officers and directors). Accordingly, we will not realize any proceeds from the sale of the shares of our Common Stock. We will receive proceeds from the exercise of the options; however, no assurance can be given as to when or if any or all of the options will be exercised. If any options are exercised, the proceeds derived therefrom will be used for working capital and general corporate purposes. All expenses of the registration of the shares will be paid by us. See Selling Securityholders and Plan of Distribution.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tx280778_5"/>
      <w:bookmarkEnd w:id="7"/>
      <w:r>
        <w:rPr>
          <w:rFonts w:ascii="Times New Roman" w:hAnsi="Times New Roman"/>
          <w:b/>
          <w:sz w:val="20"/>
        </w:rPr>
        <w:t xml:space="preserve">SELLING SECURITYHOLDERS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as of May 6, 2022 (the Determination Date), the names of the Selling Securityholders, the aggregate number of shares of Class A Common Stock beneficially owned by the Selling Securityholders, the aggregate number of shares of Class A Common Stock that the Selling Securityholders may offer pursuant to this Reoffer Prospectus and the number of shares of Class A Common Stock that would be beneficially owned by the Selling Securityholders after the sale of the Shares offered hereby assuming that the Selling Securityholders sell all of the Shares covered by this Reoffer Prospectus. The percentage of beneficial ownership after the offered shares of Class A Common Stock are sold is calculated based on 35,742,547 shares of Class A Common Stock and 81,450,200 shares of Class B Common Stock outstanding as of the Determination Date. Each share of Class A Common Stock has the right to one vote per share and each share of Class B Common Stock has the right to ten votes per share. Each share of Class B Common Stock converts to one share of Class A Common Stock. </w:t>
      </w:r>
    </w:p>
    <w:p>
      <w:pPr>
        <w:pStyle w:val="TextBody"/>
        <w:spacing w:before="240" w:after="0"/>
        <w:jc w:val="left"/>
        <w:rPr>
          <w:rFonts w:ascii="Times New Roman" w:hAnsi="Times New Roman"/>
          <w:sz w:val="20"/>
        </w:rPr>
      </w:pPr>
      <w:r>
        <w:rPr>
          <w:rFonts w:ascii="Times New Roman" w:hAnsi="Times New Roman"/>
          <w:sz w:val="20"/>
        </w:rPr>
        <w:t xml:space="preserve">The Shares offered by the Selling Securityholders hereunder include restricted shares and shares of Class A Common Stock issuable under restricted stock units held by certain current and former employees of the Company pursuant to the 2021 Plan and/or the 2018 Plan, as described in this Reoffer Prospectus. When we refer to the Selling Securityholders in this Reoffer Prospectus, we mean the persons listed in the table below, and the pledgees, donees, transferees, assignees, successors, designees and others who later come to hold any of the Selling Securityholders interest in the Class A Common Stock other than through a public sale. </w:t>
      </w:r>
    </w:p>
    <w:p>
      <w:pPr>
        <w:pStyle w:val="TextBody"/>
        <w:spacing w:before="240" w:after="0"/>
        <w:jc w:val="left"/>
        <w:rPr>
          <w:rFonts w:ascii="Times New Roman" w:hAnsi="Times New Roman"/>
          <w:sz w:val="20"/>
        </w:rPr>
      </w:pPr>
      <w:r>
        <w:rPr>
          <w:rFonts w:ascii="Times New Roman" w:hAnsi="Times New Roman"/>
          <w:sz w:val="20"/>
        </w:rPr>
        <w:t xml:space="preserve">The amount of the Shares to be offered or resold under this Reoffer Prospectus by each Selling Securityholder, and any other person with whom he or she is acting in concert for the purpose of selling our securities, may not exceed, during any three-month period, the amount specified in Rule 144(e) under the Securities Act. </w:t>
      </w:r>
    </w:p>
    <w:p>
      <w:pPr>
        <w:pStyle w:val="TextBody"/>
        <w:spacing w:before="240" w:after="0"/>
        <w:jc w:val="left"/>
        <w:rPr>
          <w:rFonts w:ascii="Times New Roman" w:hAnsi="Times New Roman"/>
          <w:sz w:val="20"/>
        </w:rPr>
      </w:pPr>
      <w:r>
        <w:rPr>
          <w:rFonts w:ascii="Times New Roman" w:hAnsi="Times New Roman"/>
          <w:sz w:val="20"/>
        </w:rPr>
        <w:t xml:space="preserve">Because the Selling Securityholders may offer all or part of the shares of Common Stock, which they own pursuant to the offering contemplated by this reoffer prospectus, and because its offering is not being underwritten on a firm commitment basis, no estimate can be given as to the amount of shares that will be held upon termination of this offering. The number of shares in the column Number of Shares Being Offered represents all of the shares of our Common Stock that each Selling Securityholder may offer under this prospectus. We do not know how long the Selling Securityholders will hold the shares before selling them or how many shares they will sell. The shares of our Common Stock offered by this prospectus may be offered from time to time by the Selling Securityholders listed below. We cannot assure you that any of the Selling Securityholders will offer for sale or sell any or all of the shares of Common Stock offered by them by this prospectus. </w:t>
      </w:r>
    </w:p>
    <w:p>
      <w:pPr>
        <w:pStyle w:val="TextBody"/>
        <w:spacing w:before="0" w:after="0"/>
        <w:jc w:val="left"/>
        <w:rPr/>
      </w:pPr>
      <w:r>
        <w:rPr/>
        <w:t> </w:t>
      </w:r>
    </w:p>
    <w:tbl>
      <w:tblPr>
        <w:tblW w:w="10933" w:type="dxa"/>
        <w:jc w:val="center"/>
        <w:tblInd w:w="0" w:type="dxa"/>
        <w:tblCellMar>
          <w:top w:w="0" w:type="dxa"/>
          <w:left w:w="0" w:type="dxa"/>
          <w:bottom w:w="0" w:type="dxa"/>
          <w:right w:w="0" w:type="dxa"/>
        </w:tblCellMar>
      </w:tblPr>
      <w:tblGrid>
        <w:gridCol w:w="1295"/>
        <w:gridCol w:w="120"/>
        <w:gridCol w:w="1700"/>
        <w:gridCol w:w="120"/>
        <w:gridCol w:w="77"/>
        <w:gridCol w:w="1426"/>
        <w:gridCol w:w="453"/>
        <w:gridCol w:w="77"/>
        <w:gridCol w:w="119"/>
        <w:gridCol w:w="1131"/>
        <w:gridCol w:w="275"/>
        <w:gridCol w:w="60"/>
        <w:gridCol w:w="61"/>
        <w:gridCol w:w="814"/>
        <w:gridCol w:w="200"/>
        <w:gridCol w:w="60"/>
        <w:gridCol w:w="60"/>
        <w:gridCol w:w="1100"/>
        <w:gridCol w:w="200"/>
        <w:gridCol w:w="60"/>
        <w:gridCol w:w="120"/>
        <w:gridCol w:w="1130"/>
        <w:gridCol w:w="275"/>
      </w:tblGrid>
      <w:tr>
        <w:trPr/>
        <w:tc>
          <w:tcPr>
            <w:tcW w:w="12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1295" w:type="dxa"/>
            <w:vMerge w:val="restart"/>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Securityholders</w:t>
            </w:r>
          </w:p>
        </w:tc>
        <w:tc>
          <w:tcPr>
            <w:tcW w:w="120" w:type="dxa"/>
            <w:vMerge w:val="restart"/>
            <w:tcBorders/>
            <w:shd w:fill="auto" w:val="clear"/>
            <w:vAlign w:val="bottom"/>
          </w:tcPr>
          <w:p>
            <w:pPr>
              <w:pStyle w:val="TableContents"/>
              <w:spacing w:before="0" w:after="283"/>
              <w:rPr/>
            </w:pPr>
            <w:r>
              <w:rPr/>
              <w:t>  </w:t>
            </w:r>
          </w:p>
        </w:tc>
        <w:tc>
          <w:tcPr>
            <w:tcW w:w="1700" w:type="dxa"/>
            <w:vMerge w:val="restart"/>
            <w:tcBorders>
              <w:bottom w:val="single" w:sz="8" w:space="0" w:color="000000"/>
            </w:tcBorders>
            <w:shd w:fill="auto" w:val="clear"/>
            <w:tcMar>
              <w:bottom w:w="28" w:type="dxa"/>
            </w:tcMar>
            <w:vAlign w:val="bottom"/>
          </w:tcPr>
          <w:p>
            <w:pPr>
              <w:pStyle w:val="TableContents"/>
              <w:spacing w:before="0" w:after="283"/>
              <w:jc w:val="center"/>
              <w:rPr/>
            </w:pPr>
            <w:r>
              <w:rPr>
                <w:b/>
              </w:rPr>
              <w:t>Relationship to</w:t>
            </w:r>
            <w:r>
              <w:rPr/>
              <w:br/>
            </w:r>
            <w:r>
              <w:rPr>
                <w:b/>
              </w:rPr>
              <w:t>the Company</w:t>
            </w:r>
          </w:p>
        </w:tc>
        <w:tc>
          <w:tcPr>
            <w:tcW w:w="120" w:type="dxa"/>
            <w:tcBorders/>
            <w:shd w:fill="auto" w:val="clear"/>
            <w:vAlign w:val="bottom"/>
          </w:tcPr>
          <w:p>
            <w:pPr>
              <w:pStyle w:val="TableContents"/>
              <w:spacing w:before="0" w:after="283"/>
              <w:rPr/>
            </w:pPr>
            <w:r>
              <w:rPr/>
              <w:t>  </w:t>
            </w:r>
          </w:p>
        </w:tc>
        <w:tc>
          <w:tcPr>
            <w:tcW w:w="3283"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Number of Shares</w:t>
            </w:r>
            <w:r>
              <w:rPr/>
              <w:br/>
            </w:r>
            <w:r>
              <w:rPr>
                <w:b/>
              </w:rPr>
              <w:t>Beneficially Owned Prior to</w:t>
            </w:r>
            <w:r>
              <w:rPr/>
              <w:br/>
            </w:r>
            <w:r>
              <w:rPr>
                <w:b/>
              </w:rPr>
              <w:t>the Offering (1)</w:t>
            </w:r>
          </w:p>
        </w:tc>
        <w:tc>
          <w:tcPr>
            <w:tcW w:w="275" w:type="dxa"/>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875"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Number</w:t>
              <w:br/>
              <w:t>of Shares</w:t>
              <w:br/>
              <w:t>Being</w:t>
              <w:br/>
              <w:t>Offered</w:t>
              <w:br/>
              <w:t>(2)</w:t>
            </w:r>
          </w:p>
        </w:tc>
        <w:tc>
          <w:tcPr>
            <w:tcW w:w="200"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0"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Number of Shares</w:t>
            </w:r>
            <w:r>
              <w:rPr/>
              <w:br/>
            </w:r>
            <w:r>
              <w:rPr>
                <w:b/>
              </w:rPr>
              <w:t>Beneficially Owned After</w:t>
            </w:r>
            <w:r>
              <w:rPr/>
              <w:br/>
            </w:r>
            <w:r>
              <w:rPr>
                <w:b/>
              </w:rPr>
              <w:t>Offering (3)</w:t>
            </w:r>
          </w:p>
        </w:tc>
        <w:tc>
          <w:tcPr>
            <w:tcW w:w="275" w:type="dxa"/>
            <w:tcBorders/>
            <w:shd w:fill="auto" w:val="clear"/>
            <w:vAlign w:val="bottom"/>
          </w:tcPr>
          <w:p>
            <w:pPr>
              <w:pStyle w:val="TableContents"/>
              <w:spacing w:before="0" w:after="283"/>
              <w:rPr/>
            </w:pPr>
            <w:r>
              <w:rPr/>
              <w:t> </w:t>
            </w:r>
          </w:p>
        </w:tc>
      </w:tr>
      <w:tr>
        <w:trPr/>
        <w:tc>
          <w:tcPr>
            <w:tcW w:w="1295" w:type="dxa"/>
            <w:vMerge w:val="continue"/>
            <w:tcBorders/>
            <w:shd w:fill="auto" w:val="clear"/>
            <w:vAlign w:val="bottom"/>
          </w:tcPr>
          <w:p>
            <w:pPr>
              <w:pStyle w:val="Normal"/>
              <w:rPr/>
            </w:pPr>
            <w:r>
              <w:rPr/>
            </w:r>
          </w:p>
        </w:tc>
        <w:tc>
          <w:tcPr>
            <w:tcW w:w="120" w:type="dxa"/>
            <w:vMerge w:val="continue"/>
            <w:tcBorders/>
            <w:shd w:fill="auto" w:val="clear"/>
            <w:vAlign w:val="bottom"/>
          </w:tcPr>
          <w:p>
            <w:pPr>
              <w:pStyle w:val="Normal"/>
              <w:rPr/>
            </w:pPr>
            <w:r>
              <w:rPr/>
            </w:r>
          </w:p>
        </w:tc>
        <w:tc>
          <w:tcPr>
            <w:tcW w:w="1700" w:type="dxa"/>
            <w:vMerge w:val="continue"/>
            <w:tcBorders>
              <w:bottom w:val="single" w:sz="8" w:space="0" w:color="000000"/>
            </w:tcBorders>
            <w:shd w:fill="auto" w:val="clear"/>
            <w:tcMar>
              <w:bottom w:w="28" w:type="dxa"/>
            </w:tcMar>
            <w:vAlign w:val="bottom"/>
          </w:tcPr>
          <w:p>
            <w:pPr>
              <w:pStyle w:val="Normal"/>
              <w:rPr/>
            </w:pPr>
            <w:r>
              <w:rPr/>
            </w:r>
          </w:p>
        </w:tc>
        <w:tc>
          <w:tcPr>
            <w:tcW w:w="120" w:type="dxa"/>
            <w:tcBorders/>
            <w:shd w:fill="auto" w:val="clear"/>
            <w:vAlign w:val="bottom"/>
          </w:tcPr>
          <w:p>
            <w:pPr>
              <w:pStyle w:val="TableContents"/>
              <w:spacing w:before="0" w:after="283"/>
              <w:rPr/>
            </w:pPr>
            <w:r>
              <w:rPr/>
              <w:t>  </w:t>
            </w:r>
          </w:p>
        </w:tc>
        <w:tc>
          <w:tcPr>
            <w:tcW w:w="15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w:t>
            </w:r>
          </w:p>
        </w:tc>
        <w:tc>
          <w:tcPr>
            <w:tcW w:w="453"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2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 (%)</w:t>
            </w:r>
          </w:p>
        </w:tc>
        <w:tc>
          <w:tcPr>
            <w:tcW w:w="275" w:type="dxa"/>
            <w:tcBorders/>
            <w:shd w:fill="auto" w:val="clear"/>
            <w:vAlign w:val="bottom"/>
          </w:tcPr>
          <w:p>
            <w:pPr>
              <w:pStyle w:val="TableContents"/>
              <w:spacing w:before="0" w:after="283"/>
              <w:rPr/>
            </w:pPr>
            <w:r>
              <w:rPr/>
              <w:t> </w:t>
            </w:r>
          </w:p>
        </w:tc>
        <w:tc>
          <w:tcPr>
            <w:tcW w:w="60" w:type="dxa"/>
            <w:vMerge w:val="continue"/>
            <w:tcBorders/>
            <w:shd w:fill="auto" w:val="clear"/>
            <w:vAlign w:val="bottom"/>
          </w:tcPr>
          <w:p>
            <w:pPr>
              <w:pStyle w:val="Normal"/>
              <w:rPr/>
            </w:pPr>
            <w:r>
              <w:rPr/>
            </w:r>
          </w:p>
        </w:tc>
        <w:tc>
          <w:tcPr>
            <w:tcW w:w="875" w:type="dxa"/>
            <w:gridSpan w:val="2"/>
            <w:vMerge w:val="continue"/>
            <w:tcBorders>
              <w:bottom w:val="single" w:sz="8" w:space="0" w:color="000000"/>
            </w:tcBorders>
            <w:shd w:fill="auto" w:val="clear"/>
            <w:tcMar>
              <w:bottom w:w="28" w:type="dxa"/>
            </w:tcMar>
            <w:vAlign w:val="bottom"/>
          </w:tcPr>
          <w:p>
            <w:pPr>
              <w:pStyle w:val="Normal"/>
              <w:rPr/>
            </w:pPr>
            <w:r>
              <w:rPr/>
            </w:r>
          </w:p>
        </w:tc>
        <w:tc>
          <w:tcPr>
            <w:tcW w:w="20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1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 (%)</w:t>
            </w:r>
          </w:p>
        </w:tc>
        <w:tc>
          <w:tcPr>
            <w:tcW w:w="275" w:type="dxa"/>
            <w:tcBorders/>
            <w:shd w:fill="auto" w:val="clear"/>
            <w:vAlign w:val="bottom"/>
          </w:tcPr>
          <w:p>
            <w:pPr>
              <w:pStyle w:val="TableContents"/>
              <w:spacing w:before="0" w:after="283"/>
              <w:rPr/>
            </w:pPr>
            <w:r>
              <w:rPr/>
              <w:t> </w:t>
            </w:r>
          </w:p>
        </w:tc>
      </w:tr>
      <w:tr>
        <w:trPr/>
        <w:tc>
          <w:tcPr>
            <w:tcW w:w="1295" w:type="dxa"/>
            <w:tcBorders/>
            <w:shd w:fill="CCEEFF" w:val="clear"/>
          </w:tcPr>
          <w:p>
            <w:pPr>
              <w:pStyle w:val="TableContents"/>
              <w:spacing w:before="0" w:after="0"/>
              <w:rPr>
                <w:rFonts w:ascii="Times New Roman" w:hAnsi="Times New Roman"/>
                <w:sz w:val="20"/>
              </w:rPr>
            </w:pPr>
            <w:r>
              <w:rPr>
                <w:rFonts w:ascii="Times New Roman" w:hAnsi="Times New Roman"/>
                <w:sz w:val="20"/>
              </w:rPr>
              <w:t>Robert Alpert</w:t>
            </w:r>
          </w:p>
        </w:tc>
        <w:tc>
          <w:tcPr>
            <w:tcW w:w="120" w:type="dxa"/>
            <w:tcBorders/>
            <w:shd w:fill="CCEEFF" w:val="clear"/>
            <w:vAlign w:val="bottom"/>
          </w:tcPr>
          <w:p>
            <w:pPr>
              <w:pStyle w:val="TableContents"/>
              <w:spacing w:before="0" w:after="283"/>
              <w:rPr/>
            </w:pPr>
            <w:r>
              <w:rPr/>
              <w:t>  </w:t>
            </w:r>
          </w:p>
        </w:tc>
        <w:tc>
          <w:tcPr>
            <w:tcW w:w="1700" w:type="dxa"/>
            <w:tcBorders/>
            <w:shd w:fill="CCEEFF" w:val="clear"/>
            <w:vAlign w:val="bottom"/>
          </w:tcPr>
          <w:p>
            <w:pPr>
              <w:pStyle w:val="TableContents"/>
              <w:spacing w:before="0" w:after="283"/>
              <w:jc w:val="center"/>
              <w:rPr/>
            </w:pPr>
            <w:r>
              <w:rPr/>
              <w:t>Co-Chief</w:t>
              <w:br/>
              <w:t>Executive Officer</w:t>
              <w:br/>
              <w:t>&amp; Chairman</w:t>
            </w:r>
          </w:p>
        </w:tc>
        <w:tc>
          <w:tcPr>
            <w:tcW w:w="12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26" w:type="dxa"/>
            <w:tcBorders/>
            <w:shd w:fill="CCEEFF" w:val="clear"/>
            <w:vAlign w:val="bottom"/>
          </w:tcPr>
          <w:p>
            <w:pPr>
              <w:pStyle w:val="TableContents"/>
              <w:spacing w:before="0" w:after="283"/>
              <w:jc w:val="right"/>
              <w:rPr/>
            </w:pPr>
            <w:r>
              <w:rPr/>
              <w:t>13,200,937</w:t>
            </w:r>
          </w:p>
        </w:tc>
        <w:tc>
          <w:tcPr>
            <w:tcW w:w="453" w:type="dxa"/>
            <w:tcBorders/>
            <w:shd w:fill="CCEEFF" w:val="clear"/>
            <w:vAlign w:val="bottom"/>
          </w:tcPr>
          <w:p>
            <w:pPr>
              <w:pStyle w:val="TableContents"/>
              <w:spacing w:before="0" w:after="283"/>
              <w:rPr/>
            </w:pPr>
            <w:r>
              <w:rPr/>
              <w:t>(5) </w:t>
            </w:r>
          </w:p>
        </w:tc>
        <w:tc>
          <w:tcPr>
            <w:tcW w:w="77"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jc w:val="right"/>
              <w:rPr/>
            </w:pPr>
            <w:r>
              <w:rPr/>
              <w:t>11.26</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33,540</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13,167,397</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pPr>
            <w:r>
              <w:rPr/>
              <w:t>11.24</w:t>
            </w:r>
          </w:p>
        </w:tc>
        <w:tc>
          <w:tcPr>
            <w:tcW w:w="275" w:type="dxa"/>
            <w:tcBorders/>
            <w:shd w:fill="CCEEFF" w:val="clear"/>
            <w:vAlign w:val="bottom"/>
          </w:tcPr>
          <w:p>
            <w:pPr>
              <w:pStyle w:val="TableContents"/>
              <w:spacing w:before="0" w:after="283"/>
              <w:rPr/>
            </w:pPr>
            <w:r>
              <w:rPr/>
              <w:t>% </w:t>
            </w:r>
          </w:p>
        </w:tc>
      </w:tr>
      <w:tr>
        <w:trPr/>
        <w:tc>
          <w:tcPr>
            <w:tcW w:w="1295" w:type="dxa"/>
            <w:tcBorders/>
            <w:shd w:fill="auto" w:val="clear"/>
          </w:tcPr>
          <w:p>
            <w:pPr>
              <w:pStyle w:val="TableContents"/>
              <w:spacing w:before="0" w:after="0"/>
              <w:rPr>
                <w:rFonts w:ascii="Times New Roman" w:hAnsi="Times New Roman"/>
                <w:sz w:val="20"/>
              </w:rPr>
            </w:pPr>
            <w:r>
              <w:rPr>
                <w:rFonts w:ascii="Times New Roman" w:hAnsi="Times New Roman"/>
                <w:sz w:val="20"/>
              </w:rPr>
              <w:t>C. Clark Webb</w:t>
            </w:r>
          </w:p>
        </w:tc>
        <w:tc>
          <w:tcPr>
            <w:tcW w:w="120" w:type="dxa"/>
            <w:tcBorders/>
            <w:shd w:fill="auto" w:val="clear"/>
            <w:vAlign w:val="bottom"/>
          </w:tcPr>
          <w:p>
            <w:pPr>
              <w:pStyle w:val="TableContents"/>
              <w:spacing w:before="0" w:after="283"/>
              <w:rPr/>
            </w:pPr>
            <w:r>
              <w:rPr/>
              <w:t>  </w:t>
            </w:r>
          </w:p>
        </w:tc>
        <w:tc>
          <w:tcPr>
            <w:tcW w:w="1700" w:type="dxa"/>
            <w:tcBorders/>
            <w:shd w:fill="auto" w:val="clear"/>
            <w:vAlign w:val="bottom"/>
          </w:tcPr>
          <w:p>
            <w:pPr>
              <w:pStyle w:val="TableContents"/>
              <w:spacing w:before="0" w:after="283"/>
              <w:jc w:val="center"/>
              <w:rPr/>
            </w:pPr>
            <w:r>
              <w:rPr/>
              <w:t>Co-Chief</w:t>
              <w:br/>
              <w:t>Executive</w:t>
              <w:br/>
              <w:t>Officer &amp;</w:t>
              <w:br/>
              <w:t>Director</w:t>
            </w:r>
          </w:p>
        </w:tc>
        <w:tc>
          <w:tcPr>
            <w:tcW w:w="12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6" w:type="dxa"/>
            <w:tcBorders/>
            <w:shd w:fill="auto" w:val="clear"/>
            <w:vAlign w:val="bottom"/>
          </w:tcPr>
          <w:p>
            <w:pPr>
              <w:pStyle w:val="TableContents"/>
              <w:spacing w:before="0" w:after="283"/>
              <w:jc w:val="right"/>
              <w:rPr/>
            </w:pPr>
            <w:r>
              <w:rPr/>
              <w:t>13,200,937</w:t>
            </w:r>
          </w:p>
        </w:tc>
        <w:tc>
          <w:tcPr>
            <w:tcW w:w="453" w:type="dxa"/>
            <w:tcBorders/>
            <w:shd w:fill="auto" w:val="clear"/>
            <w:vAlign w:val="bottom"/>
          </w:tcPr>
          <w:p>
            <w:pPr>
              <w:pStyle w:val="TableContents"/>
              <w:spacing w:before="0" w:after="283"/>
              <w:rPr/>
            </w:pPr>
            <w:r>
              <w:rPr/>
              <w:t>(5) </w:t>
            </w:r>
          </w:p>
        </w:tc>
        <w:tc>
          <w:tcPr>
            <w:tcW w:w="7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jc w:val="right"/>
              <w:rPr/>
            </w:pPr>
            <w:r>
              <w:rPr/>
              <w:t>11.26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33,540</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13,167,397</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pPr>
            <w:r>
              <w:rPr/>
              <w:t>11.24</w:t>
            </w:r>
          </w:p>
        </w:tc>
        <w:tc>
          <w:tcPr>
            <w:tcW w:w="275" w:type="dxa"/>
            <w:tcBorders/>
            <w:shd w:fill="auto" w:val="clear"/>
            <w:vAlign w:val="bottom"/>
          </w:tcPr>
          <w:p>
            <w:pPr>
              <w:pStyle w:val="TableContents"/>
              <w:spacing w:before="0" w:after="283"/>
              <w:rPr/>
            </w:pPr>
            <w:r>
              <w:rPr/>
              <w:t>% </w:t>
            </w:r>
          </w:p>
        </w:tc>
      </w:tr>
      <w:tr>
        <w:trPr/>
        <w:tc>
          <w:tcPr>
            <w:tcW w:w="1295" w:type="dxa"/>
            <w:tcBorders/>
            <w:shd w:fill="CCEEFF" w:val="clear"/>
          </w:tcPr>
          <w:p>
            <w:pPr>
              <w:pStyle w:val="TableContents"/>
              <w:spacing w:before="0" w:after="0"/>
              <w:rPr>
                <w:rFonts w:ascii="Times New Roman" w:hAnsi="Times New Roman"/>
                <w:sz w:val="20"/>
              </w:rPr>
            </w:pPr>
            <w:r>
              <w:rPr>
                <w:rFonts w:ascii="Times New Roman" w:hAnsi="Times New Roman"/>
                <w:sz w:val="20"/>
              </w:rPr>
              <w:t>William F. Souder</w:t>
            </w:r>
          </w:p>
        </w:tc>
        <w:tc>
          <w:tcPr>
            <w:tcW w:w="120" w:type="dxa"/>
            <w:tcBorders/>
            <w:shd w:fill="CCEEFF" w:val="clear"/>
            <w:vAlign w:val="bottom"/>
          </w:tcPr>
          <w:p>
            <w:pPr>
              <w:pStyle w:val="TableContents"/>
              <w:spacing w:before="0" w:after="283"/>
              <w:rPr/>
            </w:pPr>
            <w:r>
              <w:rPr/>
              <w:t>  </w:t>
            </w:r>
          </w:p>
        </w:tc>
        <w:tc>
          <w:tcPr>
            <w:tcW w:w="1700" w:type="dxa"/>
            <w:tcBorders/>
            <w:shd w:fill="CCEEFF" w:val="clear"/>
            <w:vAlign w:val="bottom"/>
          </w:tcPr>
          <w:p>
            <w:pPr>
              <w:pStyle w:val="TableContents"/>
              <w:spacing w:before="0" w:after="283"/>
              <w:jc w:val="center"/>
              <w:rPr/>
            </w:pPr>
            <w:r>
              <w:rPr/>
              <w:t>Chief Operating</w:t>
              <w:br/>
              <w:t>Officer &amp;</w:t>
              <w:br/>
              <w:t>Director</w:t>
            </w:r>
          </w:p>
        </w:tc>
        <w:tc>
          <w:tcPr>
            <w:tcW w:w="12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26" w:type="dxa"/>
            <w:tcBorders/>
            <w:shd w:fill="CCEEFF" w:val="clear"/>
            <w:vAlign w:val="bottom"/>
          </w:tcPr>
          <w:p>
            <w:pPr>
              <w:pStyle w:val="TableContents"/>
              <w:spacing w:before="0" w:after="283"/>
              <w:jc w:val="right"/>
              <w:rPr/>
            </w:pPr>
            <w:r>
              <w:rPr/>
              <w:t>4,295,479</w:t>
            </w:r>
          </w:p>
        </w:tc>
        <w:tc>
          <w:tcPr>
            <w:tcW w:w="453" w:type="dxa"/>
            <w:tcBorders/>
            <w:shd w:fill="CCEEFF" w:val="clear"/>
            <w:vAlign w:val="bottom"/>
          </w:tcPr>
          <w:p>
            <w:pPr>
              <w:pStyle w:val="TableContents"/>
              <w:spacing w:before="0" w:after="283"/>
              <w:rPr/>
            </w:pPr>
            <w:r>
              <w:rPr/>
              <w:t>(6) </w:t>
            </w:r>
          </w:p>
        </w:tc>
        <w:tc>
          <w:tcPr>
            <w:tcW w:w="77"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jc w:val="right"/>
              <w:rPr/>
            </w:pPr>
            <w:r>
              <w:rPr/>
              <w:t>3.67</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33,540</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4,261,939</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pPr>
            <w:r>
              <w:rPr/>
              <w:t>3.64</w:t>
            </w:r>
          </w:p>
        </w:tc>
        <w:tc>
          <w:tcPr>
            <w:tcW w:w="275" w:type="dxa"/>
            <w:tcBorders/>
            <w:shd w:fill="CCEEFF" w:val="clear"/>
            <w:vAlign w:val="bottom"/>
          </w:tcPr>
          <w:p>
            <w:pPr>
              <w:pStyle w:val="TableContents"/>
              <w:spacing w:before="0" w:after="283"/>
              <w:rPr/>
            </w:pPr>
            <w:r>
              <w:rPr/>
              <w:t>% </w:t>
            </w:r>
          </w:p>
        </w:tc>
      </w:tr>
      <w:tr>
        <w:trPr/>
        <w:tc>
          <w:tcPr>
            <w:tcW w:w="1295" w:type="dxa"/>
            <w:tcBorders/>
            <w:shd w:fill="auto" w:val="clear"/>
          </w:tcPr>
          <w:p>
            <w:pPr>
              <w:pStyle w:val="TableContents"/>
              <w:spacing w:before="0" w:after="0"/>
              <w:rPr>
                <w:rFonts w:ascii="Times New Roman" w:hAnsi="Times New Roman"/>
                <w:sz w:val="20"/>
              </w:rPr>
            </w:pPr>
            <w:r>
              <w:rPr>
                <w:rFonts w:ascii="Times New Roman" w:hAnsi="Times New Roman"/>
                <w:sz w:val="20"/>
              </w:rPr>
              <w:t>Jeff P. Gehl</w:t>
            </w:r>
          </w:p>
        </w:tc>
        <w:tc>
          <w:tcPr>
            <w:tcW w:w="120" w:type="dxa"/>
            <w:tcBorders/>
            <w:shd w:fill="auto" w:val="clear"/>
            <w:vAlign w:val="bottom"/>
          </w:tcPr>
          <w:p>
            <w:pPr>
              <w:pStyle w:val="TableContents"/>
              <w:spacing w:before="0" w:after="283"/>
              <w:rPr/>
            </w:pPr>
            <w:r>
              <w:rPr/>
              <w:t>  </w:t>
            </w:r>
          </w:p>
        </w:tc>
        <w:tc>
          <w:tcPr>
            <w:tcW w:w="1700" w:type="dxa"/>
            <w:tcBorders/>
            <w:shd w:fill="auto" w:val="clear"/>
            <w:vAlign w:val="bottom"/>
          </w:tcPr>
          <w:p>
            <w:pPr>
              <w:pStyle w:val="TableContents"/>
              <w:spacing w:before="0" w:after="283"/>
              <w:jc w:val="center"/>
              <w:rPr/>
            </w:pPr>
            <w:r>
              <w:rPr/>
              <w:t>Head of</w:t>
              <w:br/>
              <w:t>Marketing and</w:t>
              <w:br/>
              <w:t>Distribution</w:t>
            </w:r>
          </w:p>
        </w:tc>
        <w:tc>
          <w:tcPr>
            <w:tcW w:w="12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6" w:type="dxa"/>
            <w:tcBorders/>
            <w:shd w:fill="auto" w:val="clear"/>
            <w:vAlign w:val="bottom"/>
          </w:tcPr>
          <w:p>
            <w:pPr>
              <w:pStyle w:val="TableContents"/>
              <w:spacing w:before="0" w:after="283"/>
              <w:jc w:val="right"/>
              <w:rPr/>
            </w:pPr>
            <w:r>
              <w:rPr/>
              <w:t>4,295,479</w:t>
            </w:r>
          </w:p>
        </w:tc>
        <w:tc>
          <w:tcPr>
            <w:tcW w:w="453" w:type="dxa"/>
            <w:tcBorders/>
            <w:shd w:fill="auto" w:val="clear"/>
            <w:vAlign w:val="bottom"/>
          </w:tcPr>
          <w:p>
            <w:pPr>
              <w:pStyle w:val="TableContents"/>
              <w:spacing w:before="0" w:after="283"/>
              <w:rPr/>
            </w:pPr>
            <w:r>
              <w:rPr/>
              <w:t>(7) </w:t>
            </w:r>
          </w:p>
        </w:tc>
        <w:tc>
          <w:tcPr>
            <w:tcW w:w="7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jc w:val="right"/>
              <w:rPr/>
            </w:pPr>
            <w:r>
              <w:rPr/>
              <w:t>3.67</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33,540</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4,261,939</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pPr>
            <w:r>
              <w:rPr/>
              <w:t>3.64</w:t>
            </w:r>
          </w:p>
        </w:tc>
        <w:tc>
          <w:tcPr>
            <w:tcW w:w="275" w:type="dxa"/>
            <w:tcBorders/>
            <w:shd w:fill="auto" w:val="clear"/>
            <w:vAlign w:val="bottom"/>
          </w:tcPr>
          <w:p>
            <w:pPr>
              <w:pStyle w:val="TableContents"/>
              <w:spacing w:before="0" w:after="283"/>
              <w:rPr/>
            </w:pPr>
            <w:r>
              <w:rPr/>
              <w:t>% </w:t>
            </w:r>
          </w:p>
        </w:tc>
      </w:tr>
      <w:tr>
        <w:trPr/>
        <w:tc>
          <w:tcPr>
            <w:tcW w:w="1295" w:type="dxa"/>
            <w:tcBorders/>
            <w:shd w:fill="CCEEFF" w:val="clear"/>
          </w:tcPr>
          <w:p>
            <w:pPr>
              <w:pStyle w:val="TableContents"/>
              <w:spacing w:before="0" w:after="0"/>
              <w:rPr>
                <w:rFonts w:ascii="Times New Roman" w:hAnsi="Times New Roman"/>
                <w:sz w:val="20"/>
              </w:rPr>
            </w:pPr>
            <w:r>
              <w:rPr>
                <w:rFonts w:ascii="Times New Roman" w:hAnsi="Times New Roman"/>
                <w:sz w:val="20"/>
              </w:rPr>
              <w:t>Amanda Coussens</w:t>
            </w:r>
          </w:p>
        </w:tc>
        <w:tc>
          <w:tcPr>
            <w:tcW w:w="120" w:type="dxa"/>
            <w:tcBorders/>
            <w:shd w:fill="CCEEFF" w:val="clear"/>
            <w:vAlign w:val="bottom"/>
          </w:tcPr>
          <w:p>
            <w:pPr>
              <w:pStyle w:val="TableContents"/>
              <w:spacing w:before="0" w:after="283"/>
              <w:rPr/>
            </w:pPr>
            <w:r>
              <w:rPr/>
              <w:t>  </w:t>
            </w:r>
          </w:p>
        </w:tc>
        <w:tc>
          <w:tcPr>
            <w:tcW w:w="1700" w:type="dxa"/>
            <w:tcBorders/>
            <w:shd w:fill="CCEEFF" w:val="clear"/>
            <w:vAlign w:val="bottom"/>
          </w:tcPr>
          <w:p>
            <w:pPr>
              <w:pStyle w:val="TableContents"/>
              <w:spacing w:before="0" w:after="283"/>
              <w:jc w:val="center"/>
              <w:rPr/>
            </w:pPr>
            <w:r>
              <w:rPr/>
              <w:t>Chief Financial</w:t>
              <w:br/>
              <w:t>Officer</w:t>
            </w:r>
          </w:p>
        </w:tc>
        <w:tc>
          <w:tcPr>
            <w:tcW w:w="12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26" w:type="dxa"/>
            <w:tcBorders/>
            <w:shd w:fill="CCEEFF" w:val="clear"/>
            <w:vAlign w:val="bottom"/>
          </w:tcPr>
          <w:p>
            <w:pPr>
              <w:pStyle w:val="TableContents"/>
              <w:spacing w:before="0" w:after="283"/>
              <w:jc w:val="right"/>
              <w:rPr/>
            </w:pPr>
            <w:r>
              <w:rPr/>
              <w:t>15,035</w:t>
            </w:r>
          </w:p>
        </w:tc>
        <w:tc>
          <w:tcPr>
            <w:tcW w:w="453" w:type="dxa"/>
            <w:tcBorders/>
            <w:shd w:fill="CCEEFF" w:val="clear"/>
            <w:vAlign w:val="bottom"/>
          </w:tcPr>
          <w:p>
            <w:pPr>
              <w:pStyle w:val="TableContents"/>
              <w:spacing w:before="0" w:after="283"/>
              <w:rPr/>
            </w:pPr>
            <w:r>
              <w:rPr/>
              <w:t>(8) </w:t>
            </w:r>
          </w:p>
        </w:tc>
        <w:tc>
          <w:tcPr>
            <w:tcW w:w="77"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8,385</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6,650</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r>
      <w:tr>
        <w:trPr/>
        <w:tc>
          <w:tcPr>
            <w:tcW w:w="1295" w:type="dxa"/>
            <w:tcBorders/>
            <w:shd w:fill="auto" w:val="clear"/>
          </w:tcPr>
          <w:p>
            <w:pPr>
              <w:pStyle w:val="TableContents"/>
              <w:spacing w:before="0" w:after="0"/>
              <w:rPr>
                <w:rFonts w:ascii="Times New Roman" w:hAnsi="Times New Roman"/>
                <w:sz w:val="20"/>
              </w:rPr>
            </w:pPr>
            <w:r>
              <w:rPr>
                <w:rFonts w:ascii="Times New Roman" w:hAnsi="Times New Roman"/>
                <w:sz w:val="20"/>
              </w:rPr>
              <w:t>Edwin Poston</w:t>
            </w:r>
          </w:p>
        </w:tc>
        <w:tc>
          <w:tcPr>
            <w:tcW w:w="120" w:type="dxa"/>
            <w:tcBorders/>
            <w:shd w:fill="auto" w:val="clear"/>
            <w:vAlign w:val="bottom"/>
          </w:tcPr>
          <w:p>
            <w:pPr>
              <w:pStyle w:val="TableContents"/>
              <w:spacing w:before="0" w:after="283"/>
              <w:rPr/>
            </w:pPr>
            <w:r>
              <w:rPr/>
              <w:t>  </w:t>
            </w:r>
          </w:p>
        </w:tc>
        <w:tc>
          <w:tcPr>
            <w:tcW w:w="1700" w:type="dxa"/>
            <w:tcBorders/>
            <w:shd w:fill="auto" w:val="clear"/>
            <w:vAlign w:val="bottom"/>
          </w:tcPr>
          <w:p>
            <w:pPr>
              <w:pStyle w:val="TableContents"/>
              <w:spacing w:before="0" w:after="283"/>
              <w:jc w:val="center"/>
              <w:rPr/>
            </w:pPr>
            <w:r>
              <w:rPr/>
              <w:t>Director</w:t>
            </w:r>
          </w:p>
        </w:tc>
        <w:tc>
          <w:tcPr>
            <w:tcW w:w="12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6" w:type="dxa"/>
            <w:tcBorders/>
            <w:shd w:fill="auto" w:val="clear"/>
            <w:vAlign w:val="bottom"/>
          </w:tcPr>
          <w:p>
            <w:pPr>
              <w:pStyle w:val="TableContents"/>
              <w:spacing w:before="0" w:after="283"/>
              <w:jc w:val="right"/>
              <w:rPr/>
            </w:pPr>
            <w:r>
              <w:rPr/>
              <w:t>8,727,949</w:t>
            </w:r>
          </w:p>
        </w:tc>
        <w:tc>
          <w:tcPr>
            <w:tcW w:w="453" w:type="dxa"/>
            <w:tcBorders/>
            <w:shd w:fill="auto" w:val="clear"/>
            <w:vAlign w:val="bottom"/>
          </w:tcPr>
          <w:p>
            <w:pPr>
              <w:pStyle w:val="TableContents"/>
              <w:spacing w:before="0" w:after="283"/>
              <w:rPr/>
            </w:pPr>
            <w:r>
              <w:rPr/>
              <w:t>(9) </w:t>
            </w:r>
          </w:p>
        </w:tc>
        <w:tc>
          <w:tcPr>
            <w:tcW w:w="7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jc w:val="right"/>
              <w:rPr/>
            </w:pPr>
            <w:r>
              <w:rPr/>
              <w:t>7.45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33,540</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8,694,409</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pPr>
            <w:r>
              <w:rPr/>
              <w:t>7.42</w:t>
            </w:r>
          </w:p>
        </w:tc>
        <w:tc>
          <w:tcPr>
            <w:tcW w:w="275" w:type="dxa"/>
            <w:tcBorders/>
            <w:shd w:fill="auto" w:val="clear"/>
            <w:vAlign w:val="bottom"/>
          </w:tcPr>
          <w:p>
            <w:pPr>
              <w:pStyle w:val="TableContents"/>
              <w:spacing w:before="0" w:after="283"/>
              <w:rPr/>
            </w:pPr>
            <w:r>
              <w:rPr/>
              <w:t>% </w:t>
            </w:r>
          </w:p>
        </w:tc>
      </w:tr>
      <w:tr>
        <w:trPr/>
        <w:tc>
          <w:tcPr>
            <w:tcW w:w="1295" w:type="dxa"/>
            <w:tcBorders/>
            <w:shd w:fill="CCEEFF" w:val="clear"/>
          </w:tcPr>
          <w:p>
            <w:pPr>
              <w:pStyle w:val="TableContents"/>
              <w:spacing w:before="0" w:after="0"/>
              <w:rPr>
                <w:rFonts w:ascii="Times New Roman" w:hAnsi="Times New Roman"/>
                <w:sz w:val="20"/>
              </w:rPr>
            </w:pPr>
            <w:r>
              <w:rPr>
                <w:rFonts w:ascii="Times New Roman" w:hAnsi="Times New Roman"/>
                <w:sz w:val="20"/>
              </w:rPr>
              <w:t>Travis Barnes</w:t>
            </w:r>
          </w:p>
        </w:tc>
        <w:tc>
          <w:tcPr>
            <w:tcW w:w="120" w:type="dxa"/>
            <w:tcBorders/>
            <w:shd w:fill="CCEEFF" w:val="clear"/>
            <w:vAlign w:val="bottom"/>
          </w:tcPr>
          <w:p>
            <w:pPr>
              <w:pStyle w:val="TableContents"/>
              <w:spacing w:before="0" w:after="283"/>
              <w:rPr/>
            </w:pPr>
            <w:r>
              <w:rPr/>
              <w:t>  </w:t>
            </w:r>
          </w:p>
        </w:tc>
        <w:tc>
          <w:tcPr>
            <w:tcW w:w="1700" w:type="dxa"/>
            <w:tcBorders/>
            <w:shd w:fill="CCEEFF" w:val="clear"/>
            <w:vAlign w:val="bottom"/>
          </w:tcPr>
          <w:p>
            <w:pPr>
              <w:pStyle w:val="TableContents"/>
              <w:spacing w:before="0" w:after="283"/>
              <w:jc w:val="center"/>
              <w:rPr/>
            </w:pPr>
            <w:r>
              <w:rPr/>
              <w:t>Director</w:t>
            </w:r>
          </w:p>
        </w:tc>
        <w:tc>
          <w:tcPr>
            <w:tcW w:w="12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26" w:type="dxa"/>
            <w:tcBorders/>
            <w:shd w:fill="CCEEFF" w:val="clear"/>
            <w:vAlign w:val="bottom"/>
          </w:tcPr>
          <w:p>
            <w:pPr>
              <w:pStyle w:val="TableContents"/>
              <w:spacing w:before="0" w:after="283"/>
              <w:jc w:val="right"/>
              <w:rPr/>
            </w:pPr>
            <w:r>
              <w:rPr/>
              <w:t>13,291</w:t>
            </w:r>
          </w:p>
        </w:tc>
        <w:tc>
          <w:tcPr>
            <w:tcW w:w="453"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13,291</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0</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r>
      <w:tr>
        <w:trPr/>
        <w:tc>
          <w:tcPr>
            <w:tcW w:w="1295" w:type="dxa"/>
            <w:tcBorders/>
            <w:shd w:fill="auto" w:val="clear"/>
          </w:tcPr>
          <w:p>
            <w:pPr>
              <w:pStyle w:val="TableContents"/>
              <w:spacing w:before="0" w:after="0"/>
              <w:rPr>
                <w:rFonts w:ascii="Times New Roman" w:hAnsi="Times New Roman"/>
                <w:sz w:val="20"/>
              </w:rPr>
            </w:pPr>
            <w:r>
              <w:rPr>
                <w:rFonts w:ascii="Times New Roman" w:hAnsi="Times New Roman"/>
                <w:sz w:val="20"/>
              </w:rPr>
              <w:t>Scott Gwilliam</w:t>
            </w:r>
          </w:p>
        </w:tc>
        <w:tc>
          <w:tcPr>
            <w:tcW w:w="120" w:type="dxa"/>
            <w:tcBorders/>
            <w:shd w:fill="auto" w:val="clear"/>
            <w:vAlign w:val="bottom"/>
          </w:tcPr>
          <w:p>
            <w:pPr>
              <w:pStyle w:val="TableContents"/>
              <w:spacing w:before="0" w:after="283"/>
              <w:rPr/>
            </w:pPr>
            <w:r>
              <w:rPr/>
              <w:t>  </w:t>
            </w:r>
          </w:p>
        </w:tc>
        <w:tc>
          <w:tcPr>
            <w:tcW w:w="1700" w:type="dxa"/>
            <w:tcBorders/>
            <w:shd w:fill="auto" w:val="clear"/>
            <w:vAlign w:val="bottom"/>
          </w:tcPr>
          <w:p>
            <w:pPr>
              <w:pStyle w:val="TableContents"/>
              <w:spacing w:before="0" w:after="283"/>
              <w:jc w:val="center"/>
              <w:rPr/>
            </w:pPr>
            <w:r>
              <w:rPr/>
              <w:t>Director</w:t>
            </w:r>
          </w:p>
        </w:tc>
        <w:tc>
          <w:tcPr>
            <w:tcW w:w="12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6" w:type="dxa"/>
            <w:tcBorders/>
            <w:shd w:fill="auto" w:val="clear"/>
            <w:vAlign w:val="bottom"/>
          </w:tcPr>
          <w:p>
            <w:pPr>
              <w:pStyle w:val="TableContents"/>
              <w:spacing w:before="0" w:after="283"/>
              <w:jc w:val="right"/>
              <w:rPr/>
            </w:pPr>
            <w:r>
              <w:rPr/>
              <w:t>9,451</w:t>
            </w:r>
          </w:p>
        </w:tc>
        <w:tc>
          <w:tcPr>
            <w:tcW w:w="453"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jc w:val="right"/>
              <w:rPr/>
            </w:pPr>
            <w:r>
              <w:rPr/>
              <w:t>*</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9,451</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0</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pPr>
            <w:r>
              <w:rPr/>
              <w:t>*</w:t>
            </w:r>
          </w:p>
        </w:tc>
        <w:tc>
          <w:tcPr>
            <w:tcW w:w="275" w:type="dxa"/>
            <w:tcBorders/>
            <w:shd w:fill="auto" w:val="clear"/>
            <w:vAlign w:val="bottom"/>
          </w:tcPr>
          <w:p>
            <w:pPr>
              <w:pStyle w:val="TableContents"/>
              <w:spacing w:before="0" w:after="283"/>
              <w:rPr/>
            </w:pPr>
            <w:r>
              <w:rPr/>
              <w:t> </w:t>
            </w:r>
          </w:p>
        </w:tc>
      </w:tr>
      <w:tr>
        <w:trPr/>
        <w:tc>
          <w:tcPr>
            <w:tcW w:w="1295" w:type="dxa"/>
            <w:tcBorders/>
            <w:shd w:fill="CCEEFF" w:val="clear"/>
          </w:tcPr>
          <w:p>
            <w:pPr>
              <w:pStyle w:val="TableContents"/>
              <w:spacing w:before="0" w:after="0"/>
              <w:rPr>
                <w:rFonts w:ascii="Times New Roman" w:hAnsi="Times New Roman"/>
                <w:sz w:val="20"/>
              </w:rPr>
            </w:pPr>
            <w:r>
              <w:rPr>
                <w:rFonts w:ascii="Times New Roman" w:hAnsi="Times New Roman"/>
                <w:sz w:val="20"/>
              </w:rPr>
              <w:t>Robert B. Stewart Jr.</w:t>
            </w:r>
          </w:p>
        </w:tc>
        <w:tc>
          <w:tcPr>
            <w:tcW w:w="120" w:type="dxa"/>
            <w:tcBorders/>
            <w:shd w:fill="CCEEFF" w:val="clear"/>
            <w:vAlign w:val="bottom"/>
          </w:tcPr>
          <w:p>
            <w:pPr>
              <w:pStyle w:val="TableContents"/>
              <w:spacing w:before="0" w:after="283"/>
              <w:rPr/>
            </w:pPr>
            <w:r>
              <w:rPr/>
              <w:t>  </w:t>
            </w:r>
          </w:p>
        </w:tc>
        <w:tc>
          <w:tcPr>
            <w:tcW w:w="1700" w:type="dxa"/>
            <w:tcBorders/>
            <w:shd w:fill="CCEEFF" w:val="clear"/>
            <w:vAlign w:val="bottom"/>
          </w:tcPr>
          <w:p>
            <w:pPr>
              <w:pStyle w:val="TableContents"/>
              <w:spacing w:before="0" w:after="283"/>
              <w:jc w:val="center"/>
              <w:rPr/>
            </w:pPr>
            <w:r>
              <w:rPr/>
              <w:t>Director</w:t>
            </w:r>
          </w:p>
        </w:tc>
        <w:tc>
          <w:tcPr>
            <w:tcW w:w="12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26" w:type="dxa"/>
            <w:tcBorders/>
            <w:shd w:fill="CCEEFF" w:val="clear"/>
            <w:vAlign w:val="bottom"/>
          </w:tcPr>
          <w:p>
            <w:pPr>
              <w:pStyle w:val="TableContents"/>
              <w:spacing w:before="0" w:after="283"/>
              <w:jc w:val="right"/>
              <w:rPr/>
            </w:pPr>
            <w:r>
              <w:rPr/>
              <w:t>13,291</w:t>
            </w:r>
          </w:p>
        </w:tc>
        <w:tc>
          <w:tcPr>
            <w:tcW w:w="453"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13,291</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0</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r>
      <w:tr>
        <w:trPr/>
        <w:tc>
          <w:tcPr>
            <w:tcW w:w="1295" w:type="dxa"/>
            <w:tcBorders/>
            <w:shd w:fill="auto" w:val="clear"/>
          </w:tcPr>
          <w:p>
            <w:pPr>
              <w:pStyle w:val="TableContents"/>
              <w:spacing w:before="0" w:after="0"/>
              <w:rPr>
                <w:rFonts w:ascii="Times New Roman" w:hAnsi="Times New Roman"/>
                <w:sz w:val="20"/>
              </w:rPr>
            </w:pPr>
            <w:r>
              <w:rPr>
                <w:rFonts w:ascii="Times New Roman" w:hAnsi="Times New Roman"/>
                <w:sz w:val="20"/>
              </w:rPr>
              <w:t>Named Selling Securityholders (4)</w:t>
            </w:r>
          </w:p>
        </w:tc>
        <w:tc>
          <w:tcPr>
            <w:tcW w:w="120" w:type="dxa"/>
            <w:tcBorders/>
            <w:shd w:fill="auto" w:val="clear"/>
            <w:vAlign w:val="bottom"/>
          </w:tcPr>
          <w:p>
            <w:pPr>
              <w:pStyle w:val="TableContents"/>
              <w:spacing w:before="0" w:after="283"/>
              <w:rPr/>
            </w:pPr>
            <w:r>
              <w:rPr/>
              <w:t>  </w:t>
            </w:r>
          </w:p>
        </w:tc>
        <w:tc>
          <w:tcPr>
            <w:tcW w:w="170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sz w:val="4"/>
                <w:szCs w:val="4"/>
              </w:rPr>
            </w:pPr>
            <w:r>
              <w:rPr>
                <w:sz w:val="4"/>
                <w:szCs w:val="4"/>
              </w:rPr>
            </w:r>
          </w:p>
        </w:tc>
        <w:tc>
          <w:tcPr>
            <w:tcW w:w="1426" w:type="dxa"/>
            <w:tcBorders/>
            <w:shd w:fill="auto" w:val="clear"/>
            <w:vAlign w:val="bottom"/>
          </w:tcPr>
          <w:p>
            <w:pPr>
              <w:pStyle w:val="TableContents"/>
              <w:spacing w:before="0" w:after="283"/>
              <w:rPr>
                <w:sz w:val="4"/>
                <w:szCs w:val="4"/>
              </w:rPr>
            </w:pPr>
            <w:r>
              <w:rPr>
                <w:sz w:val="4"/>
                <w:szCs w:val="4"/>
              </w:rPr>
            </w:r>
          </w:p>
        </w:tc>
        <w:tc>
          <w:tcPr>
            <w:tcW w:w="453" w:type="dxa"/>
            <w:tcBorders/>
            <w:shd w:fill="auto" w:val="clear"/>
            <w:vAlign w:val="bottom"/>
          </w:tcPr>
          <w:p>
            <w:pPr>
              <w:pStyle w:val="TableContents"/>
              <w:spacing w:before="0" w:after="283"/>
              <w:rPr>
                <w:sz w:val="4"/>
                <w:szCs w:val="4"/>
              </w:rPr>
            </w:pPr>
            <w:r>
              <w:rPr>
                <w:sz w:val="4"/>
                <w:szCs w:val="4"/>
              </w:rPr>
            </w:r>
          </w:p>
        </w:tc>
        <w:tc>
          <w:tcPr>
            <w:tcW w:w="7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jc w:val="right"/>
              <w:rPr/>
            </w:pPr>
            <w:r>
              <w:rPr/>
              <w:t>*</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391,704</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sz w:val="4"/>
                <w:szCs w:val="4"/>
              </w:rPr>
            </w:pPr>
            <w:r>
              <w:rPr>
                <w:sz w:val="4"/>
                <w:szCs w:val="4"/>
              </w:rPr>
            </w:r>
          </w:p>
        </w:tc>
        <w:tc>
          <w:tcPr>
            <w:tcW w:w="113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less than 1%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and percentage of shares beneficially owned is determined in accordance with Rule 13d-3 of the Securities Exchange Act of 1934, as amended, and the information is not necessarily indicative of beneficial ownership for any other purpose. Under such rule, beneficial ownership includes any shares as to which the Selling Securityholder has sole or shared voting power or investment power and also any shares which the Selling Securityholder has the right to acquire within 60 days. Applicable percentage ownership is based on an aggregate of 117,192,747 shares of Common Stock outstanding as of May 6,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both vested and non-vested restricted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Assumes that all shares of Common Stock to be offered, as set forth above, are sold pursuant to this offering and that no other shares of Common Stock are acquired or disposed of by the Selling Securityholders prior to the termination of this offering. Because the Selling Securityholders may sell all, some or none of their shares of Common Stock or may acquire or dispose of other shares of Common Stock, no reliable estimate can be made of the aggregate number of shares of Common Stock that will be sold pursuant to this offering or the number or percentage of shares of Common Stock that each Selling Securityholder will own upon completion of this offering.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the following named non-affiliate Selling Securityholders, each of whom own at least 1,000 shares of Class A Common Stock issued pursuant to an employee benefit plan and offered pursuant to this Reoffer Prospectus and each of whom may sell up to such amount using this Reoffer Prospectus: Michael Korengold; Richard Montgomery; Shane McCarthy; Mark Slusar; Ed Rossier; Dave Huston; Jonathan Blanco; Scott Snow; Marshall White; Alex Abell; Michael Feinglass; Andrew Nelson; Nell Blatherick; Ajay Chitkara; Douglas Cruikshank; Tom Danis; Stewart Whitfield Edwards; Mark Hood; Charles Huebner; Kevin Kelly; Calvin Kleinschmidt; Jon Madorsky; Dave McCoy; Raj Patel; Michael Rice; and Mel Williams.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Information reported is based on Schedule 13G as filed with the SEC on February 14, 2022 on which Robert Alpert and C. Clark Webb reported shared voting power over 13,167,397 Class B shares (each share of Class B common stock entitles its holder to ten votes for each share held, until a Sunset becomes effective, and converts to one share of Class A common stock) and shared dispositive power over 13,167,397 Class B shares of our common stock as of December 31, 2021. Shares beneficially owned by Mr. Alpert, individually and in his capacity as President and sole shareholder of RHA Investments and Mr. Webb, individually and in his capacity as sole member of CCW Holdings.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(6)</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shares beneficially owned by Souder Family LLC. Mr. Souder has the power to direct the affairs of Souder Family LLC as its managing member.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(7)</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shares beneficially owned by the Jeff P. Gehl Living Trust dated January 25, 2011. Mr. Gehl has the power to direct the affairs of the Jeff P. Gehl Living Trust dated January 25, 2011 as its trustee.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6,650 shares issuable upon exercise of stock options that vest within 60 days of the date of this 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(9)</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shares beneficially owned by TrueBridge Colonia Fund, u/a dated 11/15/2015. Mr. Poston has the power to direct the affairs of TrueBridge Colonia Fund, u/a dated 11/15/2015 as its trustee.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tx280778_6"/>
      <w:bookmarkEnd w:id="8"/>
      <w:r>
        <w:rPr>
          <w:rFonts w:ascii="Times New Roman" w:hAnsi="Times New Roman"/>
          <w:b/>
          <w:sz w:val="20"/>
        </w:rPr>
        <w:t xml:space="preserve">PLAN OF DISTRIBUTION </w:t>
      </w:r>
    </w:p>
    <w:p>
      <w:pPr>
        <w:pStyle w:val="TextBody"/>
        <w:spacing w:before="240" w:after="0"/>
        <w:jc w:val="left"/>
        <w:rPr>
          <w:rFonts w:ascii="Times New Roman" w:hAnsi="Times New Roman"/>
          <w:sz w:val="20"/>
        </w:rPr>
      </w:pPr>
      <w:r>
        <w:rPr>
          <w:rFonts w:ascii="Times New Roman" w:hAnsi="Times New Roman"/>
          <w:sz w:val="20"/>
        </w:rPr>
        <w:t xml:space="preserve">We are registering the Shares covered by this prospectus to permit the Selling Securityholders to conduct public secondary trading of these Shares from time to time after the date of this prospectus. We will not receive any of the proceeds of the sale of the Shares offered by this prospectus. The aggregate proceeds to the Selling Securityholders from the sale of the Shares will be the purchase price of the Shares less any discounts and commissions. We will not pay any brokers or underwriters discounts and commissions in connection with the registration and sale of the Shares covered by this prospectus. The Selling Securityholders reserve the right to accept and, together with their respective agents, to reject, any proposed purchases of Shares to be made directly or through agents. </w:t>
      </w:r>
    </w:p>
    <w:p>
      <w:pPr>
        <w:pStyle w:val="TextBody"/>
        <w:spacing w:before="240" w:after="0"/>
        <w:jc w:val="left"/>
        <w:rPr>
          <w:rFonts w:ascii="Times New Roman" w:hAnsi="Times New Roman"/>
          <w:sz w:val="20"/>
        </w:rPr>
      </w:pPr>
      <w:r>
        <w:rPr>
          <w:rFonts w:ascii="Times New Roman" w:hAnsi="Times New Roman"/>
          <w:sz w:val="20"/>
        </w:rPr>
        <w:t xml:space="preserve">The Shares offered by this prospectus may be sold from time to time to purchasers: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directly by the Selling Securityholders,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underwriters, broker-dealers or agents, who may receive compensation in the form of discounts, commissions or agents commissions from the Selling Securityholders or the purchasers of the Shares. </w:t>
            </w:r>
          </w:p>
        </w:tc>
      </w:tr>
    </w:tbl>
    <w:p>
      <w:pPr>
        <w:pStyle w:val="TextBody"/>
        <w:spacing w:before="240" w:after="0"/>
        <w:jc w:val="left"/>
        <w:rPr>
          <w:rFonts w:ascii="Times New Roman" w:hAnsi="Times New Roman"/>
          <w:sz w:val="20"/>
        </w:rPr>
      </w:pPr>
      <w:r>
        <w:rPr>
          <w:rFonts w:ascii="Times New Roman" w:hAnsi="Times New Roman"/>
          <w:sz w:val="20"/>
        </w:rPr>
        <w:t>Any underwriters, broker-dealers or agents who participate in the sale or distribution of the Shares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Securities Exchange Act of 1934, as amended (the </w:t>
      </w:r>
      <w:r>
        <w:rPr>
          <w:rFonts w:ascii="Times New Roman" w:hAnsi="Times New Roman"/>
          <w:b/>
          <w:sz w:val="20"/>
        </w:rPr>
        <w:t>Exchange Act</w:t>
      </w:r>
      <w:r>
        <w:rPr>
          <w:rFonts w:ascii="Times New Roman" w:hAnsi="Times New Roman"/>
          <w:sz w:val="20"/>
        </w:rPr>
        <w:t xml:space="preserve">). We will make copies of this prospectus available to the Selling Securityholders for the purpose of satisfying the prospectus delivery requirements of the Securities Act. To our knowledge, there are currently no plans, arrangements or understandings between the Selling Securityholders and any underwriter, broker-dealer or agent regarding the sale of the Shares by the Selling Securityholders. </w:t>
      </w:r>
    </w:p>
    <w:p>
      <w:pPr>
        <w:pStyle w:val="TextBody"/>
        <w:spacing w:before="240" w:after="0"/>
        <w:jc w:val="left"/>
        <w:rPr>
          <w:rFonts w:ascii="Times New Roman" w:hAnsi="Times New Roman"/>
          <w:sz w:val="20"/>
        </w:rPr>
      </w:pPr>
      <w:r>
        <w:rPr>
          <w:rFonts w:ascii="Times New Roman" w:hAnsi="Times New Roman"/>
          <w:sz w:val="20"/>
        </w:rPr>
        <w:t xml:space="preserve">The Shares may be sold in one or more transactions 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fixed prices;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prevailing market prices at the time of sale;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prices related to such prevailing market prices;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varying prices determined at the time of sale;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negotiated prices. </w:t>
            </w:r>
          </w:p>
        </w:tc>
      </w:tr>
    </w:tbl>
    <w:p>
      <w:pPr>
        <w:pStyle w:val="TextBody"/>
        <w:spacing w:before="240" w:after="0"/>
        <w:jc w:val="left"/>
        <w:rPr>
          <w:rFonts w:ascii="Times New Roman" w:hAnsi="Times New Roman"/>
          <w:sz w:val="20"/>
        </w:rPr>
      </w:pPr>
      <w:r>
        <w:rPr>
          <w:rFonts w:ascii="Times New Roman" w:hAnsi="Times New Roman"/>
          <w:sz w:val="20"/>
        </w:rPr>
        <w:t xml:space="preserve">These sales may be effected in one or more transactions: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any national securities exchange or quotation service on which the Shares may be listed or quoted at the time of sale, including the NYSE;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over-the-counter market;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transactions otherwise than on such exchanges or services or in the over-the-counter market;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method permitted by applicable law;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any combination of the foregoing. </w:t>
            </w:r>
          </w:p>
        </w:tc>
      </w:tr>
    </w:tbl>
    <w:p>
      <w:pPr>
        <w:pStyle w:val="TextBody"/>
        <w:spacing w:before="240" w:after="0"/>
        <w:jc w:val="left"/>
        <w:rPr>
          <w:rFonts w:ascii="Times New Roman" w:hAnsi="Times New Roman"/>
          <w:sz w:val="20"/>
        </w:rPr>
      </w:pPr>
      <w:r>
        <w:rPr>
          <w:rFonts w:ascii="Times New Roman" w:hAnsi="Times New Roman"/>
          <w:sz w:val="20"/>
        </w:rPr>
        <w:t xml:space="preserve">These transactions may include block transactions or crosses. Crosses are transactions in which the same broker acts as an agent on both sides of the trade. </w:t>
      </w:r>
    </w:p>
    <w:p>
      <w:pPr>
        <w:pStyle w:val="TextBody"/>
        <w:spacing w:before="240" w:after="0"/>
        <w:jc w:val="left"/>
        <w:rPr>
          <w:rFonts w:ascii="Times New Roman" w:hAnsi="Times New Roman"/>
          <w:sz w:val="20"/>
        </w:rPr>
      </w:pPr>
      <w:r>
        <w:rPr>
          <w:rFonts w:ascii="Times New Roman" w:hAnsi="Times New Roman"/>
          <w:sz w:val="20"/>
        </w:rPr>
        <w:t xml:space="preserve">At the time a particular offering of the Shares is made, a prospectus supplement, if required, will be distributed, which will set forth the name of the Selling Securityholders, the aggregate amount of Shares being offered and the terms of the offering, including, to the extent required, (1) the name or names of any underwriters, broker-dealers or agents, (2) any discounts, commissions and other terms constituting compensation from the Selling Securityholders and (3) any discounts, commissions or concessions allowed or reallowed to be paid to broker-dealers. </w:t>
      </w:r>
    </w:p>
    <w:p>
      <w:pPr>
        <w:pStyle w:val="TextBody"/>
        <w:spacing w:before="240" w:after="0"/>
        <w:jc w:val="left"/>
        <w:rPr>
          <w:rFonts w:ascii="Times New Roman" w:hAnsi="Times New Roman"/>
          <w:sz w:val="20"/>
        </w:rPr>
      </w:pPr>
      <w:r>
        <w:rPr>
          <w:rFonts w:ascii="Times New Roman" w:hAnsi="Times New Roman"/>
          <w:sz w:val="20"/>
        </w:rPr>
        <w:t xml:space="preserve">The Selling Securityholders will act independently of us in making decisions with respect to the timing, manner, and size of each resale or other transfer. There can be no assurance that the Selling Securityholders will sell any or all of the Shares under this prospectus. Further, we cannot assure you that the Selling Securityholders will not transfer, distribute, devise or gift the Shares by other means not described in this prospectus. In addition, any Shares covered by this prospectus that qualify for sale under Rule 144 of the Securities Act may be sold under Rule 144 rather than under this prospectus. The Shares may be sold in some states only through registered or licensed brokers or dealers. In addition, in some states the Shares may not be sold unless they have been registered or qualified for sale or an exemption from registration or qualification is available and complied with.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Selling Securityholders and any other person participating in the sale of the Shares will be subject to the Exchange Act. The Exchange Act rules include, without limitation, Regulation M, which may limit the timing of purchases and sales of any of the Shares by the Selling Securityholders and any other person. In addition, Regulation M may restrict the ability of any person engaged in the distribution of the Shares to engage in market-making activities with respect to the particular Shares being distributed. This may affect the marketability of the Shares and the ability of any person or entity to engage in market-making activities with respect to the Shares. </w:t>
      </w:r>
    </w:p>
    <w:p>
      <w:pPr>
        <w:pStyle w:val="TextBody"/>
        <w:spacing w:before="240" w:after="0"/>
        <w:jc w:val="left"/>
        <w:rPr>
          <w:rFonts w:ascii="Times New Roman" w:hAnsi="Times New Roman"/>
          <w:sz w:val="20"/>
        </w:rPr>
      </w:pPr>
      <w:r>
        <w:rPr>
          <w:rFonts w:ascii="Times New Roman" w:hAnsi="Times New Roman"/>
          <w:sz w:val="20"/>
        </w:rPr>
        <w:t xml:space="preserve">The Selling Securityholders may indemnify any broker or underwriter that participates in transactions involving the sale of the Shares against certain liabilities, including liabilities arising under the Securities Act. </w:t>
      </w:r>
    </w:p>
    <w:p>
      <w:pPr>
        <w:pStyle w:val="TextBody"/>
        <w:spacing w:before="480" w:after="0"/>
        <w:jc w:val="center"/>
        <w:rPr>
          <w:rFonts w:ascii="Times New Roman" w:hAnsi="Times New Roman"/>
          <w:b/>
          <w:sz w:val="20"/>
        </w:rPr>
      </w:pPr>
      <w:bookmarkStart w:id="9" w:name="tx280778_7"/>
      <w:bookmarkEnd w:id="9"/>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The validity of the issuance of the securities offered by this prospectus will be passed upon for us by Baker &amp; Hostetler LLP. </w:t>
      </w:r>
    </w:p>
    <w:p>
      <w:pPr>
        <w:pStyle w:val="TextBody"/>
        <w:spacing w:before="480" w:after="0"/>
        <w:jc w:val="center"/>
        <w:rPr>
          <w:rFonts w:ascii="Times New Roman" w:hAnsi="Times New Roman"/>
          <w:b/>
          <w:sz w:val="20"/>
        </w:rPr>
      </w:pPr>
      <w:bookmarkStart w:id="10" w:name="tx280778_8"/>
      <w:bookmarkEnd w:id="10"/>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P10, Inc. as of December 31, 2021 and 2020, and for each of the years in the three-year period ended December 31, 2021, have been incorporated by reference herein, in reliance upon the report of KPMG LLP, independent registered public accounting firm, incorporated by reference herein, and upon the authority of said firm as experts in accounting and auditing. </w:t>
      </w:r>
    </w:p>
    <w:p>
      <w:pPr>
        <w:pStyle w:val="TextBody"/>
        <w:spacing w:before="480" w:after="0"/>
        <w:jc w:val="center"/>
        <w:rPr>
          <w:rFonts w:ascii="Times New Roman" w:hAnsi="Times New Roman"/>
          <w:b/>
          <w:sz w:val="20"/>
        </w:rPr>
      </w:pPr>
      <w:bookmarkStart w:id="11" w:name="tx280778_9"/>
      <w:bookmarkEnd w:id="11"/>
      <w:r>
        <w:rPr>
          <w:rFonts w:ascii="Times New Roman" w:hAnsi="Times New Roman"/>
          <w:b/>
          <w:sz w:val="20"/>
        </w:rPr>
        <w:t xml:space="preserve">INCORPORATION OF CERTAIN DOCUMENTS BY REFERENCE </w:t>
      </w:r>
    </w:p>
    <w:p>
      <w:pPr>
        <w:pStyle w:val="TextBody"/>
        <w:spacing w:before="240" w:after="0"/>
        <w:jc w:val="left"/>
        <w:rPr>
          <w:rFonts w:ascii="Times New Roman" w:hAnsi="Times New Roman"/>
          <w:sz w:val="20"/>
        </w:rPr>
      </w:pPr>
      <w:r>
        <w:rPr>
          <w:rFonts w:ascii="Times New Roman" w:hAnsi="Times New Roman"/>
          <w:sz w:val="20"/>
        </w:rPr>
        <w:t xml:space="preserve">The following documents filed with the SEC are hereby incorporated by reference in this prospectus (unless otherwise noted, the SEC file number for each of the documents listed below is 001-40937):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8"/>
        <w:gridCol w:w="102"/>
        <w:gridCol w:w="8878"/>
      </w:tblGrid>
      <w:tr>
        <w:trPr/>
        <w:tc>
          <w:tcPr>
            <w:tcW w:w="101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8" w:type="dxa"/>
            <w:tcBorders/>
            <w:shd w:fill="auto" w:val="clear"/>
          </w:tcPr>
          <w:p>
            <w:pPr>
              <w:pStyle w:val="TableContents"/>
              <w:spacing w:before="0" w:after="0"/>
              <w:jc w:val="left"/>
              <w:rPr/>
            </w:pPr>
            <w:r>
              <w:rPr>
                <w:rFonts w:ascii="Times New Roman" w:hAnsi="Times New Roman"/>
                <w:sz w:val="20"/>
              </w:rPr>
              <w:t xml:space="preserve">The Companys Annual Report on </w:t>
            </w:r>
            <w:hyperlink r:id="rId2">
              <w:r>
                <w:rPr>
                  <w:rStyle w:val="InternetLink"/>
                  <w:rFonts w:ascii="Times New Roman" w:hAnsi="Times New Roman"/>
                  <w:sz w:val="20"/>
                </w:rPr>
                <w:t>Form 10-K</w:t>
              </w:r>
            </w:hyperlink>
            <w:r>
              <w:rPr>
                <w:rFonts w:ascii="Times New Roman" w:hAnsi="Times New Roman"/>
                <w:sz w:val="20"/>
              </w:rPr>
              <w:t xml:space="preserve"> filed with the Commission on March 21, 2022 (File No. 001-40937);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8"/>
        <w:gridCol w:w="102"/>
        <w:gridCol w:w="8878"/>
      </w:tblGrid>
      <w:tr>
        <w:trPr/>
        <w:tc>
          <w:tcPr>
            <w:tcW w:w="101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8" w:type="dxa"/>
            <w:tcBorders/>
            <w:shd w:fill="auto" w:val="clear"/>
          </w:tcPr>
          <w:p>
            <w:pPr>
              <w:pStyle w:val="TableContents"/>
              <w:spacing w:before="0" w:after="0"/>
              <w:jc w:val="left"/>
              <w:rPr/>
            </w:pPr>
            <w:r>
              <w:rPr>
                <w:rFonts w:ascii="Times New Roman" w:hAnsi="Times New Roman"/>
                <w:sz w:val="20"/>
              </w:rPr>
              <w:t xml:space="preserve">The Companys Current Report on </w:t>
            </w:r>
            <w:hyperlink r:id="rId3">
              <w:r>
                <w:rPr>
                  <w:rStyle w:val="InternetLink"/>
                  <w:rFonts w:ascii="Times New Roman" w:hAnsi="Times New Roman"/>
                  <w:sz w:val="20"/>
                </w:rPr>
                <w:t>Form 8-K</w:t>
              </w:r>
            </w:hyperlink>
            <w:r>
              <w:rPr>
                <w:rFonts w:ascii="Times New Roman" w:hAnsi="Times New Roman"/>
                <w:sz w:val="20"/>
              </w:rPr>
              <w:t xml:space="preserve"> filed with the Commission on March 4, 2022 (File No. 001-40937);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203"/>
        <w:gridCol w:w="102"/>
        <w:gridCol w:w="8880"/>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pPr>
            <w:r>
              <w:rPr>
                <w:rFonts w:ascii="Times New Roman" w:hAnsi="Times New Roman"/>
                <w:sz w:val="20"/>
              </w:rPr>
              <w:t xml:space="preserve">The description of the Companys </w:t>
            </w:r>
            <w:hyperlink r:id="rId4">
              <w:r>
                <w:rPr>
                  <w:rStyle w:val="InternetLink"/>
                  <w:rFonts w:ascii="Times New Roman" w:hAnsi="Times New Roman"/>
                  <w:sz w:val="20"/>
                </w:rPr>
                <w:t>Common Stock</w:t>
              </w:r>
            </w:hyperlink>
            <w:r>
              <w:rPr>
                <w:rFonts w:ascii="Times New Roman" w:hAnsi="Times New Roman"/>
                <w:sz w:val="20"/>
              </w:rPr>
              <w:t xml:space="preserve"> contained in Prospectus filed pursuant to Rule 424(b)(4) on October 22, 2021, including any amendment or report filed for the purpose of updating such description;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5"/>
        <w:gridCol w:w="102"/>
        <w:gridCol w:w="8881"/>
      </w:tblGrid>
      <w:tr>
        <w:trPr/>
        <w:tc>
          <w:tcPr>
            <w:tcW w:w="1017"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pPr>
            <w:r>
              <w:rPr>
                <w:rFonts w:ascii="Times New Roman" w:hAnsi="Times New Roman"/>
                <w:sz w:val="20"/>
              </w:rPr>
              <w:t xml:space="preserve">The description of the Registrants Common Stock included in the Registrants Registration Statement on </w:t>
            </w:r>
            <w:hyperlink r:id="rId5">
              <w:r>
                <w:rPr>
                  <w:rStyle w:val="InternetLink"/>
                  <w:rFonts w:ascii="Times New Roman" w:hAnsi="Times New Roman"/>
                  <w:sz w:val="20"/>
                </w:rPr>
                <w:t>Form 8-A</w:t>
              </w:r>
            </w:hyperlink>
            <w:r>
              <w:rPr>
                <w:rFonts w:ascii="Times New Roman" w:hAnsi="Times New Roman"/>
                <w:sz w:val="20"/>
              </w:rPr>
              <w:t xml:space="preserve"> under the Exchange Act filed with the SEC on October 19, 2021, including any amendment or report filed for the purpose of updating such description. </w:t>
            </w:r>
          </w:p>
        </w:tc>
      </w:tr>
    </w:tbl>
    <w:p>
      <w:pPr>
        <w:pStyle w:val="TextBody"/>
        <w:spacing w:before="240" w:after="0"/>
        <w:jc w:val="left"/>
        <w:rPr>
          <w:rFonts w:ascii="Times New Roman" w:hAnsi="Times New Roman"/>
          <w:sz w:val="20"/>
        </w:rPr>
      </w:pPr>
      <w:r>
        <w:rPr>
          <w:rFonts w:ascii="Times New Roman" w:hAnsi="Times New Roman"/>
          <w:sz w:val="20"/>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SEC shall not be deemed incorporated by reference into this Registration Statement. </w:t>
      </w:r>
    </w:p>
    <w:p>
      <w:pPr>
        <w:pStyle w:val="TextBody"/>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spacing w:before="480" w:after="0"/>
        <w:jc w:val="center"/>
        <w:rPr>
          <w:rFonts w:ascii="Times New Roman" w:hAnsi="Times New Roman"/>
          <w:b/>
          <w:sz w:val="20"/>
        </w:rPr>
      </w:pPr>
      <w:bookmarkStart w:id="12" w:name="tx280778_10"/>
      <w:bookmarkEnd w:id="12"/>
      <w:r>
        <w:rPr>
          <w:rFonts w:ascii="Times New Roman" w:hAnsi="Times New Roman"/>
          <w:b/>
          <w:sz w:val="20"/>
        </w:rPr>
        <w:t xml:space="preserve">DISCLOSURE OF COMMISSION POSITION ON INDEMNIFICATION </w:t>
      </w:r>
    </w:p>
    <w:p>
      <w:pPr>
        <w:pStyle w:val="TextBody"/>
        <w:spacing w:before="0" w:after="0"/>
        <w:jc w:val="center"/>
        <w:rPr>
          <w:rFonts w:ascii="Times New Roman" w:hAnsi="Times New Roman"/>
          <w:b/>
          <w:sz w:val="20"/>
        </w:rPr>
      </w:pPr>
      <w:r>
        <w:rPr>
          <w:rFonts w:ascii="Times New Roman" w:hAnsi="Times New Roman"/>
          <w:b/>
          <w:sz w:val="20"/>
        </w:rPr>
        <w:t xml:space="preserve">FOR SECURITIES ACT LIABILITIES </w:t>
      </w:r>
    </w:p>
    <w:p>
      <w:pPr>
        <w:pStyle w:val="TextBody"/>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the registrant, the registrant has been informed that in the opinion of the Commission such indemnification is against public policy as expressed in the Securities Act and is therefore unenforceable.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tx280778_11"/>
      <w:bookmarkEnd w:id="13"/>
      <w:r>
        <w:rPr>
          <w:rFonts w:ascii="Times New Roman" w:hAnsi="Times New Roman"/>
          <w:b/>
          <w:sz w:val="20"/>
        </w:rPr>
        <w:t xml:space="preserve">WHERE YOU CAN FIND MORE INFORMATION </w:t>
      </w:r>
    </w:p>
    <w:p>
      <w:pPr>
        <w:pStyle w:val="TextBody"/>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by linking directly from our website at https://www.p10alts.com/. These filings will be available as soon as reasonably practicable after we electronically file such material with, or furnish it to, the SEC. Information contained on our website is not part of this prospectus. </w:t>
      </w:r>
    </w:p>
    <w:p>
      <w:pPr>
        <w:pStyle w:val="TextBody"/>
        <w:spacing w:before="240" w:after="0"/>
        <w:jc w:val="left"/>
        <w:rPr>
          <w:rFonts w:ascii="Times New Roman" w:hAnsi="Times New Roman"/>
          <w:sz w:val="20"/>
        </w:rPr>
      </w:pPr>
      <w:r>
        <w:rPr>
          <w:rFonts w:ascii="Times New Roman" w:hAnsi="Times New Roman"/>
          <w:sz w:val="20"/>
        </w:rPr>
        <w:t xml:space="preserve">The Registrant hereby undertakes to provide without charge to each person, including any beneficial owner, to whom a copy of this prospectus is delivered, upon written or oral request of any such person, a copy of any and all of the information that has been incorporated by reference in this prospectus but not delivered with the prospectus other than the exhibits to those documents, unless the exhibits are specifically incorporated by reference into the information that this prospectus incorporates. Requests for documents should be directed to P10, Inc., Attention: Office Manager, P10, Inc., 4514 Cole Avenue, Suite 1600, Dallas, Texas 75205, Tel: (214) 865-7998, Email: info@p10alts.com.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P10, INC.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8"/>
        </w:rPr>
      </w:pPr>
      <w:r>
        <w:rPr>
          <w:rFonts w:ascii="Times New Roman" w:hAnsi="Times New Roman"/>
          <w:b/>
          <w:sz w:val="28"/>
        </w:rPr>
        <w:t xml:space="preserve">603,822 SHARES OF CLASS A COMMON STOCK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 xml:space="preserve">REOFFER PROSPECTUS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May 12, 2022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16" w:space="1" w:color="000000"/>
        </w:pBdr>
        <w:spacing w:lineRule="atLeast" w:line="141" w:before="0" w:after="40"/>
        <w:jc w:val="left"/>
        <w:rPr/>
      </w:pPr>
      <w:r>
        <w:rPr/>
        <w:t>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24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spacing w:before="120" w:after="0"/>
        <w:jc w:val="left"/>
        <w:rPr>
          <w:rFonts w:ascii="Times New Roman" w:hAnsi="Times New Roman"/>
          <w:sz w:val="20"/>
        </w:rPr>
      </w:pPr>
      <w:r>
        <w:rPr>
          <w:rFonts w:ascii="Times New Roman" w:hAnsi="Times New Roman"/>
          <w:sz w:val="20"/>
        </w:rPr>
        <w:t xml:space="preserve">The following documents filed with the SEC are hereby incorporated by reference in this Registration Statement (unless otherwise noted, the SEC file number for each of the documents listed below is 001-40937):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pPr>
            <w:r>
              <w:rPr>
                <w:rFonts w:ascii="Times New Roman" w:hAnsi="Times New Roman"/>
                <w:sz w:val="20"/>
              </w:rPr>
              <w:t xml:space="preserve">The Companys Annual Report on </w:t>
            </w:r>
            <w:hyperlink r:id="rId6">
              <w:r>
                <w:rPr>
                  <w:rStyle w:val="InternetLink"/>
                  <w:rFonts w:ascii="Times New Roman" w:hAnsi="Times New Roman"/>
                  <w:sz w:val="20"/>
                </w:rPr>
                <w:t>Form 10-K</w:t>
              </w:r>
            </w:hyperlink>
            <w:r>
              <w:rPr>
                <w:rFonts w:ascii="Times New Roman" w:hAnsi="Times New Roman"/>
                <w:sz w:val="20"/>
              </w:rPr>
              <w:t xml:space="preserve"> filed with the Commission on March 21, 2022 (File No. 001-40937);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pPr>
            <w:r>
              <w:rPr>
                <w:rFonts w:ascii="Times New Roman" w:hAnsi="Times New Roman"/>
                <w:sz w:val="20"/>
              </w:rPr>
              <w:t xml:space="preserve">The Companys Current Report on </w:t>
            </w:r>
            <w:hyperlink r:id="rId7">
              <w:r>
                <w:rPr>
                  <w:rStyle w:val="InternetLink"/>
                  <w:rFonts w:ascii="Times New Roman" w:hAnsi="Times New Roman"/>
                  <w:sz w:val="20"/>
                </w:rPr>
                <w:t>Form 8-K</w:t>
              </w:r>
            </w:hyperlink>
            <w:r>
              <w:rPr>
                <w:rFonts w:ascii="Times New Roman" w:hAnsi="Times New Roman"/>
                <w:sz w:val="20"/>
              </w:rPr>
              <w:t xml:space="preserve"> filed with the Commission on March 4, 2022 (File No. 001-40937);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The description of the Companys </w:t>
            </w:r>
            <w:hyperlink r:id="rId8">
              <w:r>
                <w:rPr>
                  <w:rStyle w:val="InternetLink"/>
                  <w:rFonts w:ascii="Times New Roman" w:hAnsi="Times New Roman"/>
                  <w:sz w:val="20"/>
                </w:rPr>
                <w:t>Common Stock</w:t>
              </w:r>
            </w:hyperlink>
            <w:r>
              <w:rPr>
                <w:rFonts w:ascii="Times New Roman" w:hAnsi="Times New Roman"/>
                <w:sz w:val="20"/>
              </w:rPr>
              <w:t xml:space="preserve"> contained in Prospectus filed pursuant to Rule 424(b)(4) on October 22, 2021, including any amendment or report filed for the purpose of updating such description;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Times New Roman" w:hAnsi="Times New Roman"/>
                <w:sz w:val="20"/>
              </w:rPr>
              <w:t xml:space="preserve">The description of the Registrants Common Stock included in the Registrants Registration Statement on </w:t>
            </w:r>
            <w:hyperlink r:id="rId9">
              <w:r>
                <w:rPr>
                  <w:rStyle w:val="InternetLink"/>
                  <w:rFonts w:ascii="Times New Roman" w:hAnsi="Times New Roman"/>
                  <w:sz w:val="20"/>
                </w:rPr>
                <w:t>Form 8-A</w:t>
              </w:r>
            </w:hyperlink>
            <w:r>
              <w:rPr>
                <w:rFonts w:ascii="Times New Roman" w:hAnsi="Times New Roman"/>
                <w:sz w:val="20"/>
              </w:rPr>
              <w:t xml:space="preserve"> under the Exchange Act filed with the SEC on October 19, 2021, including any amendment or report filed for the purpose of updating such description. </w:t>
            </w:r>
          </w:p>
        </w:tc>
      </w:tr>
    </w:tbl>
    <w:p>
      <w:pPr>
        <w:pStyle w:val="TextBody"/>
        <w:spacing w:before="240" w:after="0"/>
        <w:jc w:val="left"/>
        <w:rPr>
          <w:rFonts w:ascii="Times New Roman" w:hAnsi="Times New Roman"/>
          <w:sz w:val="20"/>
        </w:rPr>
      </w:pPr>
      <w:r>
        <w:rPr>
          <w:rFonts w:ascii="Times New Roman" w:hAnsi="Times New Roman"/>
          <w:sz w:val="20"/>
        </w:rPr>
        <w:t>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spacing w:before="360" w:after="0"/>
        <w:jc w:val="left"/>
        <w:rPr>
          <w:rFonts w:ascii="Times New Roman" w:hAnsi="Times New Roman"/>
          <w:b/>
          <w:sz w:val="20"/>
        </w:rPr>
      </w:pPr>
      <w:r>
        <w:rPr>
          <w:rFonts w:ascii="Times New Roman" w:hAnsi="Times New Roman"/>
          <w:b/>
          <w:sz w:val="20"/>
        </w:rPr>
        <w:t xml:space="preserve">Item 4. Description of Securities. </w:t>
      </w:r>
    </w:p>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spacing w:before="120" w:after="0"/>
        <w:jc w:val="left"/>
        <w:rPr>
          <w:rFonts w:ascii="Times New Roman" w:hAnsi="Times New Roman"/>
          <w:sz w:val="20"/>
        </w:rPr>
      </w:pPr>
      <w:r>
        <w:rPr>
          <w:rFonts w:ascii="Times New Roman" w:hAnsi="Times New Roman"/>
          <w:sz w:val="20"/>
        </w:rPr>
        <w:t xml:space="preserve">As permitted by Delaware law, our amended and restated certificate of incorporation provides that no director will be liable to us or our stockholders for monetary damages for breach of fiduciary duty as a director. The effect of this provision is to restrict our rights and the rights of our stockholders in derivative suits to recover monetary damages against a director for breach of certain fiduciary duties as a director. This provision does not affect a directors liability under the federal securities laws. We maintain directors and officers liability insurance in order to limit the exposure to liability for indemnification of directors and officers, including liabilities under the Securities Act. </w:t>
      </w:r>
    </w:p>
    <w:p>
      <w:pPr>
        <w:pStyle w:val="TextBody"/>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spacing w:before="120" w:after="0"/>
        <w:jc w:val="left"/>
        <w:rPr>
          <w:rFonts w:ascii="Times New Roman" w:hAnsi="Times New Roman"/>
          <w:sz w:val="20"/>
        </w:rPr>
      </w:pPr>
      <w:r>
        <w:rPr>
          <w:rFonts w:ascii="Times New Roman" w:hAnsi="Times New Roman"/>
          <w:sz w:val="20"/>
        </w:rPr>
        <w:t xml:space="preserve">The issuance of the Shares being offered by the resale prospectus included in this Form S-8 registration statement were deemed to be exempt from registration under the Securities Act in reliance upon Section 4(a)(2) of the Securities Act (or Regulation D or Regulation S promulgated thereunder) as transactions by an issuer not involving any public offering and/or Rule 701 under the Securities Act for offers and sales to grantees pursuant to certain written compensatory benefit plans and contracts relating to compensation as provided thereunder.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the Registrant. </w:t>
      </w:r>
    </w:p>
    <w:p>
      <w:pPr>
        <w:pStyle w:val="TextBody"/>
        <w:spacing w:before="360" w:after="0"/>
        <w:jc w:val="left"/>
        <w:rPr>
          <w:rFonts w:ascii="Times New Roman" w:hAnsi="Times New Roman"/>
          <w:b/>
          <w:sz w:val="20"/>
        </w:rPr>
      </w:pPr>
      <w:r>
        <w:rPr>
          <w:rFonts w:ascii="Times New Roman" w:hAnsi="Times New Roman"/>
          <w:b/>
          <w:sz w:val="20"/>
        </w:rPr>
        <w:t xml:space="preserve">Item 8. Exhibits. </w:t>
      </w:r>
    </w:p>
    <w:p>
      <w:pPr>
        <w:pStyle w:val="TextBody"/>
        <w:spacing w:before="48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04"/>
        <w:gridCol w:w="196"/>
        <w:gridCol w:w="4551"/>
        <w:gridCol w:w="142"/>
        <w:gridCol w:w="802"/>
        <w:gridCol w:w="142"/>
        <w:gridCol w:w="1032"/>
        <w:gridCol w:w="142"/>
        <w:gridCol w:w="835"/>
        <w:gridCol w:w="142"/>
        <w:gridCol w:w="1617"/>
      </w:tblGrid>
      <w:tr>
        <w:trPr/>
        <w:tc>
          <w:tcPr>
            <w:tcW w:w="60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455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455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712" w:type="dxa"/>
            <w:gridSpan w:val="7"/>
            <w:tcBorders/>
            <w:shd w:fill="auto" w:val="clear"/>
            <w:vAlign w:val="bottom"/>
          </w:tcPr>
          <w:p>
            <w:pPr>
              <w:pStyle w:val="TableContents"/>
              <w:spacing w:before="0" w:after="283"/>
              <w:jc w:val="center"/>
              <w:rPr>
                <w:b/>
              </w:rPr>
            </w:pPr>
            <w:r>
              <w:rPr>
                <w:b/>
              </w:rPr>
              <w:t>Incorporated by Reference</w:t>
            </w:r>
          </w:p>
        </w:tc>
      </w:tr>
      <w:tr>
        <w:trPr/>
        <w:tc>
          <w:tcPr>
            <w:tcW w:w="604" w:type="dxa"/>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spacing w:before="0" w:after="20"/>
              <w:jc w:val="left"/>
              <w:rPr>
                <w:rFonts w:ascii="Times New Roman" w:hAnsi="Times New Roman"/>
                <w:b/>
                <w:sz w:val="16"/>
              </w:rPr>
            </w:pPr>
            <w:r>
              <w:rPr>
                <w:rFonts w:ascii="Times New Roman" w:hAnsi="Times New Roman"/>
                <w:b/>
                <w:sz w:val="16"/>
              </w:rPr>
              <w:t>Number</w:t>
            </w:r>
          </w:p>
        </w:tc>
        <w:tc>
          <w:tcPr>
            <w:tcW w:w="196" w:type="dxa"/>
            <w:tcBorders/>
            <w:shd w:fill="auto" w:val="clear"/>
            <w:vAlign w:val="bottom"/>
          </w:tcPr>
          <w:p>
            <w:pPr>
              <w:pStyle w:val="TableContents"/>
              <w:spacing w:before="0" w:after="283"/>
              <w:rPr/>
            </w:pPr>
            <w:r>
              <w:rPr/>
              <w:t>  </w:t>
            </w:r>
          </w:p>
        </w:tc>
        <w:tc>
          <w:tcPr>
            <w:tcW w:w="4551" w:type="dxa"/>
            <w:tcBorders/>
            <w:shd w:fill="auto" w:val="clear"/>
            <w:vAlign w:val="bottom"/>
          </w:tcPr>
          <w:p>
            <w:pPr>
              <w:pStyle w:val="TableContents"/>
              <w:spacing w:before="0" w:after="283"/>
              <w:jc w:val="center"/>
              <w:rPr>
                <w:b/>
              </w:rPr>
            </w:pPr>
            <w:r>
              <w:rPr>
                <w:b/>
              </w:rPr>
              <w:t>Description</w:t>
            </w:r>
          </w:p>
        </w:tc>
        <w:tc>
          <w:tcPr>
            <w:tcW w:w="14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Schedule</w:t>
            </w:r>
          </w:p>
          <w:p>
            <w:pPr>
              <w:pStyle w:val="TableContents"/>
              <w:spacing w:before="0" w:after="20"/>
              <w:jc w:val="center"/>
              <w:rPr>
                <w:rFonts w:ascii="Times New Roman" w:hAnsi="Times New Roman"/>
                <w:b/>
                <w:sz w:val="16"/>
              </w:rPr>
            </w:pPr>
            <w:r>
              <w:rPr>
                <w:rFonts w:ascii="Times New Roman" w:hAnsi="Times New Roman"/>
                <w:b/>
                <w:sz w:val="16"/>
              </w:rPr>
              <w:t>Form</w:t>
            </w:r>
          </w:p>
        </w:tc>
        <w:tc>
          <w:tcPr>
            <w:tcW w:w="142"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File</w:t>
            </w:r>
          </w:p>
          <w:p>
            <w:pPr>
              <w:pStyle w:val="TableContents"/>
              <w:spacing w:before="0" w:after="20"/>
              <w:jc w:val="center"/>
              <w:rPr>
                <w:rFonts w:ascii="Times New Roman" w:hAnsi="Times New Roman"/>
                <w:b/>
                <w:sz w:val="16"/>
              </w:rPr>
            </w:pPr>
            <w:r>
              <w:rPr>
                <w:rFonts w:ascii="Times New Roman" w:hAnsi="Times New Roman"/>
                <w:b/>
                <w:sz w:val="16"/>
              </w:rPr>
              <w:t>Number</w:t>
            </w:r>
          </w:p>
        </w:tc>
        <w:tc>
          <w:tcPr>
            <w:tcW w:w="14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center"/>
              <w:rPr>
                <w:b/>
              </w:rPr>
            </w:pPr>
            <w:r>
              <w:rPr>
                <w:b/>
              </w:rPr>
              <w:t>Exhibit</w:t>
            </w:r>
          </w:p>
        </w:tc>
        <w:tc>
          <w:tcPr>
            <w:tcW w:w="142"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Filing</w:t>
            </w:r>
          </w:p>
          <w:p>
            <w:pPr>
              <w:pStyle w:val="TableContents"/>
              <w:spacing w:before="0" w:after="20"/>
              <w:jc w:val="center"/>
              <w:rPr>
                <w:rFonts w:ascii="Times New Roman" w:hAnsi="Times New Roman"/>
                <w:b/>
                <w:sz w:val="16"/>
              </w:rPr>
            </w:pPr>
            <w:r>
              <w:rPr>
                <w:rFonts w:ascii="Times New Roman" w:hAnsi="Times New Roman"/>
                <w:b/>
                <w:sz w:val="16"/>
              </w:rPr>
              <w:t>Date</w:t>
            </w:r>
          </w:p>
        </w:tc>
      </w:tr>
      <w:tr>
        <w:trPr>
          <w:trHeight w:val="120" w:hRule="atLeast"/>
        </w:trPr>
        <w:tc>
          <w:tcPr>
            <w:tcW w:w="604" w:type="dxa"/>
            <w:tcBorders/>
            <w:shd w:fill="auto" w:val="clear"/>
            <w:vAlign w:val="center"/>
          </w:tcPr>
          <w:p>
            <w:pPr>
              <w:pStyle w:val="TableContents"/>
              <w:spacing w:before="0" w:after="283"/>
              <w:rPr>
                <w:sz w:val="4"/>
                <w:szCs w:val="4"/>
              </w:rPr>
            </w:pPr>
            <w:r>
              <w:rPr>
                <w:sz w:val="4"/>
                <w:szCs w:val="4"/>
              </w:rPr>
            </w:r>
          </w:p>
        </w:tc>
        <w:tc>
          <w:tcPr>
            <w:tcW w:w="4747" w:type="dxa"/>
            <w:gridSpan w:val="2"/>
            <w:tcBorders/>
            <w:shd w:fill="auto" w:val="clear"/>
            <w:vAlign w:val="center"/>
          </w:tcPr>
          <w:p>
            <w:pPr>
              <w:pStyle w:val="TableContents"/>
              <w:spacing w:before="0" w:after="283"/>
              <w:rPr>
                <w:sz w:val="4"/>
                <w:szCs w:val="4"/>
              </w:rPr>
            </w:pPr>
            <w:r>
              <w:rPr>
                <w:sz w:val="4"/>
                <w:szCs w:val="4"/>
              </w:rPr>
            </w:r>
          </w:p>
        </w:tc>
        <w:tc>
          <w:tcPr>
            <w:tcW w:w="944" w:type="dxa"/>
            <w:gridSpan w:val="2"/>
            <w:tcBorders/>
            <w:shd w:fill="auto" w:val="clear"/>
            <w:vAlign w:val="center"/>
          </w:tcPr>
          <w:p>
            <w:pPr>
              <w:pStyle w:val="TableContents"/>
              <w:spacing w:before="0" w:after="283"/>
              <w:rPr>
                <w:sz w:val="4"/>
                <w:szCs w:val="4"/>
              </w:rPr>
            </w:pPr>
            <w:r>
              <w:rPr>
                <w:sz w:val="4"/>
                <w:szCs w:val="4"/>
              </w:rPr>
            </w:r>
          </w:p>
        </w:tc>
        <w:tc>
          <w:tcPr>
            <w:tcW w:w="1174" w:type="dxa"/>
            <w:gridSpan w:val="2"/>
            <w:tcBorders/>
            <w:shd w:fill="auto" w:val="clear"/>
            <w:vAlign w:val="center"/>
          </w:tcPr>
          <w:p>
            <w:pPr>
              <w:pStyle w:val="TableContents"/>
              <w:spacing w:before="0" w:after="283"/>
              <w:rPr>
                <w:sz w:val="4"/>
                <w:szCs w:val="4"/>
              </w:rPr>
            </w:pPr>
            <w:r>
              <w:rPr>
                <w:sz w:val="4"/>
                <w:szCs w:val="4"/>
              </w:rPr>
            </w:r>
          </w:p>
        </w:tc>
        <w:tc>
          <w:tcPr>
            <w:tcW w:w="977" w:type="dxa"/>
            <w:gridSpan w:val="2"/>
            <w:tcBorders/>
            <w:shd w:fill="auto" w:val="clear"/>
            <w:vAlign w:val="center"/>
          </w:tcPr>
          <w:p>
            <w:pPr>
              <w:pStyle w:val="TableContents"/>
              <w:spacing w:before="0" w:after="283"/>
              <w:rPr>
                <w:sz w:val="4"/>
                <w:szCs w:val="4"/>
              </w:rPr>
            </w:pPr>
            <w:r>
              <w:rPr>
                <w:sz w:val="4"/>
                <w:szCs w:val="4"/>
              </w:rPr>
            </w:r>
          </w:p>
        </w:tc>
        <w:tc>
          <w:tcPr>
            <w:tcW w:w="1759"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vAlign w:val="bottom"/>
          </w:tcPr>
          <w:p>
            <w:pPr>
              <w:pStyle w:val="TableContents"/>
              <w:spacing w:before="0" w:after="283"/>
              <w:rPr/>
            </w:pPr>
            <w:r>
              <w:rPr/>
              <w:t>4.1</w:t>
            </w:r>
          </w:p>
        </w:tc>
        <w:tc>
          <w:tcPr>
            <w:tcW w:w="196" w:type="dxa"/>
            <w:tcBorders/>
            <w:shd w:fill="auto" w:val="clear"/>
            <w:vAlign w:val="bottom"/>
          </w:tcPr>
          <w:p>
            <w:pPr>
              <w:pStyle w:val="TableContents"/>
              <w:spacing w:before="0" w:after="283"/>
              <w:rPr/>
            </w:pPr>
            <w:r>
              <w:rPr/>
              <w:t>  </w:t>
            </w:r>
          </w:p>
        </w:tc>
        <w:tc>
          <w:tcPr>
            <w:tcW w:w="4551" w:type="dxa"/>
            <w:tcBorders/>
            <w:shd w:fill="auto" w:val="clear"/>
            <w:vAlign w:val="bottom"/>
          </w:tcPr>
          <w:p>
            <w:pPr>
              <w:pStyle w:val="TableContents"/>
              <w:spacing w:before="0" w:after="283"/>
              <w:rPr/>
            </w:pPr>
            <w:hyperlink r:id="rId10">
              <w:r>
                <w:rPr>
                  <w:rStyle w:val="InternetLink"/>
                </w:rPr>
                <w:t xml:space="preserve">Amended and Restated Certificate of Incorporation of the Registrant. </w:t>
              </w:r>
            </w:hyperlink>
          </w:p>
        </w:tc>
        <w:tc>
          <w:tcPr>
            <w:tcW w:w="14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8-K</w:t>
            </w:r>
          </w:p>
        </w:tc>
        <w:tc>
          <w:tcPr>
            <w:tcW w:w="142"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001-40937</w:t>
            </w:r>
          </w:p>
        </w:tc>
        <w:tc>
          <w:tcPr>
            <w:tcW w:w="14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3.1</w:t>
            </w:r>
          </w:p>
        </w:tc>
        <w:tc>
          <w:tcPr>
            <w:tcW w:w="142"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jc w:val="right"/>
              <w:rPr/>
            </w:pPr>
            <w:r>
              <w:rPr/>
              <w:t>October 26, 2021</w:t>
            </w:r>
          </w:p>
        </w:tc>
      </w:tr>
      <w:tr>
        <w:trPr>
          <w:trHeight w:val="120" w:hRule="atLeast"/>
        </w:trPr>
        <w:tc>
          <w:tcPr>
            <w:tcW w:w="604" w:type="dxa"/>
            <w:tcBorders/>
            <w:shd w:fill="auto" w:val="clear"/>
            <w:vAlign w:val="center"/>
          </w:tcPr>
          <w:p>
            <w:pPr>
              <w:pStyle w:val="TableContents"/>
              <w:spacing w:before="0" w:after="283"/>
              <w:rPr>
                <w:sz w:val="4"/>
                <w:szCs w:val="4"/>
              </w:rPr>
            </w:pPr>
            <w:r>
              <w:rPr>
                <w:sz w:val="4"/>
                <w:szCs w:val="4"/>
              </w:rPr>
            </w:r>
          </w:p>
        </w:tc>
        <w:tc>
          <w:tcPr>
            <w:tcW w:w="4747" w:type="dxa"/>
            <w:gridSpan w:val="2"/>
            <w:tcBorders/>
            <w:shd w:fill="auto" w:val="clear"/>
            <w:vAlign w:val="center"/>
          </w:tcPr>
          <w:p>
            <w:pPr>
              <w:pStyle w:val="TableContents"/>
              <w:spacing w:before="0" w:after="283"/>
              <w:rPr>
                <w:sz w:val="4"/>
                <w:szCs w:val="4"/>
              </w:rPr>
            </w:pPr>
            <w:r>
              <w:rPr>
                <w:sz w:val="4"/>
                <w:szCs w:val="4"/>
              </w:rPr>
            </w:r>
          </w:p>
        </w:tc>
        <w:tc>
          <w:tcPr>
            <w:tcW w:w="944" w:type="dxa"/>
            <w:gridSpan w:val="2"/>
            <w:tcBorders/>
            <w:shd w:fill="auto" w:val="clear"/>
            <w:vAlign w:val="center"/>
          </w:tcPr>
          <w:p>
            <w:pPr>
              <w:pStyle w:val="TableContents"/>
              <w:spacing w:before="0" w:after="283"/>
              <w:rPr>
                <w:sz w:val="4"/>
                <w:szCs w:val="4"/>
              </w:rPr>
            </w:pPr>
            <w:r>
              <w:rPr>
                <w:sz w:val="4"/>
                <w:szCs w:val="4"/>
              </w:rPr>
            </w:r>
          </w:p>
        </w:tc>
        <w:tc>
          <w:tcPr>
            <w:tcW w:w="1174" w:type="dxa"/>
            <w:gridSpan w:val="2"/>
            <w:tcBorders/>
            <w:shd w:fill="auto" w:val="clear"/>
            <w:vAlign w:val="center"/>
          </w:tcPr>
          <w:p>
            <w:pPr>
              <w:pStyle w:val="TableContents"/>
              <w:spacing w:before="0" w:after="283"/>
              <w:rPr>
                <w:sz w:val="4"/>
                <w:szCs w:val="4"/>
              </w:rPr>
            </w:pPr>
            <w:r>
              <w:rPr>
                <w:sz w:val="4"/>
                <w:szCs w:val="4"/>
              </w:rPr>
            </w:r>
          </w:p>
        </w:tc>
        <w:tc>
          <w:tcPr>
            <w:tcW w:w="977" w:type="dxa"/>
            <w:gridSpan w:val="2"/>
            <w:tcBorders/>
            <w:shd w:fill="auto" w:val="clear"/>
            <w:vAlign w:val="center"/>
          </w:tcPr>
          <w:p>
            <w:pPr>
              <w:pStyle w:val="TableContents"/>
              <w:spacing w:before="0" w:after="283"/>
              <w:rPr>
                <w:sz w:val="4"/>
                <w:szCs w:val="4"/>
              </w:rPr>
            </w:pPr>
            <w:r>
              <w:rPr>
                <w:sz w:val="4"/>
                <w:szCs w:val="4"/>
              </w:rPr>
            </w:r>
          </w:p>
        </w:tc>
        <w:tc>
          <w:tcPr>
            <w:tcW w:w="1759"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vAlign w:val="bottom"/>
          </w:tcPr>
          <w:p>
            <w:pPr>
              <w:pStyle w:val="TableContents"/>
              <w:spacing w:before="0" w:after="283"/>
              <w:rPr/>
            </w:pPr>
            <w:r>
              <w:rPr/>
              <w:t>4.2</w:t>
            </w:r>
          </w:p>
        </w:tc>
        <w:tc>
          <w:tcPr>
            <w:tcW w:w="196" w:type="dxa"/>
            <w:tcBorders/>
            <w:shd w:fill="auto" w:val="clear"/>
            <w:vAlign w:val="bottom"/>
          </w:tcPr>
          <w:p>
            <w:pPr>
              <w:pStyle w:val="TableContents"/>
              <w:spacing w:before="0" w:after="283"/>
              <w:rPr/>
            </w:pPr>
            <w:r>
              <w:rPr/>
              <w:t>  </w:t>
            </w:r>
          </w:p>
        </w:tc>
        <w:tc>
          <w:tcPr>
            <w:tcW w:w="4551" w:type="dxa"/>
            <w:tcBorders/>
            <w:shd w:fill="auto" w:val="clear"/>
            <w:vAlign w:val="bottom"/>
          </w:tcPr>
          <w:p>
            <w:pPr>
              <w:pStyle w:val="TableContents"/>
              <w:spacing w:before="0" w:after="283"/>
              <w:rPr/>
            </w:pPr>
            <w:hyperlink r:id="rId11">
              <w:r>
                <w:rPr>
                  <w:rStyle w:val="InternetLink"/>
                </w:rPr>
                <w:t xml:space="preserve">Amended and Restated Bylaws of the Registrant. </w:t>
              </w:r>
            </w:hyperlink>
          </w:p>
        </w:tc>
        <w:tc>
          <w:tcPr>
            <w:tcW w:w="14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8-K</w:t>
            </w:r>
          </w:p>
        </w:tc>
        <w:tc>
          <w:tcPr>
            <w:tcW w:w="142"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001-40937</w:t>
            </w:r>
          </w:p>
        </w:tc>
        <w:tc>
          <w:tcPr>
            <w:tcW w:w="14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3.2</w:t>
            </w:r>
          </w:p>
        </w:tc>
        <w:tc>
          <w:tcPr>
            <w:tcW w:w="142"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jc w:val="right"/>
              <w:rPr/>
            </w:pPr>
            <w:r>
              <w:rPr/>
              <w:t>October 26, 2021</w:t>
            </w:r>
          </w:p>
        </w:tc>
      </w:tr>
      <w:tr>
        <w:trPr>
          <w:trHeight w:val="120" w:hRule="atLeast"/>
        </w:trPr>
        <w:tc>
          <w:tcPr>
            <w:tcW w:w="604" w:type="dxa"/>
            <w:tcBorders/>
            <w:shd w:fill="auto" w:val="clear"/>
            <w:vAlign w:val="center"/>
          </w:tcPr>
          <w:p>
            <w:pPr>
              <w:pStyle w:val="TableContents"/>
              <w:spacing w:before="0" w:after="283"/>
              <w:rPr>
                <w:sz w:val="4"/>
                <w:szCs w:val="4"/>
              </w:rPr>
            </w:pPr>
            <w:r>
              <w:rPr>
                <w:sz w:val="4"/>
                <w:szCs w:val="4"/>
              </w:rPr>
            </w:r>
          </w:p>
        </w:tc>
        <w:tc>
          <w:tcPr>
            <w:tcW w:w="4747" w:type="dxa"/>
            <w:gridSpan w:val="2"/>
            <w:tcBorders/>
            <w:shd w:fill="auto" w:val="clear"/>
            <w:vAlign w:val="center"/>
          </w:tcPr>
          <w:p>
            <w:pPr>
              <w:pStyle w:val="TableContents"/>
              <w:spacing w:before="0" w:after="283"/>
              <w:rPr>
                <w:sz w:val="4"/>
                <w:szCs w:val="4"/>
              </w:rPr>
            </w:pPr>
            <w:r>
              <w:rPr>
                <w:sz w:val="4"/>
                <w:szCs w:val="4"/>
              </w:rPr>
            </w:r>
          </w:p>
        </w:tc>
        <w:tc>
          <w:tcPr>
            <w:tcW w:w="944" w:type="dxa"/>
            <w:gridSpan w:val="2"/>
            <w:tcBorders/>
            <w:shd w:fill="auto" w:val="clear"/>
            <w:vAlign w:val="center"/>
          </w:tcPr>
          <w:p>
            <w:pPr>
              <w:pStyle w:val="TableContents"/>
              <w:spacing w:before="0" w:after="283"/>
              <w:rPr>
                <w:sz w:val="4"/>
                <w:szCs w:val="4"/>
              </w:rPr>
            </w:pPr>
            <w:r>
              <w:rPr>
                <w:sz w:val="4"/>
                <w:szCs w:val="4"/>
              </w:rPr>
            </w:r>
          </w:p>
        </w:tc>
        <w:tc>
          <w:tcPr>
            <w:tcW w:w="1174" w:type="dxa"/>
            <w:gridSpan w:val="2"/>
            <w:tcBorders/>
            <w:shd w:fill="auto" w:val="clear"/>
            <w:vAlign w:val="center"/>
          </w:tcPr>
          <w:p>
            <w:pPr>
              <w:pStyle w:val="TableContents"/>
              <w:spacing w:before="0" w:after="283"/>
              <w:rPr>
                <w:sz w:val="4"/>
                <w:szCs w:val="4"/>
              </w:rPr>
            </w:pPr>
            <w:r>
              <w:rPr>
                <w:sz w:val="4"/>
                <w:szCs w:val="4"/>
              </w:rPr>
            </w:r>
          </w:p>
        </w:tc>
        <w:tc>
          <w:tcPr>
            <w:tcW w:w="977" w:type="dxa"/>
            <w:gridSpan w:val="2"/>
            <w:tcBorders/>
            <w:shd w:fill="auto" w:val="clear"/>
            <w:vAlign w:val="center"/>
          </w:tcPr>
          <w:p>
            <w:pPr>
              <w:pStyle w:val="TableContents"/>
              <w:spacing w:before="0" w:after="283"/>
              <w:rPr>
                <w:sz w:val="4"/>
                <w:szCs w:val="4"/>
              </w:rPr>
            </w:pPr>
            <w:r>
              <w:rPr>
                <w:sz w:val="4"/>
                <w:szCs w:val="4"/>
              </w:rPr>
            </w:r>
          </w:p>
        </w:tc>
        <w:tc>
          <w:tcPr>
            <w:tcW w:w="1759"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vAlign w:val="bottom"/>
          </w:tcPr>
          <w:p>
            <w:pPr>
              <w:pStyle w:val="TableContents"/>
              <w:spacing w:before="0" w:after="283"/>
              <w:rPr/>
            </w:pPr>
            <w:r>
              <w:rPr/>
              <w:t>5.1*</w:t>
            </w:r>
          </w:p>
        </w:tc>
        <w:tc>
          <w:tcPr>
            <w:tcW w:w="196" w:type="dxa"/>
            <w:tcBorders/>
            <w:shd w:fill="auto" w:val="clear"/>
            <w:vAlign w:val="bottom"/>
          </w:tcPr>
          <w:p>
            <w:pPr>
              <w:pStyle w:val="TableContents"/>
              <w:spacing w:before="0" w:after="283"/>
              <w:rPr/>
            </w:pPr>
            <w:r>
              <w:rPr/>
              <w:t>  </w:t>
            </w:r>
          </w:p>
        </w:tc>
        <w:tc>
          <w:tcPr>
            <w:tcW w:w="4551" w:type="dxa"/>
            <w:tcBorders/>
            <w:shd w:fill="auto" w:val="clear"/>
            <w:vAlign w:val="bottom"/>
          </w:tcPr>
          <w:p>
            <w:pPr>
              <w:pStyle w:val="TableContents"/>
              <w:spacing w:before="0" w:after="283"/>
              <w:rPr/>
            </w:pPr>
            <w:hyperlink w:anchor="d280778dex51.htm">
              <w:r>
                <w:rPr>
                  <w:rStyle w:val="InternetLink"/>
                </w:rPr>
                <w:t xml:space="preserve">Opinion of Baker &amp; Hostetler LLP </w:t>
              </w:r>
            </w:hyperlink>
          </w:p>
        </w:tc>
        <w:tc>
          <w:tcPr>
            <w:tcW w:w="14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04" w:type="dxa"/>
            <w:tcBorders/>
            <w:shd w:fill="auto" w:val="clear"/>
            <w:vAlign w:val="center"/>
          </w:tcPr>
          <w:p>
            <w:pPr>
              <w:pStyle w:val="TableContents"/>
              <w:spacing w:before="0" w:after="283"/>
              <w:rPr>
                <w:sz w:val="4"/>
                <w:szCs w:val="4"/>
              </w:rPr>
            </w:pPr>
            <w:r>
              <w:rPr>
                <w:sz w:val="4"/>
                <w:szCs w:val="4"/>
              </w:rPr>
            </w:r>
          </w:p>
        </w:tc>
        <w:tc>
          <w:tcPr>
            <w:tcW w:w="4747" w:type="dxa"/>
            <w:gridSpan w:val="2"/>
            <w:tcBorders/>
            <w:shd w:fill="auto" w:val="clear"/>
            <w:vAlign w:val="center"/>
          </w:tcPr>
          <w:p>
            <w:pPr>
              <w:pStyle w:val="TableContents"/>
              <w:spacing w:before="0" w:after="283"/>
              <w:rPr>
                <w:sz w:val="4"/>
                <w:szCs w:val="4"/>
              </w:rPr>
            </w:pPr>
            <w:r>
              <w:rPr>
                <w:sz w:val="4"/>
                <w:szCs w:val="4"/>
              </w:rPr>
            </w:r>
          </w:p>
        </w:tc>
        <w:tc>
          <w:tcPr>
            <w:tcW w:w="944" w:type="dxa"/>
            <w:gridSpan w:val="2"/>
            <w:tcBorders/>
            <w:shd w:fill="auto" w:val="clear"/>
            <w:vAlign w:val="center"/>
          </w:tcPr>
          <w:p>
            <w:pPr>
              <w:pStyle w:val="TableContents"/>
              <w:spacing w:before="0" w:after="283"/>
              <w:rPr>
                <w:sz w:val="4"/>
                <w:szCs w:val="4"/>
              </w:rPr>
            </w:pPr>
            <w:r>
              <w:rPr>
                <w:sz w:val="4"/>
                <w:szCs w:val="4"/>
              </w:rPr>
            </w:r>
          </w:p>
        </w:tc>
        <w:tc>
          <w:tcPr>
            <w:tcW w:w="1174" w:type="dxa"/>
            <w:gridSpan w:val="2"/>
            <w:tcBorders/>
            <w:shd w:fill="auto" w:val="clear"/>
            <w:vAlign w:val="center"/>
          </w:tcPr>
          <w:p>
            <w:pPr>
              <w:pStyle w:val="TableContents"/>
              <w:spacing w:before="0" w:after="283"/>
              <w:rPr>
                <w:sz w:val="4"/>
                <w:szCs w:val="4"/>
              </w:rPr>
            </w:pPr>
            <w:r>
              <w:rPr>
                <w:sz w:val="4"/>
                <w:szCs w:val="4"/>
              </w:rPr>
            </w:r>
          </w:p>
        </w:tc>
        <w:tc>
          <w:tcPr>
            <w:tcW w:w="977" w:type="dxa"/>
            <w:gridSpan w:val="2"/>
            <w:tcBorders/>
            <w:shd w:fill="auto" w:val="clear"/>
            <w:vAlign w:val="center"/>
          </w:tcPr>
          <w:p>
            <w:pPr>
              <w:pStyle w:val="TableContents"/>
              <w:spacing w:before="0" w:after="283"/>
              <w:rPr>
                <w:sz w:val="4"/>
                <w:szCs w:val="4"/>
              </w:rPr>
            </w:pPr>
            <w:r>
              <w:rPr>
                <w:sz w:val="4"/>
                <w:szCs w:val="4"/>
              </w:rPr>
            </w:r>
          </w:p>
        </w:tc>
        <w:tc>
          <w:tcPr>
            <w:tcW w:w="1759"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vAlign w:val="bottom"/>
          </w:tcPr>
          <w:p>
            <w:pPr>
              <w:pStyle w:val="TableContents"/>
              <w:spacing w:before="0" w:after="283"/>
              <w:rPr/>
            </w:pPr>
            <w:r>
              <w:rPr/>
              <w:t>23.1*</w:t>
            </w:r>
          </w:p>
        </w:tc>
        <w:tc>
          <w:tcPr>
            <w:tcW w:w="196" w:type="dxa"/>
            <w:tcBorders/>
            <w:shd w:fill="auto" w:val="clear"/>
            <w:vAlign w:val="bottom"/>
          </w:tcPr>
          <w:p>
            <w:pPr>
              <w:pStyle w:val="TableContents"/>
              <w:spacing w:before="0" w:after="283"/>
              <w:rPr/>
            </w:pPr>
            <w:r>
              <w:rPr/>
              <w:t>  </w:t>
            </w:r>
          </w:p>
        </w:tc>
        <w:tc>
          <w:tcPr>
            <w:tcW w:w="4551" w:type="dxa"/>
            <w:tcBorders/>
            <w:shd w:fill="auto" w:val="clear"/>
            <w:vAlign w:val="bottom"/>
          </w:tcPr>
          <w:p>
            <w:pPr>
              <w:pStyle w:val="TableContents"/>
              <w:spacing w:before="0" w:after="283"/>
              <w:rPr/>
            </w:pPr>
            <w:hyperlink w:anchor="d280778dex231.htm">
              <w:r>
                <w:rPr>
                  <w:rStyle w:val="InternetLink"/>
                </w:rPr>
                <w:t xml:space="preserve">Consent of Independent Registered Public Accounting Firm. </w:t>
              </w:r>
            </w:hyperlink>
          </w:p>
        </w:tc>
        <w:tc>
          <w:tcPr>
            <w:tcW w:w="14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04" w:type="dxa"/>
            <w:tcBorders/>
            <w:shd w:fill="auto" w:val="clear"/>
            <w:vAlign w:val="center"/>
          </w:tcPr>
          <w:p>
            <w:pPr>
              <w:pStyle w:val="TableContents"/>
              <w:spacing w:before="0" w:after="283"/>
              <w:rPr>
                <w:sz w:val="4"/>
                <w:szCs w:val="4"/>
              </w:rPr>
            </w:pPr>
            <w:r>
              <w:rPr>
                <w:sz w:val="4"/>
                <w:szCs w:val="4"/>
              </w:rPr>
            </w:r>
          </w:p>
        </w:tc>
        <w:tc>
          <w:tcPr>
            <w:tcW w:w="4747" w:type="dxa"/>
            <w:gridSpan w:val="2"/>
            <w:tcBorders/>
            <w:shd w:fill="auto" w:val="clear"/>
            <w:vAlign w:val="center"/>
          </w:tcPr>
          <w:p>
            <w:pPr>
              <w:pStyle w:val="TableContents"/>
              <w:spacing w:before="0" w:after="283"/>
              <w:rPr>
                <w:sz w:val="4"/>
                <w:szCs w:val="4"/>
              </w:rPr>
            </w:pPr>
            <w:r>
              <w:rPr>
                <w:sz w:val="4"/>
                <w:szCs w:val="4"/>
              </w:rPr>
            </w:r>
          </w:p>
        </w:tc>
        <w:tc>
          <w:tcPr>
            <w:tcW w:w="944" w:type="dxa"/>
            <w:gridSpan w:val="2"/>
            <w:tcBorders/>
            <w:shd w:fill="auto" w:val="clear"/>
            <w:vAlign w:val="center"/>
          </w:tcPr>
          <w:p>
            <w:pPr>
              <w:pStyle w:val="TableContents"/>
              <w:spacing w:before="0" w:after="283"/>
              <w:rPr>
                <w:sz w:val="4"/>
                <w:szCs w:val="4"/>
              </w:rPr>
            </w:pPr>
            <w:r>
              <w:rPr>
                <w:sz w:val="4"/>
                <w:szCs w:val="4"/>
              </w:rPr>
            </w:r>
          </w:p>
        </w:tc>
        <w:tc>
          <w:tcPr>
            <w:tcW w:w="1174" w:type="dxa"/>
            <w:gridSpan w:val="2"/>
            <w:tcBorders/>
            <w:shd w:fill="auto" w:val="clear"/>
            <w:vAlign w:val="center"/>
          </w:tcPr>
          <w:p>
            <w:pPr>
              <w:pStyle w:val="TableContents"/>
              <w:spacing w:before="0" w:after="283"/>
              <w:rPr>
                <w:sz w:val="4"/>
                <w:szCs w:val="4"/>
              </w:rPr>
            </w:pPr>
            <w:r>
              <w:rPr>
                <w:sz w:val="4"/>
                <w:szCs w:val="4"/>
              </w:rPr>
            </w:r>
          </w:p>
        </w:tc>
        <w:tc>
          <w:tcPr>
            <w:tcW w:w="977" w:type="dxa"/>
            <w:gridSpan w:val="2"/>
            <w:tcBorders/>
            <w:shd w:fill="auto" w:val="clear"/>
            <w:vAlign w:val="center"/>
          </w:tcPr>
          <w:p>
            <w:pPr>
              <w:pStyle w:val="TableContents"/>
              <w:spacing w:before="0" w:after="283"/>
              <w:rPr>
                <w:sz w:val="4"/>
                <w:szCs w:val="4"/>
              </w:rPr>
            </w:pPr>
            <w:r>
              <w:rPr>
                <w:sz w:val="4"/>
                <w:szCs w:val="4"/>
              </w:rPr>
            </w:r>
          </w:p>
        </w:tc>
        <w:tc>
          <w:tcPr>
            <w:tcW w:w="1759"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vAlign w:val="bottom"/>
          </w:tcPr>
          <w:p>
            <w:pPr>
              <w:pStyle w:val="TableContents"/>
              <w:spacing w:before="0" w:after="283"/>
              <w:rPr/>
            </w:pPr>
            <w:r>
              <w:rPr/>
              <w:t>23.2*</w:t>
            </w:r>
          </w:p>
        </w:tc>
        <w:tc>
          <w:tcPr>
            <w:tcW w:w="196" w:type="dxa"/>
            <w:tcBorders/>
            <w:shd w:fill="auto" w:val="clear"/>
            <w:vAlign w:val="bottom"/>
          </w:tcPr>
          <w:p>
            <w:pPr>
              <w:pStyle w:val="TableContents"/>
              <w:spacing w:before="0" w:after="283"/>
              <w:rPr/>
            </w:pPr>
            <w:r>
              <w:rPr/>
              <w:t>  </w:t>
            </w:r>
          </w:p>
        </w:tc>
        <w:tc>
          <w:tcPr>
            <w:tcW w:w="4551" w:type="dxa"/>
            <w:tcBorders/>
            <w:shd w:fill="auto" w:val="clear"/>
            <w:vAlign w:val="bottom"/>
          </w:tcPr>
          <w:p>
            <w:pPr>
              <w:pStyle w:val="TableContents"/>
              <w:spacing w:before="0" w:after="283"/>
              <w:rPr/>
            </w:pPr>
            <w:hyperlink w:anchor="d280778dex51.htm">
              <w:r>
                <w:rPr>
                  <w:rStyle w:val="InternetLink"/>
                </w:rPr>
                <w:t xml:space="preserve">Consent of Baker &amp; Hostetler LLP (included in Exhibit 5.1) </w:t>
              </w:r>
            </w:hyperlink>
          </w:p>
        </w:tc>
        <w:tc>
          <w:tcPr>
            <w:tcW w:w="14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04" w:type="dxa"/>
            <w:tcBorders/>
            <w:shd w:fill="auto" w:val="clear"/>
            <w:vAlign w:val="center"/>
          </w:tcPr>
          <w:p>
            <w:pPr>
              <w:pStyle w:val="TableContents"/>
              <w:spacing w:before="0" w:after="283"/>
              <w:rPr>
                <w:sz w:val="4"/>
                <w:szCs w:val="4"/>
              </w:rPr>
            </w:pPr>
            <w:r>
              <w:rPr>
                <w:sz w:val="4"/>
                <w:szCs w:val="4"/>
              </w:rPr>
            </w:r>
          </w:p>
        </w:tc>
        <w:tc>
          <w:tcPr>
            <w:tcW w:w="4747" w:type="dxa"/>
            <w:gridSpan w:val="2"/>
            <w:tcBorders/>
            <w:shd w:fill="auto" w:val="clear"/>
            <w:vAlign w:val="center"/>
          </w:tcPr>
          <w:p>
            <w:pPr>
              <w:pStyle w:val="TableContents"/>
              <w:spacing w:before="0" w:after="283"/>
              <w:rPr>
                <w:sz w:val="4"/>
                <w:szCs w:val="4"/>
              </w:rPr>
            </w:pPr>
            <w:r>
              <w:rPr>
                <w:sz w:val="4"/>
                <w:szCs w:val="4"/>
              </w:rPr>
            </w:r>
          </w:p>
        </w:tc>
        <w:tc>
          <w:tcPr>
            <w:tcW w:w="944" w:type="dxa"/>
            <w:gridSpan w:val="2"/>
            <w:tcBorders/>
            <w:shd w:fill="auto" w:val="clear"/>
            <w:vAlign w:val="center"/>
          </w:tcPr>
          <w:p>
            <w:pPr>
              <w:pStyle w:val="TableContents"/>
              <w:spacing w:before="0" w:after="283"/>
              <w:rPr>
                <w:sz w:val="4"/>
                <w:szCs w:val="4"/>
              </w:rPr>
            </w:pPr>
            <w:r>
              <w:rPr>
                <w:sz w:val="4"/>
                <w:szCs w:val="4"/>
              </w:rPr>
            </w:r>
          </w:p>
        </w:tc>
        <w:tc>
          <w:tcPr>
            <w:tcW w:w="1174" w:type="dxa"/>
            <w:gridSpan w:val="2"/>
            <w:tcBorders/>
            <w:shd w:fill="auto" w:val="clear"/>
            <w:vAlign w:val="center"/>
          </w:tcPr>
          <w:p>
            <w:pPr>
              <w:pStyle w:val="TableContents"/>
              <w:spacing w:before="0" w:after="283"/>
              <w:rPr>
                <w:sz w:val="4"/>
                <w:szCs w:val="4"/>
              </w:rPr>
            </w:pPr>
            <w:r>
              <w:rPr>
                <w:sz w:val="4"/>
                <w:szCs w:val="4"/>
              </w:rPr>
            </w:r>
          </w:p>
        </w:tc>
        <w:tc>
          <w:tcPr>
            <w:tcW w:w="977" w:type="dxa"/>
            <w:gridSpan w:val="2"/>
            <w:tcBorders/>
            <w:shd w:fill="auto" w:val="clear"/>
            <w:vAlign w:val="center"/>
          </w:tcPr>
          <w:p>
            <w:pPr>
              <w:pStyle w:val="TableContents"/>
              <w:spacing w:before="0" w:after="283"/>
              <w:rPr>
                <w:sz w:val="4"/>
                <w:szCs w:val="4"/>
              </w:rPr>
            </w:pPr>
            <w:r>
              <w:rPr>
                <w:sz w:val="4"/>
                <w:szCs w:val="4"/>
              </w:rPr>
            </w:r>
          </w:p>
        </w:tc>
        <w:tc>
          <w:tcPr>
            <w:tcW w:w="1759"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vAlign w:val="bottom"/>
          </w:tcPr>
          <w:p>
            <w:pPr>
              <w:pStyle w:val="TableContents"/>
              <w:spacing w:before="0" w:after="283"/>
              <w:rPr/>
            </w:pPr>
            <w:r>
              <w:rPr/>
              <w:t>24.1*</w:t>
            </w:r>
          </w:p>
        </w:tc>
        <w:tc>
          <w:tcPr>
            <w:tcW w:w="196" w:type="dxa"/>
            <w:tcBorders/>
            <w:shd w:fill="auto" w:val="clear"/>
            <w:vAlign w:val="bottom"/>
          </w:tcPr>
          <w:p>
            <w:pPr>
              <w:pStyle w:val="TableContents"/>
              <w:spacing w:before="0" w:after="283"/>
              <w:rPr/>
            </w:pPr>
            <w:r>
              <w:rPr/>
              <w:t>  </w:t>
            </w:r>
          </w:p>
        </w:tc>
        <w:tc>
          <w:tcPr>
            <w:tcW w:w="4551" w:type="dxa"/>
            <w:tcBorders/>
            <w:shd w:fill="auto" w:val="clear"/>
            <w:vAlign w:val="bottom"/>
          </w:tcPr>
          <w:p>
            <w:pPr>
              <w:pStyle w:val="TableContents"/>
              <w:spacing w:before="0" w:after="283"/>
              <w:rPr/>
            </w:pPr>
            <w:hyperlink w:anchor="sig">
              <w:r>
                <w:rPr>
                  <w:rStyle w:val="InternetLink"/>
                </w:rPr>
                <w:t xml:space="preserve">Power of Attorney (included on the signature page of this Form S-8). </w:t>
              </w:r>
            </w:hyperlink>
          </w:p>
        </w:tc>
        <w:tc>
          <w:tcPr>
            <w:tcW w:w="14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04" w:type="dxa"/>
            <w:tcBorders/>
            <w:shd w:fill="auto" w:val="clear"/>
            <w:vAlign w:val="center"/>
          </w:tcPr>
          <w:p>
            <w:pPr>
              <w:pStyle w:val="TableContents"/>
              <w:spacing w:before="0" w:after="283"/>
              <w:rPr>
                <w:sz w:val="4"/>
                <w:szCs w:val="4"/>
              </w:rPr>
            </w:pPr>
            <w:r>
              <w:rPr>
                <w:sz w:val="4"/>
                <w:szCs w:val="4"/>
              </w:rPr>
            </w:r>
          </w:p>
        </w:tc>
        <w:tc>
          <w:tcPr>
            <w:tcW w:w="4747" w:type="dxa"/>
            <w:gridSpan w:val="2"/>
            <w:tcBorders/>
            <w:shd w:fill="auto" w:val="clear"/>
            <w:vAlign w:val="center"/>
          </w:tcPr>
          <w:p>
            <w:pPr>
              <w:pStyle w:val="TableContents"/>
              <w:spacing w:before="0" w:after="283"/>
              <w:rPr>
                <w:sz w:val="4"/>
                <w:szCs w:val="4"/>
              </w:rPr>
            </w:pPr>
            <w:r>
              <w:rPr>
                <w:sz w:val="4"/>
                <w:szCs w:val="4"/>
              </w:rPr>
            </w:r>
          </w:p>
        </w:tc>
        <w:tc>
          <w:tcPr>
            <w:tcW w:w="944" w:type="dxa"/>
            <w:gridSpan w:val="2"/>
            <w:tcBorders/>
            <w:shd w:fill="auto" w:val="clear"/>
            <w:vAlign w:val="center"/>
          </w:tcPr>
          <w:p>
            <w:pPr>
              <w:pStyle w:val="TableContents"/>
              <w:spacing w:before="0" w:after="283"/>
              <w:rPr>
                <w:sz w:val="4"/>
                <w:szCs w:val="4"/>
              </w:rPr>
            </w:pPr>
            <w:r>
              <w:rPr>
                <w:sz w:val="4"/>
                <w:szCs w:val="4"/>
              </w:rPr>
            </w:r>
          </w:p>
        </w:tc>
        <w:tc>
          <w:tcPr>
            <w:tcW w:w="1174" w:type="dxa"/>
            <w:gridSpan w:val="2"/>
            <w:tcBorders/>
            <w:shd w:fill="auto" w:val="clear"/>
            <w:vAlign w:val="center"/>
          </w:tcPr>
          <w:p>
            <w:pPr>
              <w:pStyle w:val="TableContents"/>
              <w:spacing w:before="0" w:after="283"/>
              <w:rPr>
                <w:sz w:val="4"/>
                <w:szCs w:val="4"/>
              </w:rPr>
            </w:pPr>
            <w:r>
              <w:rPr>
                <w:sz w:val="4"/>
                <w:szCs w:val="4"/>
              </w:rPr>
            </w:r>
          </w:p>
        </w:tc>
        <w:tc>
          <w:tcPr>
            <w:tcW w:w="977" w:type="dxa"/>
            <w:gridSpan w:val="2"/>
            <w:tcBorders/>
            <w:shd w:fill="auto" w:val="clear"/>
            <w:vAlign w:val="center"/>
          </w:tcPr>
          <w:p>
            <w:pPr>
              <w:pStyle w:val="TableContents"/>
              <w:spacing w:before="0" w:after="283"/>
              <w:rPr>
                <w:sz w:val="4"/>
                <w:szCs w:val="4"/>
              </w:rPr>
            </w:pPr>
            <w:r>
              <w:rPr>
                <w:sz w:val="4"/>
                <w:szCs w:val="4"/>
              </w:rPr>
            </w:r>
          </w:p>
        </w:tc>
        <w:tc>
          <w:tcPr>
            <w:tcW w:w="1759"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vAlign w:val="bottom"/>
          </w:tcPr>
          <w:p>
            <w:pPr>
              <w:pStyle w:val="TableContents"/>
              <w:spacing w:before="0" w:after="283"/>
              <w:rPr/>
            </w:pPr>
            <w:r>
              <w:rPr/>
              <w:t>99.1*</w:t>
            </w:r>
          </w:p>
        </w:tc>
        <w:tc>
          <w:tcPr>
            <w:tcW w:w="196" w:type="dxa"/>
            <w:tcBorders/>
            <w:shd w:fill="auto" w:val="clear"/>
            <w:vAlign w:val="bottom"/>
          </w:tcPr>
          <w:p>
            <w:pPr>
              <w:pStyle w:val="TableContents"/>
              <w:spacing w:before="0" w:after="283"/>
              <w:rPr/>
            </w:pPr>
            <w:r>
              <w:rPr/>
              <w:t>  </w:t>
            </w:r>
          </w:p>
        </w:tc>
        <w:tc>
          <w:tcPr>
            <w:tcW w:w="4551" w:type="dxa"/>
            <w:tcBorders/>
            <w:shd w:fill="auto" w:val="clear"/>
            <w:vAlign w:val="bottom"/>
          </w:tcPr>
          <w:p>
            <w:pPr>
              <w:pStyle w:val="TableContents"/>
              <w:spacing w:before="0" w:after="283"/>
              <w:rPr/>
            </w:pPr>
            <w:hyperlink w:anchor="d280778dex991.htm">
              <w:r>
                <w:rPr>
                  <w:rStyle w:val="InternetLink"/>
                </w:rPr>
                <w:t xml:space="preserve">P10 Holdings, Inc. 2018 Stock Incentive Plan </w:t>
              </w:r>
            </w:hyperlink>
          </w:p>
        </w:tc>
        <w:tc>
          <w:tcPr>
            <w:tcW w:w="14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04" w:type="dxa"/>
            <w:tcBorders/>
            <w:shd w:fill="auto" w:val="clear"/>
            <w:vAlign w:val="center"/>
          </w:tcPr>
          <w:p>
            <w:pPr>
              <w:pStyle w:val="TableContents"/>
              <w:spacing w:before="0" w:after="283"/>
              <w:rPr>
                <w:sz w:val="4"/>
                <w:szCs w:val="4"/>
              </w:rPr>
            </w:pPr>
            <w:r>
              <w:rPr>
                <w:sz w:val="4"/>
                <w:szCs w:val="4"/>
              </w:rPr>
            </w:r>
          </w:p>
        </w:tc>
        <w:tc>
          <w:tcPr>
            <w:tcW w:w="4747" w:type="dxa"/>
            <w:gridSpan w:val="2"/>
            <w:tcBorders/>
            <w:shd w:fill="auto" w:val="clear"/>
            <w:vAlign w:val="center"/>
          </w:tcPr>
          <w:p>
            <w:pPr>
              <w:pStyle w:val="TableContents"/>
              <w:spacing w:before="0" w:after="283"/>
              <w:rPr>
                <w:sz w:val="4"/>
                <w:szCs w:val="4"/>
              </w:rPr>
            </w:pPr>
            <w:r>
              <w:rPr>
                <w:sz w:val="4"/>
                <w:szCs w:val="4"/>
              </w:rPr>
            </w:r>
          </w:p>
        </w:tc>
        <w:tc>
          <w:tcPr>
            <w:tcW w:w="944" w:type="dxa"/>
            <w:gridSpan w:val="2"/>
            <w:tcBorders/>
            <w:shd w:fill="auto" w:val="clear"/>
            <w:vAlign w:val="center"/>
          </w:tcPr>
          <w:p>
            <w:pPr>
              <w:pStyle w:val="TableContents"/>
              <w:spacing w:before="0" w:after="283"/>
              <w:rPr>
                <w:sz w:val="4"/>
                <w:szCs w:val="4"/>
              </w:rPr>
            </w:pPr>
            <w:r>
              <w:rPr>
                <w:sz w:val="4"/>
                <w:szCs w:val="4"/>
              </w:rPr>
            </w:r>
          </w:p>
        </w:tc>
        <w:tc>
          <w:tcPr>
            <w:tcW w:w="1174" w:type="dxa"/>
            <w:gridSpan w:val="2"/>
            <w:tcBorders/>
            <w:shd w:fill="auto" w:val="clear"/>
            <w:vAlign w:val="center"/>
          </w:tcPr>
          <w:p>
            <w:pPr>
              <w:pStyle w:val="TableContents"/>
              <w:spacing w:before="0" w:after="283"/>
              <w:rPr>
                <w:sz w:val="4"/>
                <w:szCs w:val="4"/>
              </w:rPr>
            </w:pPr>
            <w:r>
              <w:rPr>
                <w:sz w:val="4"/>
                <w:szCs w:val="4"/>
              </w:rPr>
            </w:r>
          </w:p>
        </w:tc>
        <w:tc>
          <w:tcPr>
            <w:tcW w:w="977" w:type="dxa"/>
            <w:gridSpan w:val="2"/>
            <w:tcBorders/>
            <w:shd w:fill="auto" w:val="clear"/>
            <w:vAlign w:val="center"/>
          </w:tcPr>
          <w:p>
            <w:pPr>
              <w:pStyle w:val="TableContents"/>
              <w:spacing w:before="0" w:after="283"/>
              <w:rPr>
                <w:sz w:val="4"/>
                <w:szCs w:val="4"/>
              </w:rPr>
            </w:pPr>
            <w:r>
              <w:rPr>
                <w:sz w:val="4"/>
                <w:szCs w:val="4"/>
              </w:rPr>
            </w:r>
          </w:p>
        </w:tc>
        <w:tc>
          <w:tcPr>
            <w:tcW w:w="1759"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vAlign w:val="bottom"/>
          </w:tcPr>
          <w:p>
            <w:pPr>
              <w:pStyle w:val="TableContents"/>
              <w:spacing w:before="0" w:after="283"/>
              <w:rPr/>
            </w:pPr>
            <w:r>
              <w:rPr/>
              <w:t>99.2</w:t>
            </w:r>
          </w:p>
        </w:tc>
        <w:tc>
          <w:tcPr>
            <w:tcW w:w="196" w:type="dxa"/>
            <w:tcBorders/>
            <w:shd w:fill="auto" w:val="clear"/>
            <w:vAlign w:val="bottom"/>
          </w:tcPr>
          <w:p>
            <w:pPr>
              <w:pStyle w:val="TableContents"/>
              <w:spacing w:before="0" w:after="283"/>
              <w:rPr/>
            </w:pPr>
            <w:r>
              <w:rPr/>
              <w:t>  </w:t>
            </w:r>
          </w:p>
        </w:tc>
        <w:tc>
          <w:tcPr>
            <w:tcW w:w="4551" w:type="dxa"/>
            <w:tcBorders/>
            <w:shd w:fill="auto" w:val="clear"/>
            <w:vAlign w:val="bottom"/>
          </w:tcPr>
          <w:p>
            <w:pPr>
              <w:pStyle w:val="TableContents"/>
              <w:spacing w:before="0" w:after="283"/>
              <w:rPr/>
            </w:pPr>
            <w:hyperlink r:id="rId12">
              <w:r>
                <w:rPr>
                  <w:rStyle w:val="InternetLink"/>
                </w:rPr>
                <w:t xml:space="preserve">P10, Inc. 2021 Incentive Plan </w:t>
              </w:r>
            </w:hyperlink>
          </w:p>
        </w:tc>
        <w:tc>
          <w:tcPr>
            <w:tcW w:w="14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0"/>
              <w:jc w:val="right"/>
              <w:rPr>
                <w:rFonts w:ascii="Times New Roman" w:hAnsi="Times New Roman"/>
                <w:sz w:val="20"/>
              </w:rPr>
            </w:pPr>
            <w:r>
              <w:rPr>
                <w:rFonts w:ascii="Times New Roman" w:hAnsi="Times New Roman"/>
                <w:sz w:val="20"/>
              </w:rPr>
              <w:t>S-1</w:t>
            </w:r>
          </w:p>
        </w:tc>
        <w:tc>
          <w:tcPr>
            <w:tcW w:w="142"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0"/>
              <w:jc w:val="right"/>
              <w:rPr>
                <w:rFonts w:ascii="Times New Roman" w:hAnsi="Times New Roman"/>
                <w:sz w:val="20"/>
              </w:rPr>
            </w:pPr>
            <w:r>
              <w:rPr>
                <w:rFonts w:ascii="Times New Roman" w:hAnsi="Times New Roman"/>
                <w:sz w:val="20"/>
              </w:rPr>
              <w:t>333-259823</w:t>
            </w:r>
          </w:p>
        </w:tc>
        <w:tc>
          <w:tcPr>
            <w:tcW w:w="14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0"/>
              <w:jc w:val="right"/>
              <w:rPr>
                <w:rFonts w:ascii="Times New Roman" w:hAnsi="Times New Roman"/>
                <w:sz w:val="20"/>
              </w:rPr>
            </w:pPr>
            <w:r>
              <w:rPr>
                <w:rFonts w:ascii="Times New Roman" w:hAnsi="Times New Roman"/>
                <w:sz w:val="20"/>
              </w:rPr>
              <w:t>10.1</w:t>
            </w:r>
          </w:p>
        </w:tc>
        <w:tc>
          <w:tcPr>
            <w:tcW w:w="142"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jc w:val="right"/>
              <w:rPr/>
            </w:pPr>
            <w:r>
              <w:rPr/>
              <w:t>October 18, 2021</w:t>
            </w:r>
          </w:p>
        </w:tc>
      </w:tr>
      <w:tr>
        <w:trPr>
          <w:trHeight w:val="120" w:hRule="atLeast"/>
        </w:trPr>
        <w:tc>
          <w:tcPr>
            <w:tcW w:w="604" w:type="dxa"/>
            <w:tcBorders/>
            <w:shd w:fill="auto" w:val="clear"/>
            <w:vAlign w:val="center"/>
          </w:tcPr>
          <w:p>
            <w:pPr>
              <w:pStyle w:val="TableContents"/>
              <w:spacing w:before="0" w:after="283"/>
              <w:rPr>
                <w:sz w:val="4"/>
                <w:szCs w:val="4"/>
              </w:rPr>
            </w:pPr>
            <w:r>
              <w:rPr>
                <w:sz w:val="4"/>
                <w:szCs w:val="4"/>
              </w:rPr>
            </w:r>
          </w:p>
        </w:tc>
        <w:tc>
          <w:tcPr>
            <w:tcW w:w="4747" w:type="dxa"/>
            <w:gridSpan w:val="2"/>
            <w:tcBorders/>
            <w:shd w:fill="auto" w:val="clear"/>
            <w:vAlign w:val="center"/>
          </w:tcPr>
          <w:p>
            <w:pPr>
              <w:pStyle w:val="TableContents"/>
              <w:spacing w:before="0" w:after="283"/>
              <w:rPr>
                <w:sz w:val="4"/>
                <w:szCs w:val="4"/>
              </w:rPr>
            </w:pPr>
            <w:r>
              <w:rPr>
                <w:sz w:val="4"/>
                <w:szCs w:val="4"/>
              </w:rPr>
            </w:r>
          </w:p>
        </w:tc>
        <w:tc>
          <w:tcPr>
            <w:tcW w:w="944" w:type="dxa"/>
            <w:gridSpan w:val="2"/>
            <w:tcBorders/>
            <w:shd w:fill="auto" w:val="clear"/>
            <w:vAlign w:val="center"/>
          </w:tcPr>
          <w:p>
            <w:pPr>
              <w:pStyle w:val="TableContents"/>
              <w:spacing w:before="0" w:after="283"/>
              <w:rPr>
                <w:sz w:val="4"/>
                <w:szCs w:val="4"/>
              </w:rPr>
            </w:pPr>
            <w:r>
              <w:rPr>
                <w:sz w:val="4"/>
                <w:szCs w:val="4"/>
              </w:rPr>
            </w:r>
          </w:p>
        </w:tc>
        <w:tc>
          <w:tcPr>
            <w:tcW w:w="1174" w:type="dxa"/>
            <w:gridSpan w:val="2"/>
            <w:tcBorders/>
            <w:shd w:fill="auto" w:val="clear"/>
            <w:vAlign w:val="center"/>
          </w:tcPr>
          <w:p>
            <w:pPr>
              <w:pStyle w:val="TableContents"/>
              <w:spacing w:before="0" w:after="283"/>
              <w:rPr>
                <w:sz w:val="4"/>
                <w:szCs w:val="4"/>
              </w:rPr>
            </w:pPr>
            <w:r>
              <w:rPr>
                <w:sz w:val="4"/>
                <w:szCs w:val="4"/>
              </w:rPr>
            </w:r>
          </w:p>
        </w:tc>
        <w:tc>
          <w:tcPr>
            <w:tcW w:w="977" w:type="dxa"/>
            <w:gridSpan w:val="2"/>
            <w:tcBorders/>
            <w:shd w:fill="auto" w:val="clear"/>
            <w:vAlign w:val="center"/>
          </w:tcPr>
          <w:p>
            <w:pPr>
              <w:pStyle w:val="TableContents"/>
              <w:spacing w:before="0" w:after="283"/>
              <w:rPr>
                <w:sz w:val="4"/>
                <w:szCs w:val="4"/>
              </w:rPr>
            </w:pPr>
            <w:r>
              <w:rPr>
                <w:sz w:val="4"/>
                <w:szCs w:val="4"/>
              </w:rPr>
            </w:r>
          </w:p>
        </w:tc>
        <w:tc>
          <w:tcPr>
            <w:tcW w:w="1759"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vAlign w:val="bottom"/>
          </w:tcPr>
          <w:p>
            <w:pPr>
              <w:pStyle w:val="TableContents"/>
              <w:spacing w:before="0" w:after="283"/>
              <w:rPr/>
            </w:pPr>
            <w:r>
              <w:rPr/>
              <w:t>99.3</w:t>
            </w:r>
          </w:p>
        </w:tc>
        <w:tc>
          <w:tcPr>
            <w:tcW w:w="196" w:type="dxa"/>
            <w:tcBorders/>
            <w:shd w:fill="auto" w:val="clear"/>
            <w:vAlign w:val="bottom"/>
          </w:tcPr>
          <w:p>
            <w:pPr>
              <w:pStyle w:val="TableContents"/>
              <w:spacing w:before="0" w:after="283"/>
              <w:rPr/>
            </w:pPr>
            <w:r>
              <w:rPr/>
              <w:t>  </w:t>
            </w:r>
          </w:p>
        </w:tc>
        <w:tc>
          <w:tcPr>
            <w:tcW w:w="4551" w:type="dxa"/>
            <w:tcBorders/>
            <w:shd w:fill="auto" w:val="clear"/>
            <w:vAlign w:val="bottom"/>
          </w:tcPr>
          <w:p>
            <w:pPr>
              <w:pStyle w:val="TableContents"/>
              <w:spacing w:before="0" w:after="283"/>
              <w:rPr/>
            </w:pPr>
            <w:hyperlink r:id="rId13">
              <w:r>
                <w:rPr>
                  <w:rStyle w:val="InternetLink"/>
                </w:rPr>
                <w:t xml:space="preserve">Form of Restricted Stock Award Agreement under the 2021 Equity Incentive Plan </w:t>
              </w:r>
            </w:hyperlink>
          </w:p>
        </w:tc>
        <w:tc>
          <w:tcPr>
            <w:tcW w:w="14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S-1</w:t>
            </w:r>
          </w:p>
        </w:tc>
        <w:tc>
          <w:tcPr>
            <w:tcW w:w="142"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333-259823</w:t>
            </w:r>
          </w:p>
        </w:tc>
        <w:tc>
          <w:tcPr>
            <w:tcW w:w="14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10.2</w:t>
            </w:r>
          </w:p>
        </w:tc>
        <w:tc>
          <w:tcPr>
            <w:tcW w:w="142"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jc w:val="right"/>
              <w:rPr/>
            </w:pPr>
            <w:r>
              <w:rPr/>
              <w:t>September 27, 2021</w:t>
            </w:r>
          </w:p>
        </w:tc>
      </w:tr>
      <w:tr>
        <w:trPr>
          <w:trHeight w:val="120" w:hRule="atLeast"/>
        </w:trPr>
        <w:tc>
          <w:tcPr>
            <w:tcW w:w="604" w:type="dxa"/>
            <w:tcBorders/>
            <w:shd w:fill="auto" w:val="clear"/>
            <w:vAlign w:val="center"/>
          </w:tcPr>
          <w:p>
            <w:pPr>
              <w:pStyle w:val="TableContents"/>
              <w:spacing w:before="0" w:after="283"/>
              <w:rPr>
                <w:sz w:val="4"/>
                <w:szCs w:val="4"/>
              </w:rPr>
            </w:pPr>
            <w:r>
              <w:rPr>
                <w:sz w:val="4"/>
                <w:szCs w:val="4"/>
              </w:rPr>
            </w:r>
          </w:p>
        </w:tc>
        <w:tc>
          <w:tcPr>
            <w:tcW w:w="4747" w:type="dxa"/>
            <w:gridSpan w:val="2"/>
            <w:tcBorders/>
            <w:shd w:fill="auto" w:val="clear"/>
            <w:vAlign w:val="center"/>
          </w:tcPr>
          <w:p>
            <w:pPr>
              <w:pStyle w:val="TableContents"/>
              <w:spacing w:before="0" w:after="283"/>
              <w:rPr>
                <w:sz w:val="4"/>
                <w:szCs w:val="4"/>
              </w:rPr>
            </w:pPr>
            <w:r>
              <w:rPr>
                <w:sz w:val="4"/>
                <w:szCs w:val="4"/>
              </w:rPr>
            </w:r>
          </w:p>
        </w:tc>
        <w:tc>
          <w:tcPr>
            <w:tcW w:w="944" w:type="dxa"/>
            <w:gridSpan w:val="2"/>
            <w:tcBorders/>
            <w:shd w:fill="auto" w:val="clear"/>
            <w:vAlign w:val="center"/>
          </w:tcPr>
          <w:p>
            <w:pPr>
              <w:pStyle w:val="TableContents"/>
              <w:spacing w:before="0" w:after="283"/>
              <w:rPr>
                <w:sz w:val="4"/>
                <w:szCs w:val="4"/>
              </w:rPr>
            </w:pPr>
            <w:r>
              <w:rPr>
                <w:sz w:val="4"/>
                <w:szCs w:val="4"/>
              </w:rPr>
            </w:r>
          </w:p>
        </w:tc>
        <w:tc>
          <w:tcPr>
            <w:tcW w:w="1174" w:type="dxa"/>
            <w:gridSpan w:val="2"/>
            <w:tcBorders/>
            <w:shd w:fill="auto" w:val="clear"/>
            <w:vAlign w:val="center"/>
          </w:tcPr>
          <w:p>
            <w:pPr>
              <w:pStyle w:val="TableContents"/>
              <w:spacing w:before="0" w:after="283"/>
              <w:rPr>
                <w:sz w:val="4"/>
                <w:szCs w:val="4"/>
              </w:rPr>
            </w:pPr>
            <w:r>
              <w:rPr>
                <w:sz w:val="4"/>
                <w:szCs w:val="4"/>
              </w:rPr>
            </w:r>
          </w:p>
        </w:tc>
        <w:tc>
          <w:tcPr>
            <w:tcW w:w="977" w:type="dxa"/>
            <w:gridSpan w:val="2"/>
            <w:tcBorders/>
            <w:shd w:fill="auto" w:val="clear"/>
            <w:vAlign w:val="center"/>
          </w:tcPr>
          <w:p>
            <w:pPr>
              <w:pStyle w:val="TableContents"/>
              <w:spacing w:before="0" w:after="283"/>
              <w:rPr>
                <w:sz w:val="4"/>
                <w:szCs w:val="4"/>
              </w:rPr>
            </w:pPr>
            <w:r>
              <w:rPr>
                <w:sz w:val="4"/>
                <w:szCs w:val="4"/>
              </w:rPr>
            </w:r>
          </w:p>
        </w:tc>
        <w:tc>
          <w:tcPr>
            <w:tcW w:w="1759"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vAlign w:val="bottom"/>
          </w:tcPr>
          <w:p>
            <w:pPr>
              <w:pStyle w:val="TableContents"/>
              <w:spacing w:before="0" w:after="283"/>
              <w:rPr/>
            </w:pPr>
            <w:r>
              <w:rPr/>
              <w:t>107*</w:t>
            </w:r>
          </w:p>
        </w:tc>
        <w:tc>
          <w:tcPr>
            <w:tcW w:w="196" w:type="dxa"/>
            <w:tcBorders/>
            <w:shd w:fill="auto" w:val="clear"/>
            <w:vAlign w:val="bottom"/>
          </w:tcPr>
          <w:p>
            <w:pPr>
              <w:pStyle w:val="TableContents"/>
              <w:spacing w:before="0" w:after="283"/>
              <w:rPr/>
            </w:pPr>
            <w:r>
              <w:rPr/>
              <w:t>  </w:t>
            </w:r>
          </w:p>
        </w:tc>
        <w:tc>
          <w:tcPr>
            <w:tcW w:w="4551" w:type="dxa"/>
            <w:tcBorders/>
            <w:shd w:fill="auto" w:val="clear"/>
            <w:vAlign w:val="bottom"/>
          </w:tcPr>
          <w:p>
            <w:pPr>
              <w:pStyle w:val="TableContents"/>
              <w:spacing w:before="0" w:after="283"/>
              <w:rPr/>
            </w:pPr>
            <w:hyperlink w:anchor="d280778dexfilingfees.htm">
              <w:r>
                <w:rPr>
                  <w:rStyle w:val="InternetLink"/>
                </w:rPr>
                <w:t xml:space="preserve">Filing Fee Table </w:t>
              </w:r>
            </w:hyperlink>
          </w:p>
        </w:tc>
        <w:tc>
          <w:tcPr>
            <w:tcW w:w="14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04" w:type="dxa"/>
            <w:tcBorders/>
            <w:shd w:fill="auto" w:val="clear"/>
            <w:vAlign w:val="center"/>
          </w:tcPr>
          <w:p>
            <w:pPr>
              <w:pStyle w:val="TableContents"/>
              <w:spacing w:before="0" w:after="283"/>
              <w:rPr>
                <w:sz w:val="4"/>
                <w:szCs w:val="4"/>
              </w:rPr>
            </w:pPr>
            <w:r>
              <w:rPr>
                <w:sz w:val="4"/>
                <w:szCs w:val="4"/>
              </w:rPr>
            </w:r>
          </w:p>
        </w:tc>
        <w:tc>
          <w:tcPr>
            <w:tcW w:w="4747" w:type="dxa"/>
            <w:gridSpan w:val="2"/>
            <w:tcBorders/>
            <w:shd w:fill="auto" w:val="clear"/>
            <w:vAlign w:val="center"/>
          </w:tcPr>
          <w:p>
            <w:pPr>
              <w:pStyle w:val="TableContents"/>
              <w:spacing w:before="0" w:after="283"/>
              <w:rPr>
                <w:sz w:val="4"/>
                <w:szCs w:val="4"/>
              </w:rPr>
            </w:pPr>
            <w:r>
              <w:rPr>
                <w:sz w:val="4"/>
                <w:szCs w:val="4"/>
              </w:rPr>
            </w:r>
          </w:p>
        </w:tc>
        <w:tc>
          <w:tcPr>
            <w:tcW w:w="944" w:type="dxa"/>
            <w:gridSpan w:val="2"/>
            <w:tcBorders/>
            <w:shd w:fill="auto" w:val="clear"/>
            <w:vAlign w:val="center"/>
          </w:tcPr>
          <w:p>
            <w:pPr>
              <w:pStyle w:val="TableContents"/>
              <w:spacing w:before="0" w:after="283"/>
              <w:rPr>
                <w:sz w:val="4"/>
                <w:szCs w:val="4"/>
              </w:rPr>
            </w:pPr>
            <w:r>
              <w:rPr>
                <w:sz w:val="4"/>
                <w:szCs w:val="4"/>
              </w:rPr>
            </w:r>
          </w:p>
        </w:tc>
        <w:tc>
          <w:tcPr>
            <w:tcW w:w="1174" w:type="dxa"/>
            <w:gridSpan w:val="2"/>
            <w:tcBorders/>
            <w:shd w:fill="auto" w:val="clear"/>
            <w:vAlign w:val="center"/>
          </w:tcPr>
          <w:p>
            <w:pPr>
              <w:pStyle w:val="TableContents"/>
              <w:spacing w:before="0" w:after="283"/>
              <w:rPr>
                <w:sz w:val="4"/>
                <w:szCs w:val="4"/>
              </w:rPr>
            </w:pPr>
            <w:r>
              <w:rPr>
                <w:sz w:val="4"/>
                <w:szCs w:val="4"/>
              </w:rPr>
            </w:r>
          </w:p>
        </w:tc>
        <w:tc>
          <w:tcPr>
            <w:tcW w:w="977" w:type="dxa"/>
            <w:gridSpan w:val="2"/>
            <w:tcBorders/>
            <w:shd w:fill="auto" w:val="clear"/>
            <w:vAlign w:val="center"/>
          </w:tcPr>
          <w:p>
            <w:pPr>
              <w:pStyle w:val="TableContents"/>
              <w:spacing w:before="0" w:after="283"/>
              <w:rPr>
                <w:sz w:val="4"/>
                <w:szCs w:val="4"/>
              </w:rPr>
            </w:pPr>
            <w:r>
              <w:rPr>
                <w:sz w:val="4"/>
                <w:szCs w:val="4"/>
              </w:rPr>
            </w:r>
          </w:p>
        </w:tc>
        <w:tc>
          <w:tcPr>
            <w:tcW w:w="1759"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vAlign w:val="bottom"/>
          </w:tcPr>
          <w:p>
            <w:pPr>
              <w:pStyle w:val="TableContents"/>
              <w:spacing w:before="0" w:after="283"/>
              <w:rPr/>
            </w:pPr>
            <w:r>
              <w:rPr/>
              <w:t>*</w:t>
            </w:r>
          </w:p>
        </w:tc>
        <w:tc>
          <w:tcPr>
            <w:tcW w:w="196" w:type="dxa"/>
            <w:tcBorders/>
            <w:shd w:fill="auto" w:val="clear"/>
            <w:vAlign w:val="bottom"/>
          </w:tcPr>
          <w:p>
            <w:pPr>
              <w:pStyle w:val="TableContents"/>
              <w:spacing w:before="0" w:after="283"/>
              <w:rPr/>
            </w:pPr>
            <w:r>
              <w:rPr/>
              <w:t>  </w:t>
            </w:r>
          </w:p>
        </w:tc>
        <w:tc>
          <w:tcPr>
            <w:tcW w:w="455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Filed herewith.</w:t>
            </w:r>
          </w:p>
        </w:tc>
        <w:tc>
          <w:tcPr>
            <w:tcW w:w="14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b/>
          <w:sz w:val="20"/>
        </w:rPr>
      </w:pPr>
      <w:r>
        <w:rPr>
          <w:rFonts w:ascii="Times New Roman" w:hAnsi="Times New Roman"/>
          <w:b/>
          <w:sz w:val="20"/>
        </w:rPr>
        <w:t xml:space="preserve">Item 9. Undertakings. </w:t>
      </w:r>
    </w:p>
    <w:p>
      <w:pPr>
        <w:pStyle w:val="TextBody"/>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spacing w:before="24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spacing w:before="24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w:t>
      </w:r>
    </w:p>
    <w:p>
      <w:pPr>
        <w:pStyle w:val="TextBody"/>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 </w:t>
      </w:r>
    </w:p>
    <w:p>
      <w:pPr>
        <w:pStyle w:val="TextBody"/>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 </w:t>
      </w:r>
    </w:p>
    <w:p>
      <w:pPr>
        <w:pStyle w:val="TextBody"/>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May 12, 2022.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75"/>
        <w:gridCol w:w="61"/>
        <w:gridCol w:w="3646"/>
      </w:tblGrid>
      <w:tr>
        <w:trPr/>
        <w:tc>
          <w:tcPr>
            <w:tcW w:w="375"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64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P10, INC.</w:t>
            </w:r>
          </w:p>
        </w:tc>
      </w:tr>
      <w:tr>
        <w:trPr>
          <w:trHeight w:val="240" w:hRule="atLeast"/>
        </w:trPr>
        <w:tc>
          <w:tcPr>
            <w:tcW w:w="375" w:type="dxa"/>
            <w:tcBorders/>
            <w:shd w:fill="auto" w:val="clear"/>
            <w:vAlign w:val="center"/>
          </w:tcPr>
          <w:p>
            <w:pPr>
              <w:pStyle w:val="TableContents"/>
              <w:spacing w:before="0" w:after="283"/>
              <w:rPr>
                <w:sz w:val="4"/>
                <w:szCs w:val="4"/>
              </w:rPr>
            </w:pPr>
            <w:r>
              <w:rPr>
                <w:sz w:val="4"/>
                <w:szCs w:val="4"/>
              </w:rPr>
            </w:r>
          </w:p>
        </w:tc>
        <w:tc>
          <w:tcPr>
            <w:tcW w:w="3707" w:type="dxa"/>
            <w:gridSpan w:val="2"/>
            <w:tcBorders/>
            <w:shd w:fill="auto" w:val="clear"/>
            <w:vAlign w:val="center"/>
          </w:tcPr>
          <w:p>
            <w:pPr>
              <w:pStyle w:val="TableContents"/>
              <w:spacing w:before="0" w:after="283"/>
              <w:rPr>
                <w:sz w:val="4"/>
                <w:szCs w:val="4"/>
              </w:rPr>
            </w:pPr>
            <w:r>
              <w:rPr>
                <w:sz w:val="4"/>
                <w:szCs w:val="4"/>
              </w:rPr>
            </w:r>
          </w:p>
        </w:tc>
      </w:tr>
      <w:tr>
        <w:trPr/>
        <w:tc>
          <w:tcPr>
            <w:tcW w:w="375"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46"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Robert Alpert</w:t>
            </w:r>
          </w:p>
        </w:tc>
      </w:tr>
      <w:tr>
        <w:trPr/>
        <w:tc>
          <w:tcPr>
            <w:tcW w:w="375"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6" w:type="dxa"/>
            <w:tcBorders/>
            <w:shd w:fill="auto" w:val="clear"/>
          </w:tcPr>
          <w:p>
            <w:pPr>
              <w:pStyle w:val="TableContents"/>
              <w:spacing w:before="0" w:after="283"/>
              <w:rPr/>
            </w:pPr>
            <w:r>
              <w:rPr/>
              <w:t>Name: Robert Alpert</w:t>
            </w:r>
          </w:p>
        </w:tc>
      </w:tr>
      <w:tr>
        <w:trPr/>
        <w:tc>
          <w:tcPr>
            <w:tcW w:w="375"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6" w:type="dxa"/>
            <w:tcBorders/>
            <w:shd w:fill="auto" w:val="clear"/>
          </w:tcPr>
          <w:p>
            <w:pPr>
              <w:pStyle w:val="TableContents"/>
              <w:spacing w:before="0" w:after="283"/>
              <w:rPr/>
            </w:pPr>
            <w:r>
              <w:rPr/>
              <w:t>Title: Co-Chief Executive Officer and Chairman of the Board of Directors (Principal Executive Officer)</w:t>
            </w:r>
          </w:p>
        </w:tc>
      </w:tr>
      <w:tr>
        <w:trPr>
          <w:trHeight w:val="240" w:hRule="atLeast"/>
        </w:trPr>
        <w:tc>
          <w:tcPr>
            <w:tcW w:w="375" w:type="dxa"/>
            <w:tcBorders/>
            <w:shd w:fill="auto" w:val="clear"/>
            <w:vAlign w:val="center"/>
          </w:tcPr>
          <w:p>
            <w:pPr>
              <w:pStyle w:val="TableContents"/>
              <w:spacing w:before="0" w:after="283"/>
              <w:rPr>
                <w:sz w:val="4"/>
                <w:szCs w:val="4"/>
              </w:rPr>
            </w:pPr>
            <w:r>
              <w:rPr>
                <w:sz w:val="4"/>
                <w:szCs w:val="4"/>
              </w:rPr>
            </w:r>
          </w:p>
        </w:tc>
        <w:tc>
          <w:tcPr>
            <w:tcW w:w="3707" w:type="dxa"/>
            <w:gridSpan w:val="2"/>
            <w:tcBorders/>
            <w:shd w:fill="auto" w:val="clear"/>
            <w:vAlign w:val="center"/>
          </w:tcPr>
          <w:p>
            <w:pPr>
              <w:pStyle w:val="TableContents"/>
              <w:spacing w:before="0" w:after="283"/>
              <w:rPr>
                <w:sz w:val="4"/>
                <w:szCs w:val="4"/>
              </w:rPr>
            </w:pPr>
            <w:r>
              <w:rPr>
                <w:sz w:val="4"/>
                <w:szCs w:val="4"/>
              </w:rPr>
            </w:r>
          </w:p>
        </w:tc>
      </w:tr>
      <w:tr>
        <w:trPr/>
        <w:tc>
          <w:tcPr>
            <w:tcW w:w="375"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46"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C. Clark Webb</w:t>
            </w:r>
          </w:p>
        </w:tc>
      </w:tr>
      <w:tr>
        <w:trPr/>
        <w:tc>
          <w:tcPr>
            <w:tcW w:w="375"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6" w:type="dxa"/>
            <w:tcBorders/>
            <w:shd w:fill="auto" w:val="clear"/>
          </w:tcPr>
          <w:p>
            <w:pPr>
              <w:pStyle w:val="TableContents"/>
              <w:spacing w:before="0" w:after="0"/>
              <w:rPr>
                <w:rFonts w:ascii="Times New Roman" w:hAnsi="Times New Roman"/>
                <w:sz w:val="20"/>
              </w:rPr>
            </w:pPr>
            <w:r>
              <w:rPr>
                <w:rFonts w:ascii="Times New Roman" w:hAnsi="Times New Roman"/>
                <w:sz w:val="20"/>
              </w:rPr>
              <w:t>Name: C. Clark Webb</w:t>
            </w:r>
          </w:p>
          <w:p>
            <w:pPr>
              <w:pStyle w:val="TableContents"/>
              <w:spacing w:before="0" w:after="20"/>
              <w:rPr>
                <w:rFonts w:ascii="Times New Roman" w:hAnsi="Times New Roman"/>
                <w:sz w:val="20"/>
              </w:rPr>
            </w:pPr>
            <w:r>
              <w:rPr>
                <w:rFonts w:ascii="Times New Roman" w:hAnsi="Times New Roman"/>
                <w:sz w:val="20"/>
              </w:rPr>
              <w:t>Title: Co-Chief Executive Officer</w:t>
            </w:r>
          </w:p>
        </w:tc>
      </w:tr>
      <w:tr>
        <w:trPr>
          <w:trHeight w:val="240" w:hRule="atLeast"/>
        </w:trPr>
        <w:tc>
          <w:tcPr>
            <w:tcW w:w="375" w:type="dxa"/>
            <w:tcBorders/>
            <w:shd w:fill="auto" w:val="clear"/>
            <w:vAlign w:val="center"/>
          </w:tcPr>
          <w:p>
            <w:pPr>
              <w:pStyle w:val="TableContents"/>
              <w:spacing w:before="0" w:after="283"/>
              <w:rPr>
                <w:sz w:val="4"/>
                <w:szCs w:val="4"/>
              </w:rPr>
            </w:pPr>
            <w:r>
              <w:rPr>
                <w:sz w:val="4"/>
                <w:szCs w:val="4"/>
              </w:rPr>
            </w:r>
          </w:p>
        </w:tc>
        <w:tc>
          <w:tcPr>
            <w:tcW w:w="3707" w:type="dxa"/>
            <w:gridSpan w:val="2"/>
            <w:tcBorders/>
            <w:shd w:fill="auto" w:val="clear"/>
            <w:vAlign w:val="center"/>
          </w:tcPr>
          <w:p>
            <w:pPr>
              <w:pStyle w:val="TableContents"/>
              <w:spacing w:before="0" w:after="283"/>
              <w:rPr>
                <w:sz w:val="4"/>
                <w:szCs w:val="4"/>
              </w:rPr>
            </w:pPr>
            <w:r>
              <w:rPr>
                <w:sz w:val="4"/>
                <w:szCs w:val="4"/>
              </w:rPr>
            </w:r>
          </w:p>
        </w:tc>
      </w:tr>
      <w:tr>
        <w:trPr/>
        <w:tc>
          <w:tcPr>
            <w:tcW w:w="375"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46"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Amanda Coussens</w:t>
            </w:r>
          </w:p>
        </w:tc>
      </w:tr>
      <w:tr>
        <w:trPr/>
        <w:tc>
          <w:tcPr>
            <w:tcW w:w="375"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6" w:type="dxa"/>
            <w:tcBorders/>
            <w:shd w:fill="auto" w:val="clear"/>
          </w:tcPr>
          <w:p>
            <w:pPr>
              <w:pStyle w:val="TableContents"/>
              <w:spacing w:before="0" w:after="283"/>
              <w:rPr/>
            </w:pPr>
            <w:r>
              <w:rPr/>
              <w:t>Name: Amanda Coussens</w:t>
            </w:r>
          </w:p>
        </w:tc>
      </w:tr>
      <w:tr>
        <w:trPr/>
        <w:tc>
          <w:tcPr>
            <w:tcW w:w="375"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6" w:type="dxa"/>
            <w:tcBorders/>
            <w:shd w:fill="auto" w:val="clear"/>
          </w:tcPr>
          <w:p>
            <w:pPr>
              <w:pStyle w:val="TableContents"/>
              <w:spacing w:before="0" w:after="283"/>
              <w:rPr/>
            </w:pPr>
            <w:r>
              <w:rPr/>
              <w:t>Title: Chief Financial Officer (Principal Financial and Accounting Officer)</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sig"/>
      <w:bookmarkEnd w:id="14"/>
      <w:r>
        <w:rPr>
          <w:rFonts w:ascii="Times New Roman" w:hAnsi="Times New Roman"/>
          <w:b/>
          <w:sz w:val="20"/>
        </w:rPr>
        <w:t xml:space="preserve">POWER OF ATTORNEY </w:t>
      </w:r>
    </w:p>
    <w:p>
      <w:pPr>
        <w:pStyle w:val="TextBody"/>
        <w:spacing w:before="240" w:after="0"/>
        <w:jc w:val="left"/>
        <w:rPr>
          <w:rFonts w:ascii="Times New Roman" w:hAnsi="Times New Roman"/>
          <w:sz w:val="20"/>
        </w:rPr>
      </w:pPr>
      <w:r>
        <w:rPr>
          <w:rFonts w:ascii="Times New Roman" w:hAnsi="Times New Roman"/>
          <w:sz w:val="20"/>
        </w:rPr>
        <w:t>KNOW ALL PERSONS BY THESE PRESENTS, that each person whose signature appears below hereby constitutes and appoints Robert Alpert, C. Clark Webb and Amanda Coussens, and each of them, as the undersigneds true and lawful attorneys-in-fact and agents, with full power of substitution, for the undersigned in any and all capacities, to sign any or all amendments to this Registration Statement on Form S-8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for all intents and purposes as the undersigned might or could do in person, hereby and about the premises hereby ratifying and confirming all that said attorneys-in-fact and agent, proxy and agent, or their substitute, may lawfully do or cause to be done by virtue hereof.</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following persons in the capacities and on the dates indicated have signed this Registration Statement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716"/>
        <w:gridCol w:w="106"/>
        <w:gridCol w:w="480"/>
        <w:gridCol w:w="120"/>
        <w:gridCol w:w="3665"/>
        <w:gridCol w:w="120"/>
        <w:gridCol w:w="480"/>
        <w:gridCol w:w="120"/>
        <w:gridCol w:w="1398"/>
      </w:tblGrid>
      <w:tr>
        <w:trPr/>
        <w:tc>
          <w:tcPr>
            <w:tcW w:w="371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r>
      <w:tr>
        <w:trPr/>
        <w:tc>
          <w:tcPr>
            <w:tcW w:w="3716"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Signature</w:t>
            </w:r>
          </w:p>
        </w:tc>
        <w:tc>
          <w:tcPr>
            <w:tcW w:w="106"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665"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Title</w:t>
            </w:r>
          </w:p>
        </w:tc>
        <w:tc>
          <w:tcPr>
            <w:tcW w:w="120"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jc w:val="center"/>
              <w:rPr/>
            </w:pPr>
            <w:r>
              <w:rPr/>
              <w:t>        </w:t>
            </w:r>
          </w:p>
        </w:tc>
        <w:tc>
          <w:tcPr>
            <w:tcW w:w="120" w:type="dxa"/>
            <w:tcBorders/>
            <w:shd w:fill="auto" w:val="clear"/>
            <w:vAlign w:val="bottom"/>
          </w:tcPr>
          <w:p>
            <w:pPr>
              <w:pStyle w:val="TableContents"/>
              <w:spacing w:before="0" w:after="283"/>
              <w:rPr/>
            </w:pPr>
            <w:r>
              <w:rPr/>
              <w:t>  </w:t>
            </w:r>
          </w:p>
        </w:tc>
        <w:tc>
          <w:tcPr>
            <w:tcW w:w="1398"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Date</w:t>
            </w:r>
          </w:p>
        </w:tc>
      </w:tr>
      <w:tr>
        <w:trPr>
          <w:trHeight w:val="240" w:hRule="atLeast"/>
        </w:trPr>
        <w:tc>
          <w:tcPr>
            <w:tcW w:w="3716" w:type="dxa"/>
            <w:tcBorders/>
            <w:shd w:fill="auto" w:val="clear"/>
            <w:vAlign w:val="center"/>
          </w:tcPr>
          <w:p>
            <w:pPr>
              <w:pStyle w:val="TableContents"/>
              <w:spacing w:before="0" w:after="283"/>
              <w:rPr>
                <w:sz w:val="4"/>
                <w:szCs w:val="4"/>
              </w:rPr>
            </w:pPr>
            <w:r>
              <w:rPr>
                <w:sz w:val="4"/>
                <w:szCs w:val="4"/>
              </w:rPr>
            </w:r>
          </w:p>
        </w:tc>
        <w:tc>
          <w:tcPr>
            <w:tcW w:w="586" w:type="dxa"/>
            <w:gridSpan w:val="2"/>
            <w:tcBorders/>
            <w:shd w:fill="auto" w:val="clear"/>
            <w:vAlign w:val="center"/>
          </w:tcPr>
          <w:p>
            <w:pPr>
              <w:pStyle w:val="TableContents"/>
              <w:spacing w:before="0" w:after="283"/>
              <w:rPr>
                <w:sz w:val="4"/>
                <w:szCs w:val="4"/>
              </w:rPr>
            </w:pPr>
            <w:r>
              <w:rPr>
                <w:sz w:val="4"/>
                <w:szCs w:val="4"/>
              </w:rPr>
            </w:r>
          </w:p>
        </w:tc>
        <w:tc>
          <w:tcPr>
            <w:tcW w:w="3785"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1518" w:type="dxa"/>
            <w:gridSpan w:val="2"/>
            <w:tcBorders/>
            <w:shd w:fill="auto" w:val="clear"/>
            <w:vAlign w:val="center"/>
          </w:tcPr>
          <w:p>
            <w:pPr>
              <w:pStyle w:val="TableContents"/>
              <w:spacing w:before="0" w:after="283"/>
              <w:rPr>
                <w:sz w:val="4"/>
                <w:szCs w:val="4"/>
              </w:rPr>
            </w:pPr>
            <w:r>
              <w:rPr>
                <w:sz w:val="4"/>
                <w:szCs w:val="4"/>
              </w:rPr>
            </w:r>
          </w:p>
        </w:tc>
      </w:tr>
      <w:tr>
        <w:trPr/>
        <w:tc>
          <w:tcPr>
            <w:tcW w:w="3716"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Robert Alpert</w:t>
            </w:r>
          </w:p>
          <w:p>
            <w:pPr>
              <w:pStyle w:val="TableContents"/>
              <w:spacing w:before="0" w:after="20"/>
              <w:rPr>
                <w:rFonts w:ascii="Times New Roman" w:hAnsi="Times New Roman"/>
                <w:sz w:val="20"/>
              </w:rPr>
            </w:pPr>
            <w:r>
              <w:rPr>
                <w:rFonts w:ascii="Times New Roman" w:hAnsi="Times New Roman"/>
                <w:sz w:val="20"/>
              </w:rPr>
              <w:t>Robert Alpert</w:t>
            </w:r>
          </w:p>
        </w:tc>
        <w:tc>
          <w:tcPr>
            <w:tcW w:w="106"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665" w:type="dxa"/>
            <w:tcBorders/>
            <w:shd w:fill="auto" w:val="clear"/>
          </w:tcPr>
          <w:p>
            <w:pPr>
              <w:pStyle w:val="TableContents"/>
              <w:spacing w:before="0" w:after="283"/>
              <w:rPr/>
            </w:pPr>
            <w:r>
              <w:rPr/>
              <w:t>Co-Chief Executive Officer and Chairman of the Board of Directors (Principal Executive Officer)</w:t>
            </w:r>
          </w:p>
        </w:tc>
        <w:tc>
          <w:tcPr>
            <w:tcW w:w="120"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398" w:type="dxa"/>
            <w:tcBorders/>
            <w:shd w:fill="auto" w:val="clear"/>
          </w:tcPr>
          <w:p>
            <w:pPr>
              <w:pStyle w:val="TableContents"/>
              <w:spacing w:before="0" w:after="283"/>
              <w:rPr/>
            </w:pPr>
            <w:r>
              <w:rPr/>
              <w:t>May 12, 2022</w:t>
            </w:r>
          </w:p>
        </w:tc>
      </w:tr>
      <w:tr>
        <w:trPr>
          <w:trHeight w:val="240" w:hRule="atLeast"/>
        </w:trPr>
        <w:tc>
          <w:tcPr>
            <w:tcW w:w="3716" w:type="dxa"/>
            <w:tcBorders/>
            <w:shd w:fill="auto" w:val="clear"/>
            <w:vAlign w:val="center"/>
          </w:tcPr>
          <w:p>
            <w:pPr>
              <w:pStyle w:val="TableContents"/>
              <w:spacing w:before="0" w:after="283"/>
              <w:rPr>
                <w:sz w:val="4"/>
                <w:szCs w:val="4"/>
              </w:rPr>
            </w:pPr>
            <w:r>
              <w:rPr>
                <w:sz w:val="4"/>
                <w:szCs w:val="4"/>
              </w:rPr>
            </w:r>
          </w:p>
        </w:tc>
        <w:tc>
          <w:tcPr>
            <w:tcW w:w="586" w:type="dxa"/>
            <w:gridSpan w:val="2"/>
            <w:tcBorders/>
            <w:shd w:fill="auto" w:val="clear"/>
            <w:vAlign w:val="center"/>
          </w:tcPr>
          <w:p>
            <w:pPr>
              <w:pStyle w:val="TableContents"/>
              <w:spacing w:before="0" w:after="283"/>
              <w:rPr>
                <w:sz w:val="4"/>
                <w:szCs w:val="4"/>
              </w:rPr>
            </w:pPr>
            <w:r>
              <w:rPr>
                <w:sz w:val="4"/>
                <w:szCs w:val="4"/>
              </w:rPr>
            </w:r>
          </w:p>
        </w:tc>
        <w:tc>
          <w:tcPr>
            <w:tcW w:w="3785"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1518" w:type="dxa"/>
            <w:gridSpan w:val="2"/>
            <w:tcBorders/>
            <w:shd w:fill="auto" w:val="clear"/>
            <w:vAlign w:val="center"/>
          </w:tcPr>
          <w:p>
            <w:pPr>
              <w:pStyle w:val="TableContents"/>
              <w:spacing w:before="0" w:after="283"/>
              <w:rPr>
                <w:sz w:val="4"/>
                <w:szCs w:val="4"/>
              </w:rPr>
            </w:pPr>
            <w:r>
              <w:rPr>
                <w:sz w:val="4"/>
                <w:szCs w:val="4"/>
              </w:rPr>
            </w:r>
          </w:p>
        </w:tc>
      </w:tr>
      <w:tr>
        <w:trPr/>
        <w:tc>
          <w:tcPr>
            <w:tcW w:w="3716"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C. Clark Webb</w:t>
            </w:r>
          </w:p>
          <w:p>
            <w:pPr>
              <w:pStyle w:val="TableContents"/>
              <w:spacing w:before="0" w:after="20"/>
              <w:rPr>
                <w:rFonts w:ascii="Times New Roman" w:hAnsi="Times New Roman"/>
                <w:sz w:val="20"/>
              </w:rPr>
            </w:pPr>
            <w:r>
              <w:rPr>
                <w:rFonts w:ascii="Times New Roman" w:hAnsi="Times New Roman"/>
                <w:sz w:val="20"/>
              </w:rPr>
              <w:t>C. Clark Webb</w:t>
            </w:r>
          </w:p>
        </w:tc>
        <w:tc>
          <w:tcPr>
            <w:tcW w:w="106"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665" w:type="dxa"/>
            <w:tcBorders/>
            <w:shd w:fill="auto" w:val="clear"/>
          </w:tcPr>
          <w:p>
            <w:pPr>
              <w:pStyle w:val="TableContents"/>
              <w:spacing w:before="0" w:after="283"/>
              <w:rPr/>
            </w:pPr>
            <w:r>
              <w:rPr/>
              <w:t>Co-Chief Executive Officer and Director (Principal Executive Officer)</w:t>
            </w:r>
          </w:p>
        </w:tc>
        <w:tc>
          <w:tcPr>
            <w:tcW w:w="120"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398" w:type="dxa"/>
            <w:tcBorders/>
            <w:shd w:fill="auto" w:val="clear"/>
          </w:tcPr>
          <w:p>
            <w:pPr>
              <w:pStyle w:val="TableContents"/>
              <w:spacing w:before="0" w:after="283"/>
              <w:rPr/>
            </w:pPr>
            <w:r>
              <w:rPr/>
              <w:t>May 12, 2022</w:t>
            </w:r>
          </w:p>
        </w:tc>
      </w:tr>
      <w:tr>
        <w:trPr>
          <w:trHeight w:val="240" w:hRule="atLeast"/>
        </w:trPr>
        <w:tc>
          <w:tcPr>
            <w:tcW w:w="3716" w:type="dxa"/>
            <w:tcBorders/>
            <w:shd w:fill="auto" w:val="clear"/>
            <w:vAlign w:val="center"/>
          </w:tcPr>
          <w:p>
            <w:pPr>
              <w:pStyle w:val="TableContents"/>
              <w:spacing w:before="0" w:after="283"/>
              <w:rPr>
                <w:sz w:val="4"/>
                <w:szCs w:val="4"/>
              </w:rPr>
            </w:pPr>
            <w:r>
              <w:rPr>
                <w:sz w:val="4"/>
                <w:szCs w:val="4"/>
              </w:rPr>
            </w:r>
          </w:p>
        </w:tc>
        <w:tc>
          <w:tcPr>
            <w:tcW w:w="586" w:type="dxa"/>
            <w:gridSpan w:val="2"/>
            <w:tcBorders/>
            <w:shd w:fill="auto" w:val="clear"/>
            <w:vAlign w:val="center"/>
          </w:tcPr>
          <w:p>
            <w:pPr>
              <w:pStyle w:val="TableContents"/>
              <w:spacing w:before="0" w:after="283"/>
              <w:rPr>
                <w:sz w:val="4"/>
                <w:szCs w:val="4"/>
              </w:rPr>
            </w:pPr>
            <w:r>
              <w:rPr>
                <w:sz w:val="4"/>
                <w:szCs w:val="4"/>
              </w:rPr>
            </w:r>
          </w:p>
        </w:tc>
        <w:tc>
          <w:tcPr>
            <w:tcW w:w="3785"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1518" w:type="dxa"/>
            <w:gridSpan w:val="2"/>
            <w:tcBorders/>
            <w:shd w:fill="auto" w:val="clear"/>
            <w:vAlign w:val="center"/>
          </w:tcPr>
          <w:p>
            <w:pPr>
              <w:pStyle w:val="TableContents"/>
              <w:spacing w:before="0" w:after="283"/>
              <w:rPr>
                <w:sz w:val="4"/>
                <w:szCs w:val="4"/>
              </w:rPr>
            </w:pPr>
            <w:r>
              <w:rPr>
                <w:sz w:val="4"/>
                <w:szCs w:val="4"/>
              </w:rPr>
            </w:r>
          </w:p>
        </w:tc>
      </w:tr>
      <w:tr>
        <w:trPr/>
        <w:tc>
          <w:tcPr>
            <w:tcW w:w="3716"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Amanda Coussens</w:t>
            </w:r>
          </w:p>
          <w:p>
            <w:pPr>
              <w:pStyle w:val="TableContents"/>
              <w:spacing w:before="0" w:after="20"/>
              <w:rPr>
                <w:rFonts w:ascii="Times New Roman" w:hAnsi="Times New Roman"/>
                <w:sz w:val="20"/>
              </w:rPr>
            </w:pPr>
            <w:r>
              <w:rPr>
                <w:rFonts w:ascii="Times New Roman" w:hAnsi="Times New Roman"/>
                <w:sz w:val="20"/>
              </w:rPr>
              <w:t>Amanda Coussens</w:t>
            </w:r>
          </w:p>
        </w:tc>
        <w:tc>
          <w:tcPr>
            <w:tcW w:w="106"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665"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Chief Financial Officer (Principal Financial Officer and Principal Accounting Officer) </w:t>
            </w:r>
          </w:p>
        </w:tc>
        <w:tc>
          <w:tcPr>
            <w:tcW w:w="120"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398" w:type="dxa"/>
            <w:tcBorders/>
            <w:shd w:fill="auto" w:val="clear"/>
          </w:tcPr>
          <w:p>
            <w:pPr>
              <w:pStyle w:val="TableContents"/>
              <w:spacing w:before="0" w:after="283"/>
              <w:rPr/>
            </w:pPr>
            <w:r>
              <w:rPr/>
              <w:t>May 12, 2022</w:t>
            </w:r>
          </w:p>
        </w:tc>
      </w:tr>
      <w:tr>
        <w:trPr>
          <w:trHeight w:val="240" w:hRule="atLeast"/>
        </w:trPr>
        <w:tc>
          <w:tcPr>
            <w:tcW w:w="3716" w:type="dxa"/>
            <w:tcBorders/>
            <w:shd w:fill="auto" w:val="clear"/>
            <w:vAlign w:val="center"/>
          </w:tcPr>
          <w:p>
            <w:pPr>
              <w:pStyle w:val="TableContents"/>
              <w:spacing w:before="0" w:after="283"/>
              <w:rPr>
                <w:sz w:val="4"/>
                <w:szCs w:val="4"/>
              </w:rPr>
            </w:pPr>
            <w:r>
              <w:rPr>
                <w:sz w:val="4"/>
                <w:szCs w:val="4"/>
              </w:rPr>
            </w:r>
          </w:p>
        </w:tc>
        <w:tc>
          <w:tcPr>
            <w:tcW w:w="586" w:type="dxa"/>
            <w:gridSpan w:val="2"/>
            <w:tcBorders/>
            <w:shd w:fill="auto" w:val="clear"/>
            <w:vAlign w:val="center"/>
          </w:tcPr>
          <w:p>
            <w:pPr>
              <w:pStyle w:val="TableContents"/>
              <w:spacing w:before="0" w:after="283"/>
              <w:rPr>
                <w:sz w:val="4"/>
                <w:szCs w:val="4"/>
              </w:rPr>
            </w:pPr>
            <w:r>
              <w:rPr>
                <w:sz w:val="4"/>
                <w:szCs w:val="4"/>
              </w:rPr>
            </w:r>
          </w:p>
        </w:tc>
        <w:tc>
          <w:tcPr>
            <w:tcW w:w="3785"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1518" w:type="dxa"/>
            <w:gridSpan w:val="2"/>
            <w:tcBorders/>
            <w:shd w:fill="auto" w:val="clear"/>
            <w:vAlign w:val="center"/>
          </w:tcPr>
          <w:p>
            <w:pPr>
              <w:pStyle w:val="TableContents"/>
              <w:spacing w:before="0" w:after="283"/>
              <w:rPr>
                <w:sz w:val="4"/>
                <w:szCs w:val="4"/>
              </w:rPr>
            </w:pPr>
            <w:r>
              <w:rPr>
                <w:sz w:val="4"/>
                <w:szCs w:val="4"/>
              </w:rPr>
            </w:r>
          </w:p>
        </w:tc>
      </w:tr>
      <w:tr>
        <w:trPr/>
        <w:tc>
          <w:tcPr>
            <w:tcW w:w="3716"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William F. Souder</w:t>
            </w:r>
          </w:p>
          <w:p>
            <w:pPr>
              <w:pStyle w:val="TableContents"/>
              <w:spacing w:before="0" w:after="20"/>
              <w:rPr>
                <w:rFonts w:ascii="Times New Roman" w:hAnsi="Times New Roman"/>
                <w:sz w:val="20"/>
              </w:rPr>
            </w:pPr>
            <w:r>
              <w:rPr>
                <w:rFonts w:ascii="Times New Roman" w:hAnsi="Times New Roman"/>
                <w:sz w:val="20"/>
              </w:rPr>
              <w:t>William F. Souder</w:t>
            </w:r>
          </w:p>
        </w:tc>
        <w:tc>
          <w:tcPr>
            <w:tcW w:w="106"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665" w:type="dxa"/>
            <w:tcBorders/>
            <w:shd w:fill="auto" w:val="clear"/>
          </w:tcPr>
          <w:p>
            <w:pPr>
              <w:pStyle w:val="TableContents"/>
              <w:spacing w:before="0" w:after="283"/>
              <w:rPr/>
            </w:pPr>
            <w:r>
              <w:rPr/>
              <w:t>Director</w:t>
            </w:r>
          </w:p>
        </w:tc>
        <w:tc>
          <w:tcPr>
            <w:tcW w:w="120"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398" w:type="dxa"/>
            <w:tcBorders/>
            <w:shd w:fill="auto" w:val="clear"/>
          </w:tcPr>
          <w:p>
            <w:pPr>
              <w:pStyle w:val="TableContents"/>
              <w:spacing w:before="0" w:after="283"/>
              <w:rPr/>
            </w:pPr>
            <w:r>
              <w:rPr/>
              <w:t>May 12, 2022</w:t>
            </w:r>
          </w:p>
        </w:tc>
      </w:tr>
      <w:tr>
        <w:trPr>
          <w:trHeight w:val="240" w:hRule="atLeast"/>
        </w:trPr>
        <w:tc>
          <w:tcPr>
            <w:tcW w:w="3716" w:type="dxa"/>
            <w:tcBorders/>
            <w:shd w:fill="auto" w:val="clear"/>
            <w:vAlign w:val="center"/>
          </w:tcPr>
          <w:p>
            <w:pPr>
              <w:pStyle w:val="TableContents"/>
              <w:spacing w:before="0" w:after="283"/>
              <w:rPr>
                <w:sz w:val="4"/>
                <w:szCs w:val="4"/>
              </w:rPr>
            </w:pPr>
            <w:r>
              <w:rPr>
                <w:sz w:val="4"/>
                <w:szCs w:val="4"/>
              </w:rPr>
            </w:r>
          </w:p>
        </w:tc>
        <w:tc>
          <w:tcPr>
            <w:tcW w:w="586" w:type="dxa"/>
            <w:gridSpan w:val="2"/>
            <w:tcBorders/>
            <w:shd w:fill="auto" w:val="clear"/>
            <w:vAlign w:val="center"/>
          </w:tcPr>
          <w:p>
            <w:pPr>
              <w:pStyle w:val="TableContents"/>
              <w:spacing w:before="0" w:after="283"/>
              <w:rPr>
                <w:sz w:val="4"/>
                <w:szCs w:val="4"/>
              </w:rPr>
            </w:pPr>
            <w:r>
              <w:rPr>
                <w:sz w:val="4"/>
                <w:szCs w:val="4"/>
              </w:rPr>
            </w:r>
          </w:p>
        </w:tc>
        <w:tc>
          <w:tcPr>
            <w:tcW w:w="3785"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1518" w:type="dxa"/>
            <w:gridSpan w:val="2"/>
            <w:tcBorders/>
            <w:shd w:fill="auto" w:val="clear"/>
            <w:vAlign w:val="center"/>
          </w:tcPr>
          <w:p>
            <w:pPr>
              <w:pStyle w:val="TableContents"/>
              <w:spacing w:before="0" w:after="283"/>
              <w:rPr>
                <w:sz w:val="4"/>
                <w:szCs w:val="4"/>
              </w:rPr>
            </w:pPr>
            <w:r>
              <w:rPr>
                <w:sz w:val="4"/>
                <w:szCs w:val="4"/>
              </w:rPr>
            </w:r>
          </w:p>
        </w:tc>
      </w:tr>
      <w:tr>
        <w:trPr/>
        <w:tc>
          <w:tcPr>
            <w:tcW w:w="3716"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Robert B. Stewart, Jr.</w:t>
            </w:r>
          </w:p>
          <w:p>
            <w:pPr>
              <w:pStyle w:val="TableContents"/>
              <w:spacing w:before="0" w:after="20"/>
              <w:rPr>
                <w:rFonts w:ascii="Times New Roman" w:hAnsi="Times New Roman"/>
                <w:sz w:val="20"/>
              </w:rPr>
            </w:pPr>
            <w:r>
              <w:rPr>
                <w:rFonts w:ascii="Times New Roman" w:hAnsi="Times New Roman"/>
                <w:sz w:val="20"/>
              </w:rPr>
              <w:t xml:space="preserve">Robert B. Stewart, Jr. </w:t>
            </w:r>
          </w:p>
        </w:tc>
        <w:tc>
          <w:tcPr>
            <w:tcW w:w="106"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665" w:type="dxa"/>
            <w:tcBorders/>
            <w:shd w:fill="auto" w:val="clear"/>
          </w:tcPr>
          <w:p>
            <w:pPr>
              <w:pStyle w:val="TableContents"/>
              <w:spacing w:before="0" w:after="283"/>
              <w:rPr/>
            </w:pPr>
            <w:r>
              <w:rPr/>
              <w:t>Director</w:t>
            </w:r>
          </w:p>
        </w:tc>
        <w:tc>
          <w:tcPr>
            <w:tcW w:w="120"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398" w:type="dxa"/>
            <w:tcBorders/>
            <w:shd w:fill="auto" w:val="clear"/>
          </w:tcPr>
          <w:p>
            <w:pPr>
              <w:pStyle w:val="TableContents"/>
              <w:spacing w:before="0" w:after="283"/>
              <w:rPr/>
            </w:pPr>
            <w:r>
              <w:rPr/>
              <w:t>May 12, 2022</w:t>
            </w:r>
          </w:p>
        </w:tc>
      </w:tr>
      <w:tr>
        <w:trPr>
          <w:trHeight w:val="240" w:hRule="atLeast"/>
        </w:trPr>
        <w:tc>
          <w:tcPr>
            <w:tcW w:w="3716" w:type="dxa"/>
            <w:tcBorders/>
            <w:shd w:fill="auto" w:val="clear"/>
            <w:vAlign w:val="center"/>
          </w:tcPr>
          <w:p>
            <w:pPr>
              <w:pStyle w:val="TableContents"/>
              <w:spacing w:before="0" w:after="283"/>
              <w:rPr>
                <w:sz w:val="4"/>
                <w:szCs w:val="4"/>
              </w:rPr>
            </w:pPr>
            <w:r>
              <w:rPr>
                <w:sz w:val="4"/>
                <w:szCs w:val="4"/>
              </w:rPr>
            </w:r>
          </w:p>
        </w:tc>
        <w:tc>
          <w:tcPr>
            <w:tcW w:w="586" w:type="dxa"/>
            <w:gridSpan w:val="2"/>
            <w:tcBorders/>
            <w:shd w:fill="auto" w:val="clear"/>
            <w:vAlign w:val="center"/>
          </w:tcPr>
          <w:p>
            <w:pPr>
              <w:pStyle w:val="TableContents"/>
              <w:spacing w:before="0" w:after="283"/>
              <w:rPr>
                <w:sz w:val="4"/>
                <w:szCs w:val="4"/>
              </w:rPr>
            </w:pPr>
            <w:r>
              <w:rPr>
                <w:sz w:val="4"/>
                <w:szCs w:val="4"/>
              </w:rPr>
            </w:r>
          </w:p>
        </w:tc>
        <w:tc>
          <w:tcPr>
            <w:tcW w:w="3785"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1518" w:type="dxa"/>
            <w:gridSpan w:val="2"/>
            <w:tcBorders/>
            <w:shd w:fill="auto" w:val="clear"/>
            <w:vAlign w:val="center"/>
          </w:tcPr>
          <w:p>
            <w:pPr>
              <w:pStyle w:val="TableContents"/>
              <w:spacing w:before="0" w:after="283"/>
              <w:rPr>
                <w:sz w:val="4"/>
                <w:szCs w:val="4"/>
              </w:rPr>
            </w:pPr>
            <w:r>
              <w:rPr>
                <w:sz w:val="4"/>
                <w:szCs w:val="4"/>
              </w:rPr>
            </w:r>
          </w:p>
        </w:tc>
      </w:tr>
      <w:tr>
        <w:trPr/>
        <w:tc>
          <w:tcPr>
            <w:tcW w:w="3716"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Travis Barnes</w:t>
            </w:r>
          </w:p>
          <w:p>
            <w:pPr>
              <w:pStyle w:val="TableContents"/>
              <w:spacing w:before="0" w:after="20"/>
              <w:rPr>
                <w:rFonts w:ascii="Times New Roman" w:hAnsi="Times New Roman"/>
                <w:sz w:val="20"/>
              </w:rPr>
            </w:pPr>
            <w:r>
              <w:rPr>
                <w:rFonts w:ascii="Times New Roman" w:hAnsi="Times New Roman"/>
                <w:sz w:val="20"/>
              </w:rPr>
              <w:t>Travis Barnes</w:t>
            </w:r>
          </w:p>
        </w:tc>
        <w:tc>
          <w:tcPr>
            <w:tcW w:w="106"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665" w:type="dxa"/>
            <w:tcBorders/>
            <w:shd w:fill="auto" w:val="clear"/>
          </w:tcPr>
          <w:p>
            <w:pPr>
              <w:pStyle w:val="TableContents"/>
              <w:spacing w:before="0" w:after="283"/>
              <w:rPr/>
            </w:pPr>
            <w:r>
              <w:rPr/>
              <w:t>Director</w:t>
            </w:r>
          </w:p>
        </w:tc>
        <w:tc>
          <w:tcPr>
            <w:tcW w:w="120"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398" w:type="dxa"/>
            <w:tcBorders/>
            <w:shd w:fill="auto" w:val="clear"/>
          </w:tcPr>
          <w:p>
            <w:pPr>
              <w:pStyle w:val="TableContents"/>
              <w:spacing w:before="0" w:after="283"/>
              <w:rPr/>
            </w:pPr>
            <w:r>
              <w:rPr/>
              <w:t>May 12, 2022</w:t>
            </w:r>
          </w:p>
        </w:tc>
      </w:tr>
      <w:tr>
        <w:trPr>
          <w:trHeight w:val="240" w:hRule="atLeast"/>
        </w:trPr>
        <w:tc>
          <w:tcPr>
            <w:tcW w:w="3716" w:type="dxa"/>
            <w:tcBorders/>
            <w:shd w:fill="auto" w:val="clear"/>
            <w:vAlign w:val="center"/>
          </w:tcPr>
          <w:p>
            <w:pPr>
              <w:pStyle w:val="TableContents"/>
              <w:spacing w:before="0" w:after="283"/>
              <w:rPr>
                <w:sz w:val="4"/>
                <w:szCs w:val="4"/>
              </w:rPr>
            </w:pPr>
            <w:r>
              <w:rPr>
                <w:sz w:val="4"/>
                <w:szCs w:val="4"/>
              </w:rPr>
            </w:r>
          </w:p>
        </w:tc>
        <w:tc>
          <w:tcPr>
            <w:tcW w:w="586" w:type="dxa"/>
            <w:gridSpan w:val="2"/>
            <w:tcBorders/>
            <w:shd w:fill="auto" w:val="clear"/>
            <w:vAlign w:val="center"/>
          </w:tcPr>
          <w:p>
            <w:pPr>
              <w:pStyle w:val="TableContents"/>
              <w:spacing w:before="0" w:after="283"/>
              <w:rPr>
                <w:sz w:val="4"/>
                <w:szCs w:val="4"/>
              </w:rPr>
            </w:pPr>
            <w:r>
              <w:rPr>
                <w:sz w:val="4"/>
                <w:szCs w:val="4"/>
              </w:rPr>
            </w:r>
          </w:p>
        </w:tc>
        <w:tc>
          <w:tcPr>
            <w:tcW w:w="3785"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1518" w:type="dxa"/>
            <w:gridSpan w:val="2"/>
            <w:tcBorders/>
            <w:shd w:fill="auto" w:val="clear"/>
            <w:vAlign w:val="center"/>
          </w:tcPr>
          <w:p>
            <w:pPr>
              <w:pStyle w:val="TableContents"/>
              <w:spacing w:before="0" w:after="283"/>
              <w:rPr>
                <w:sz w:val="4"/>
                <w:szCs w:val="4"/>
              </w:rPr>
            </w:pPr>
            <w:r>
              <w:rPr>
                <w:sz w:val="4"/>
                <w:szCs w:val="4"/>
              </w:rPr>
            </w:r>
          </w:p>
        </w:tc>
      </w:tr>
      <w:tr>
        <w:trPr/>
        <w:tc>
          <w:tcPr>
            <w:tcW w:w="3716"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Edwin Poston</w:t>
            </w:r>
          </w:p>
          <w:p>
            <w:pPr>
              <w:pStyle w:val="TableContents"/>
              <w:spacing w:before="0" w:after="20"/>
              <w:rPr>
                <w:rFonts w:ascii="Times New Roman" w:hAnsi="Times New Roman"/>
                <w:sz w:val="20"/>
              </w:rPr>
            </w:pPr>
            <w:r>
              <w:rPr>
                <w:rFonts w:ascii="Times New Roman" w:hAnsi="Times New Roman"/>
                <w:sz w:val="20"/>
              </w:rPr>
              <w:t>Edwin Poston</w:t>
            </w:r>
          </w:p>
        </w:tc>
        <w:tc>
          <w:tcPr>
            <w:tcW w:w="106"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665" w:type="dxa"/>
            <w:tcBorders/>
            <w:shd w:fill="auto" w:val="clear"/>
          </w:tcPr>
          <w:p>
            <w:pPr>
              <w:pStyle w:val="TableContents"/>
              <w:spacing w:before="0" w:after="20"/>
              <w:rPr>
                <w:rFonts w:ascii="Times New Roman" w:hAnsi="Times New Roman"/>
                <w:sz w:val="20"/>
              </w:rPr>
            </w:pPr>
            <w:r>
              <w:rPr>
                <w:rFonts w:ascii="Times New Roman" w:hAnsi="Times New Roman"/>
                <w:sz w:val="20"/>
              </w:rPr>
              <w:t>Director</w:t>
            </w:r>
          </w:p>
        </w:tc>
        <w:tc>
          <w:tcPr>
            <w:tcW w:w="120"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398" w:type="dxa"/>
            <w:tcBorders/>
            <w:shd w:fill="auto" w:val="clear"/>
          </w:tcPr>
          <w:p>
            <w:pPr>
              <w:pStyle w:val="TableContents"/>
              <w:spacing w:before="0" w:after="20"/>
              <w:rPr>
                <w:rFonts w:ascii="Times New Roman" w:hAnsi="Times New Roman"/>
                <w:sz w:val="20"/>
              </w:rPr>
            </w:pPr>
            <w:r>
              <w:rPr>
                <w:rFonts w:ascii="Times New Roman" w:hAnsi="Times New Roman"/>
                <w:sz w:val="20"/>
              </w:rPr>
              <w:t>May 12, 2022</w:t>
            </w:r>
          </w:p>
        </w:tc>
      </w:tr>
      <w:tr>
        <w:trPr>
          <w:trHeight w:val="240" w:hRule="atLeast"/>
        </w:trPr>
        <w:tc>
          <w:tcPr>
            <w:tcW w:w="3716" w:type="dxa"/>
            <w:tcBorders/>
            <w:shd w:fill="auto" w:val="clear"/>
            <w:vAlign w:val="center"/>
          </w:tcPr>
          <w:p>
            <w:pPr>
              <w:pStyle w:val="TableContents"/>
              <w:spacing w:before="0" w:after="283"/>
              <w:rPr>
                <w:sz w:val="4"/>
                <w:szCs w:val="4"/>
              </w:rPr>
            </w:pPr>
            <w:r>
              <w:rPr>
                <w:sz w:val="4"/>
                <w:szCs w:val="4"/>
              </w:rPr>
            </w:r>
          </w:p>
        </w:tc>
        <w:tc>
          <w:tcPr>
            <w:tcW w:w="586" w:type="dxa"/>
            <w:gridSpan w:val="2"/>
            <w:tcBorders/>
            <w:shd w:fill="auto" w:val="clear"/>
            <w:vAlign w:val="center"/>
          </w:tcPr>
          <w:p>
            <w:pPr>
              <w:pStyle w:val="TableContents"/>
              <w:spacing w:before="0" w:after="283"/>
              <w:rPr>
                <w:sz w:val="4"/>
                <w:szCs w:val="4"/>
              </w:rPr>
            </w:pPr>
            <w:r>
              <w:rPr>
                <w:sz w:val="4"/>
                <w:szCs w:val="4"/>
              </w:rPr>
            </w:r>
          </w:p>
        </w:tc>
        <w:tc>
          <w:tcPr>
            <w:tcW w:w="3785"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1518" w:type="dxa"/>
            <w:gridSpan w:val="2"/>
            <w:tcBorders/>
            <w:shd w:fill="auto" w:val="clear"/>
            <w:vAlign w:val="center"/>
          </w:tcPr>
          <w:p>
            <w:pPr>
              <w:pStyle w:val="TableContents"/>
              <w:spacing w:before="0" w:after="283"/>
              <w:rPr>
                <w:sz w:val="4"/>
                <w:szCs w:val="4"/>
              </w:rPr>
            </w:pPr>
            <w:r>
              <w:rPr>
                <w:sz w:val="4"/>
                <w:szCs w:val="4"/>
              </w:rPr>
            </w:r>
          </w:p>
        </w:tc>
      </w:tr>
      <w:tr>
        <w:trPr/>
        <w:tc>
          <w:tcPr>
            <w:tcW w:w="3716"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Scott Gwilliam</w:t>
            </w:r>
          </w:p>
          <w:p>
            <w:pPr>
              <w:pStyle w:val="TableContents"/>
              <w:spacing w:before="0" w:after="20"/>
              <w:rPr>
                <w:rFonts w:ascii="Times New Roman" w:hAnsi="Times New Roman"/>
                <w:sz w:val="20"/>
              </w:rPr>
            </w:pPr>
            <w:r>
              <w:rPr>
                <w:rFonts w:ascii="Times New Roman" w:hAnsi="Times New Roman"/>
                <w:sz w:val="20"/>
              </w:rPr>
              <w:t>Scott Gwilliam</w:t>
            </w:r>
          </w:p>
        </w:tc>
        <w:tc>
          <w:tcPr>
            <w:tcW w:w="106"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665" w:type="dxa"/>
            <w:tcBorders/>
            <w:shd w:fill="auto" w:val="clear"/>
          </w:tcPr>
          <w:p>
            <w:pPr>
              <w:pStyle w:val="TableContents"/>
              <w:spacing w:before="0" w:after="20"/>
              <w:rPr>
                <w:rFonts w:ascii="Times New Roman" w:hAnsi="Times New Roman"/>
                <w:sz w:val="20"/>
              </w:rPr>
            </w:pPr>
            <w:r>
              <w:rPr>
                <w:rFonts w:ascii="Times New Roman" w:hAnsi="Times New Roman"/>
                <w:sz w:val="20"/>
              </w:rPr>
              <w:t>Director</w:t>
            </w:r>
          </w:p>
        </w:tc>
        <w:tc>
          <w:tcPr>
            <w:tcW w:w="120" w:type="dxa"/>
            <w:tcBorders/>
            <w:shd w:fill="auto" w:val="clear"/>
            <w:vAlign w:val="bottom"/>
          </w:tcPr>
          <w:p>
            <w:pPr>
              <w:pStyle w:val="TableContents"/>
              <w:spacing w:before="0" w:after="283"/>
              <w:rPr/>
            </w:pPr>
            <w:r>
              <w:rPr/>
              <w:t>  </w:t>
            </w:r>
          </w:p>
        </w:tc>
        <w:tc>
          <w:tcPr>
            <w:tcW w:w="48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398" w:type="dxa"/>
            <w:tcBorders/>
            <w:shd w:fill="auto" w:val="clear"/>
          </w:tcPr>
          <w:p>
            <w:pPr>
              <w:pStyle w:val="TableContents"/>
              <w:spacing w:before="0" w:after="283"/>
              <w:rPr/>
            </w:pPr>
            <w:r>
              <w:rPr/>
              <w:t>May 12, 2022</w:t>
            </w:r>
          </w:p>
        </w:tc>
      </w:tr>
    </w:tbl>
    <w:p>
      <w:pPr>
        <w:pStyle w:val="TextBody"/>
        <w:spacing w:before="0" w:after="0"/>
        <w:jc w:val="right"/>
        <w:rPr>
          <w:rFonts w:ascii="Times New Roman" w:hAnsi="Times New Roman"/>
          <w:b/>
          <w:sz w:val="20"/>
        </w:rPr>
      </w:pPr>
      <w:r>
        <w:br w:type="page"/>
      </w:r>
      <w:bookmarkStart w:id="15" w:name="d280778dex51.htm"/>
      <w:bookmarkStart w:id="16" w:name="ksd280778dex51"/>
      <w:bookmarkEnd w:id="15"/>
      <w:bookmarkEnd w:id="16"/>
      <w:r>
        <w:rPr>
          <w:rFonts w:ascii="Times New Roman" w:hAnsi="Times New Roman"/>
          <w:b/>
          <w:sz w:val="20"/>
        </w:rPr>
        <w:t xml:space="preserve">Exhibit 5.1 </w:t>
      </w:r>
    </w:p>
    <w:p>
      <w:pPr>
        <w:pStyle w:val="TextBody"/>
        <w:spacing w:before="0" w:after="0"/>
        <w:jc w:val="left"/>
        <w:rPr/>
      </w:pPr>
      <w:r>
        <w:rPr/>
        <w:t> </w:t>
      </w:r>
    </w:p>
    <w:p>
      <w:pPr>
        <w:pStyle w:val="TextBody"/>
        <w:spacing w:before="0" w:after="0"/>
        <w:jc w:val="center"/>
        <w:rPr/>
      </w:pPr>
      <w:r>
        <w:rPr/>
        <w:drawing>
          <wp:inline distT="0" distB="0" distL="0" distR="0">
            <wp:extent cx="5800725" cy="127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4"/>
                    <a:stretch>
                      <a:fillRect/>
                    </a:stretch>
                  </pic:blipFill>
                  <pic:spPr bwMode="auto">
                    <a:xfrm>
                      <a:off x="0" y="0"/>
                      <a:ext cx="5800725" cy="1276350"/>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May 12,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P10, Inc.</w:t>
            </w:r>
          </w:p>
          <w:p>
            <w:pPr>
              <w:pStyle w:val="TableContents"/>
              <w:spacing w:before="0" w:after="0"/>
              <w:rPr>
                <w:rFonts w:ascii="Times New Roman" w:hAnsi="Times New Roman"/>
                <w:sz w:val="20"/>
              </w:rPr>
            </w:pPr>
            <w:r>
              <w:rPr>
                <w:rFonts w:ascii="Times New Roman" w:hAnsi="Times New Roman"/>
                <w:sz w:val="20"/>
              </w:rPr>
              <w:t>514 Cole Avenue, Suite 1600</w:t>
            </w:r>
          </w:p>
          <w:p>
            <w:pPr>
              <w:pStyle w:val="TableContents"/>
              <w:spacing w:before="0" w:after="20"/>
              <w:rPr>
                <w:rFonts w:ascii="Times New Roman" w:hAnsi="Times New Roman"/>
                <w:sz w:val="20"/>
              </w:rPr>
            </w:pPr>
            <w:r>
              <w:rPr>
                <w:rFonts w:ascii="Times New Roman" w:hAnsi="Times New Roman"/>
                <w:sz w:val="20"/>
              </w:rPr>
              <w:t>Dallas, TX 75205</w:t>
            </w:r>
          </w:p>
        </w:tc>
      </w:tr>
    </w:tbl>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240" w:after="0"/>
        <w:jc w:val="left"/>
        <w:rPr>
          <w:rFonts w:ascii="Times New Roman" w:hAnsi="Times New Roman"/>
          <w:sz w:val="20"/>
        </w:rPr>
      </w:pPr>
      <w:r>
        <w:rPr>
          <w:rFonts w:ascii="Times New Roman" w:hAnsi="Times New Roman"/>
          <w:sz w:val="20"/>
        </w:rPr>
        <w:t xml:space="preserve">We have acted as counsel to P10, Inc., a Delaware corporation (the Company), in connection with the filing of a Registration Statement on Form S-8 (the Registration Statement) with the Securities and Exchange Commission (the Commission) under the Securities Act of 1933 (the Act). The Registration Statement relates to registration under the Act by the Company of 9,300,000 shares (the Shares) of Class A common stock, par value $0.001 per share, of the Company to be offered and sold pursuant to the P10 Holdings, Inc. 2018 Stock Incentive Plan, as assumed by the Company, and the Companys 2021 Stock Plan (collectively, the Plans). </w:t>
      </w:r>
    </w:p>
    <w:p>
      <w:pPr>
        <w:pStyle w:val="TextBody"/>
        <w:spacing w:before="240" w:after="0"/>
        <w:jc w:val="left"/>
        <w:rPr>
          <w:rFonts w:ascii="Times New Roman" w:hAnsi="Times New Roman"/>
          <w:sz w:val="20"/>
        </w:rPr>
      </w:pPr>
      <w:r>
        <w:rPr>
          <w:rFonts w:ascii="Times New Roman" w:hAnsi="Times New Roman"/>
          <w:sz w:val="20"/>
        </w:rPr>
        <w:t xml:space="preserve">We have examined such documents and such matters of fact and law as we deem necessary to render the opinions contained herein. In our examination, we have assumed, but have not independently verified, the genuineness of all signatures, the conformity to original documents of all documents submitted to us as certified, facsimile or other copies, and the authenticity of all such documents. As to questions of fact material to this opinion, we have relied on certificates or comparable documents of public officials and of officers and representatives of the Company. </w:t>
      </w:r>
    </w:p>
    <w:p>
      <w:pPr>
        <w:pStyle w:val="TextBody"/>
        <w:spacing w:before="240" w:after="0"/>
        <w:jc w:val="left"/>
        <w:rPr>
          <w:rFonts w:ascii="Times New Roman" w:hAnsi="Times New Roman"/>
          <w:sz w:val="20"/>
        </w:rPr>
      </w:pPr>
      <w:r>
        <w:rPr>
          <w:rFonts w:ascii="Times New Roman" w:hAnsi="Times New Roman"/>
          <w:sz w:val="20"/>
        </w:rPr>
        <w:t xml:space="preserve">Based on the foregoing, and subject to the qualifications stated herein, we are of the opinion that the Shares to be issued by the Company under the Plans, when issued and sold in accordance with the terms of the respective Plans, and the Shares that have been issued under the Plans when sold in accordance with the terms of the respective Plans, will be validly issued, fully paid and non-assessable. </w:t>
      </w:r>
    </w:p>
    <w:p>
      <w:pPr>
        <w:pStyle w:val="TextBody"/>
        <w:spacing w:before="240" w:after="0"/>
        <w:jc w:val="left"/>
        <w:rPr>
          <w:rFonts w:ascii="Times New Roman" w:hAnsi="Times New Roman"/>
          <w:sz w:val="20"/>
        </w:rPr>
      </w:pPr>
      <w:r>
        <w:rPr>
          <w:rFonts w:ascii="Times New Roman" w:hAnsi="Times New Roman"/>
          <w:sz w:val="20"/>
        </w:rPr>
        <w:t xml:space="preserve">The opinions expressed herein are limited to the General Corporation Law of the State of Delaware and we express no opinion as to the effect on the matters covered by this letter of the laws of any other jurisdiction. </w:t>
      </w:r>
    </w:p>
    <w:p>
      <w:pPr>
        <w:pStyle w:val="TextBody"/>
        <w:spacing w:before="0" w:after="0"/>
        <w:jc w:val="left"/>
        <w:rPr/>
      </w:pPr>
      <w:r>
        <w:rPr/>
        <w:t> </w:t>
      </w:r>
    </w:p>
    <w:p>
      <w:pPr>
        <w:pStyle w:val="TextBody"/>
        <w:spacing w:before="0" w:after="0"/>
        <w:jc w:val="center"/>
        <w:rPr/>
      </w:pPr>
      <w:r>
        <w:rPr/>
        <w:drawing>
          <wp:inline distT="0" distB="0" distL="0" distR="0">
            <wp:extent cx="5200650"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5200650" cy="285750"/>
                    </a:xfrm>
                    <a:prstGeom prst="rect">
                      <a:avLst/>
                    </a:prstGeom>
                  </pic:spPr>
                </pic:pic>
              </a:graphicData>
            </a:graphic>
          </wp:inline>
        </w:drawing>
      </w:r>
      <w:r>
        <w:rPr/>
        <w:t xml:space="preserv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May 12, 2022 </w:t>
      </w:r>
    </w:p>
    <w:p>
      <w:pPr>
        <w:pStyle w:val="TextBody"/>
        <w:spacing w:before="0" w:after="0"/>
        <w:jc w:val="left"/>
        <w:rPr>
          <w:rFonts w:ascii="Times New Roman" w:hAnsi="Times New Roman"/>
          <w:sz w:val="20"/>
        </w:rPr>
      </w:pPr>
      <w:r>
        <w:rPr>
          <w:rFonts w:ascii="Times New Roman" w:hAnsi="Times New Roman"/>
          <w:sz w:val="20"/>
        </w:rPr>
        <w:t xml:space="preserve">Page 2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We hereby consent to the filing of this letter as Exhibit 5.1 to the Registration Statement. In giving such consent, we do not hereby admit that we are in the category of persons whose consent is required under Section 7 of the Act or the rules and regulations of the Commission. </w:t>
      </w:r>
    </w:p>
    <w:p>
      <w:pPr>
        <w:pStyle w:val="TextBody"/>
        <w:spacing w:before="240" w:after="0"/>
        <w:jc w:val="left"/>
        <w:rPr>
          <w:rFonts w:ascii="Times New Roman" w:hAnsi="Times New Roman"/>
          <w:sz w:val="20"/>
        </w:rPr>
      </w:pPr>
      <w:r>
        <w:rPr>
          <w:rFonts w:ascii="Times New Roman" w:hAnsi="Times New Roman"/>
          <w:sz w:val="20"/>
        </w:rPr>
        <w:t xml:space="preserve">Sincerely, </w:t>
      </w:r>
    </w:p>
    <w:p>
      <w:pPr>
        <w:pStyle w:val="TextBody"/>
        <w:spacing w:before="240" w:after="0"/>
        <w:jc w:val="left"/>
        <w:rPr>
          <w:rFonts w:ascii="Times New Roman" w:hAnsi="Times New Roman"/>
          <w:sz w:val="20"/>
        </w:rPr>
      </w:pPr>
      <w:r>
        <w:rPr>
          <w:rFonts w:ascii="Times New Roman" w:hAnsi="Times New Roman"/>
          <w:sz w:val="20"/>
        </w:rPr>
        <w:t xml:space="preserve">/s/ Baker &amp; Hostetler, LLP </w:t>
      </w:r>
    </w:p>
    <w:p>
      <w:pPr>
        <w:pStyle w:val="TextBody"/>
        <w:spacing w:before="0" w:after="0"/>
        <w:jc w:val="left"/>
        <w:rPr>
          <w:rFonts w:ascii="Times New Roman" w:hAnsi="Times New Roman"/>
          <w:sz w:val="20"/>
        </w:rPr>
      </w:pPr>
      <w:r>
        <w:rPr>
          <w:rFonts w:ascii="Times New Roman" w:hAnsi="Times New Roman"/>
          <w:sz w:val="20"/>
        </w:rPr>
        <w:t xml:space="preserve">Baker &amp; Hostetler, LLP </w:t>
      </w:r>
      <w:r>
        <w:br w:type="page"/>
      </w:r>
    </w:p>
    <w:p>
      <w:pPr>
        <w:pStyle w:val="TextBody"/>
        <w:spacing w:before="0" w:after="0"/>
        <w:jc w:val="right"/>
        <w:rPr>
          <w:rFonts w:ascii="Times New Roman" w:hAnsi="Times New Roman"/>
          <w:b/>
          <w:sz w:val="20"/>
        </w:rPr>
      </w:pPr>
      <w:bookmarkStart w:id="17" w:name="d280778dex231.htm"/>
      <w:bookmarkStart w:id="18" w:name="ksd280778dex231"/>
      <w:bookmarkEnd w:id="17"/>
      <w:bookmarkEnd w:id="18"/>
      <w:r>
        <w:rPr>
          <w:rFonts w:ascii="Times New Roman" w:hAnsi="Times New Roman"/>
          <w:b/>
          <w:sz w:val="20"/>
        </w:rPr>
        <w:t xml:space="preserve">Exhibit 23.1 </w:t>
      </w:r>
    </w:p>
    <w:p>
      <w:pPr>
        <w:pStyle w:val="TextBody"/>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consent to the use of our report dated March 18, 2022, with respect to the consolidated financial statements of P10, Inc., incorporated herein by reference and to the reference to our firm under the heading Experts in the prospectus. </w:t>
      </w:r>
    </w:p>
    <w:p>
      <w:pPr>
        <w:pStyle w:val="TextBody"/>
        <w:spacing w:before="240" w:after="0"/>
        <w:jc w:val="left"/>
        <w:rPr>
          <w:rFonts w:ascii="Times New Roman" w:hAnsi="Times New Roman"/>
          <w:sz w:val="20"/>
        </w:rPr>
      </w:pPr>
      <w:r>
        <w:rPr>
          <w:rFonts w:ascii="Times New Roman" w:hAnsi="Times New Roman"/>
          <w:sz w:val="20"/>
        </w:rPr>
        <w:t xml:space="preserve">/s/ KPMG LLP </w:t>
      </w:r>
    </w:p>
    <w:p>
      <w:pPr>
        <w:pStyle w:val="TextBody"/>
        <w:spacing w:before="240" w:after="0"/>
        <w:jc w:val="left"/>
        <w:rPr>
          <w:rFonts w:ascii="Times New Roman" w:hAnsi="Times New Roman"/>
          <w:sz w:val="20"/>
        </w:rPr>
      </w:pPr>
      <w:r>
        <w:rPr>
          <w:rFonts w:ascii="Times New Roman" w:hAnsi="Times New Roman"/>
          <w:sz w:val="20"/>
        </w:rPr>
        <w:t xml:space="preserve">Chicago, Illinois </w:t>
      </w:r>
    </w:p>
    <w:p>
      <w:pPr>
        <w:pStyle w:val="TextBody"/>
        <w:spacing w:before="0" w:after="0"/>
        <w:jc w:val="left"/>
        <w:rPr>
          <w:rFonts w:ascii="Times New Roman" w:hAnsi="Times New Roman"/>
          <w:sz w:val="20"/>
        </w:rPr>
      </w:pPr>
      <w:r>
        <w:rPr>
          <w:rFonts w:ascii="Times New Roman" w:hAnsi="Times New Roman"/>
          <w:sz w:val="20"/>
        </w:rPr>
        <w:t xml:space="preserve">May 12, 2022 </w:t>
      </w:r>
      <w:r>
        <w:br w:type="page"/>
      </w:r>
    </w:p>
    <w:p>
      <w:pPr>
        <w:pStyle w:val="TextBody"/>
        <w:spacing w:before="0" w:after="0"/>
        <w:jc w:val="right"/>
        <w:rPr>
          <w:rFonts w:ascii="Times New Roman" w:hAnsi="Times New Roman"/>
          <w:b/>
          <w:sz w:val="20"/>
        </w:rPr>
      </w:pPr>
      <w:bookmarkStart w:id="19" w:name="d280778dex991.htm"/>
      <w:bookmarkStart w:id="20" w:name="ksd280778dex991"/>
      <w:bookmarkEnd w:id="19"/>
      <w:bookmarkEnd w:id="20"/>
      <w:r>
        <w:rPr>
          <w:rFonts w:ascii="Times New Roman" w:hAnsi="Times New Roman"/>
          <w:b/>
          <w:sz w:val="20"/>
        </w:rPr>
        <w:t xml:space="preserve">Exhibit 99.1 </w:t>
      </w:r>
    </w:p>
    <w:p>
      <w:pPr>
        <w:pStyle w:val="TextBody"/>
        <w:spacing w:before="240" w:after="0"/>
        <w:jc w:val="center"/>
        <w:rPr>
          <w:rFonts w:ascii="Times New Roman" w:hAnsi="Times New Roman"/>
          <w:b/>
          <w:sz w:val="20"/>
        </w:rPr>
      </w:pPr>
      <w:r>
        <w:rPr>
          <w:rFonts w:ascii="Times New Roman" w:hAnsi="Times New Roman"/>
          <w:b/>
          <w:sz w:val="20"/>
        </w:rPr>
        <w:t xml:space="preserve">P10 HOLDINGS, INC. </w:t>
      </w:r>
    </w:p>
    <w:p>
      <w:pPr>
        <w:pStyle w:val="TextBody"/>
        <w:spacing w:before="0" w:after="0"/>
        <w:jc w:val="center"/>
        <w:rPr>
          <w:rFonts w:ascii="Times New Roman" w:hAnsi="Times New Roman"/>
          <w:b/>
          <w:sz w:val="20"/>
        </w:rPr>
      </w:pPr>
      <w:r>
        <w:rPr>
          <w:rFonts w:ascii="Times New Roman" w:hAnsi="Times New Roman"/>
          <w:b/>
          <w:sz w:val="20"/>
        </w:rPr>
        <w:t xml:space="preserve">2018 STOCK INCENTIVE PLAN </w:t>
      </w:r>
    </w:p>
    <w:p>
      <w:pPr>
        <w:pStyle w:val="TextBody"/>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Establishment and Purpose</w:t>
      </w:r>
      <w:r>
        <w:rPr>
          <w:rFonts w:ascii="Times New Roman" w:hAnsi="Times New Roman"/>
          <w:sz w:val="20"/>
        </w:rPr>
        <w:t>. This 2018 Stock Incentive Plan (as the same may be amended, the </w:t>
      </w:r>
      <w:r>
        <w:rPr>
          <w:rFonts w:ascii="Times New Roman" w:hAnsi="Times New Roman"/>
          <w:sz w:val="20"/>
          <w:u w:val="single"/>
        </w:rPr>
        <w:t>Plan</w:t>
      </w:r>
      <w:r>
        <w:rPr>
          <w:rFonts w:ascii="Times New Roman" w:hAnsi="Times New Roman"/>
          <w:sz w:val="20"/>
        </w:rPr>
        <w:t>) is established by P10 Holdings, Inc., a Delaware corporation (the </w:t>
      </w:r>
      <w:r>
        <w:rPr>
          <w:rFonts w:ascii="Times New Roman" w:hAnsi="Times New Roman"/>
          <w:sz w:val="20"/>
          <w:u w:val="single"/>
        </w:rPr>
        <w:t>Company</w:t>
      </w:r>
      <w:r>
        <w:rPr>
          <w:rFonts w:ascii="Times New Roman" w:hAnsi="Times New Roman"/>
          <w:sz w:val="20"/>
        </w:rPr>
        <w:t>), as of April 11, 2018 (the </w:t>
      </w:r>
      <w:r>
        <w:rPr>
          <w:rFonts w:ascii="Times New Roman" w:hAnsi="Times New Roman"/>
          <w:sz w:val="20"/>
          <w:u w:val="single"/>
        </w:rPr>
        <w:t>Effective Date</w:t>
      </w:r>
      <w:r>
        <w:rPr>
          <w:rFonts w:ascii="Times New Roman" w:hAnsi="Times New Roman"/>
          <w:sz w:val="20"/>
        </w:rPr>
        <w:t>). The Plan is designed to enable the Company and its subsidiaries to attract, retain and motivate directors, members of management and certain other officers, key employees and service providers of the Company and its subsidiaries by providing for or increasing their proprietary interest in the Company. The Plan provides for the grant or sale of options (</w:t>
      </w:r>
      <w:r>
        <w:rPr>
          <w:rFonts w:ascii="Times New Roman" w:hAnsi="Times New Roman"/>
          <w:sz w:val="20"/>
          <w:u w:val="single"/>
        </w:rPr>
        <w:t>Options</w:t>
      </w:r>
      <w:r>
        <w:rPr>
          <w:rFonts w:ascii="Times New Roman" w:hAnsi="Times New Roman"/>
          <w:sz w:val="20"/>
        </w:rPr>
        <w:t>) to purchase shares of the common stock of the Company, par value $0.001 per share (</w:t>
      </w:r>
      <w:r>
        <w:rPr>
          <w:rFonts w:ascii="Times New Roman" w:hAnsi="Times New Roman"/>
          <w:sz w:val="20"/>
          <w:u w:val="single"/>
        </w:rPr>
        <w:t>Shares</w:t>
      </w:r>
      <w:r>
        <w:rPr>
          <w:rFonts w:ascii="Times New Roman" w:hAnsi="Times New Roman"/>
          <w:sz w:val="20"/>
        </w:rPr>
        <w:t>), that do not qualify as incentive stock options under Section 422 of the Internal Revenue Code of 1986, as amended (the </w:t>
      </w:r>
      <w:r>
        <w:rPr>
          <w:rFonts w:ascii="Times New Roman" w:hAnsi="Times New Roman"/>
          <w:sz w:val="20"/>
          <w:u w:val="single"/>
        </w:rPr>
        <w:t>Code</w:t>
      </w:r>
      <w:r>
        <w:rPr>
          <w:rFonts w:ascii="Times New Roman" w:hAnsi="Times New Roman"/>
          <w:sz w:val="20"/>
        </w:rPr>
        <w:t>) and for the grant or sale of restricted or unrestricted Shares (</w:t>
      </w:r>
      <w:r>
        <w:rPr>
          <w:rFonts w:ascii="Times New Roman" w:hAnsi="Times New Roman"/>
          <w:sz w:val="20"/>
          <w:u w:val="single"/>
        </w:rPr>
        <w:t>Stock Award</w:t>
      </w:r>
      <w:r>
        <w:rPr>
          <w:rFonts w:ascii="Times New Roman" w:hAnsi="Times New Roman"/>
          <w:sz w:val="20"/>
        </w:rPr>
        <w:t>s and together with Options, </w:t>
      </w:r>
      <w:r>
        <w:rPr>
          <w:rFonts w:ascii="Times New Roman" w:hAnsi="Times New Roman"/>
          <w:sz w:val="20"/>
          <w:u w:val="single"/>
        </w:rPr>
        <w:t>Awards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Stock Subject to Plan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The number of Shares that may be issued pursuant to Awards granted hereunder in the aggregate shall not exceed 8,000,000 Shares, subject to adjustment under Section 10. Shares that may be issued pursuant to Awards hereunder may be authorized and unissued Shares or Shares reacquired by the Company and held as treasury stock. </w:t>
      </w:r>
    </w:p>
    <w:p>
      <w:pPr>
        <w:pStyle w:val="TextBody"/>
        <w:spacing w:before="120" w:after="0"/>
        <w:jc w:val="left"/>
        <w:rPr>
          <w:rFonts w:ascii="Times New Roman" w:hAnsi="Times New Roman"/>
          <w:sz w:val="20"/>
        </w:rPr>
      </w:pPr>
      <w:r>
        <w:rPr>
          <w:rFonts w:ascii="Times New Roman" w:hAnsi="Times New Roman"/>
          <w:sz w:val="20"/>
        </w:rPr>
        <w:t xml:space="preserve">b. Shares that are subject to the unexercised or otherwise forfeited portions of any Awards that expire, terminate, are cancelled or forfeited, or are reacquired by the Company pursuant to restrictions placed thereon at the time of grant, issuance or sale of such Awards shall again be available for the grant of Awards under the Plan. </w:t>
      </w:r>
    </w:p>
    <w:p>
      <w:pPr>
        <w:pStyle w:val="TextBody"/>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Shares Subject to the Certificate of Incorporation</w:t>
      </w:r>
      <w:r>
        <w:rPr>
          <w:rFonts w:ascii="Times New Roman" w:hAnsi="Times New Roman"/>
          <w:sz w:val="20"/>
        </w:rPr>
        <w:t xml:space="preserve">. All Shares issuable under Awards issued, sold or granted pursuant to the Plan shall be subject to the terms and restrictions contained in the Certificate of Incorporation of the Company, as amended from time to time. </w:t>
      </w:r>
    </w:p>
    <w:p>
      <w:pPr>
        <w:pStyle w:val="TextBody"/>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Administration of the Plan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The Plan shall be administered by a committee (the </w:t>
      </w:r>
      <w:r>
        <w:rPr>
          <w:rFonts w:ascii="Times New Roman" w:hAnsi="Times New Roman"/>
          <w:sz w:val="20"/>
          <w:u w:val="single"/>
        </w:rPr>
        <w:t>Committee</w:t>
      </w:r>
      <w:r>
        <w:rPr>
          <w:rFonts w:ascii="Times New Roman" w:hAnsi="Times New Roman"/>
          <w:sz w:val="20"/>
        </w:rPr>
        <w:t>) appointed by the Board of Directors of the Company (the </w:t>
      </w:r>
      <w:r>
        <w:rPr>
          <w:rFonts w:ascii="Times New Roman" w:hAnsi="Times New Roman"/>
          <w:sz w:val="20"/>
          <w:u w:val="single"/>
        </w:rPr>
        <w:t>Board</w:t>
      </w:r>
      <w:r>
        <w:rPr>
          <w:rFonts w:ascii="Times New Roman" w:hAnsi="Times New Roman"/>
          <w:sz w:val="20"/>
        </w:rPr>
        <w:t xml:space="preserve">). If no persons are designated by the Board to serve on the Committee, the Plan shall be administered by the Board and all references herein to the Committee shall refer to the Board. The Board shall have the sole discretion to add, remove or replace members of the Committee, and shall have the sole authority to fill vacancies on the Committee. </w:t>
      </w:r>
    </w:p>
    <w:p>
      <w:pPr>
        <w:pStyle w:val="TextBody"/>
        <w:spacing w:before="120" w:after="0"/>
        <w:jc w:val="left"/>
        <w:rPr>
          <w:rFonts w:ascii="Times New Roman" w:hAnsi="Times New Roman"/>
          <w:sz w:val="20"/>
        </w:rPr>
      </w:pPr>
      <w:r>
        <w:rPr>
          <w:rFonts w:ascii="Times New Roman" w:hAnsi="Times New Roman"/>
          <w:sz w:val="20"/>
        </w:rPr>
        <w:t xml:space="preserve">b. The Committee shall have the sole authority, in its sole discretion, (i) to adopt, amend, and rescind such rules and regulations as, in its opinion, may be advisable in the administration of the Plan, (ii) to construct and interpret the Plan, the rules and regulations, and the agreements and other instruments evidencing Awards sold or granted under the Plan, and (iii) to make all other determinations deemed necessary or advisable for the administration of the Plan. All decisions, determinations and interpretations of the Committee shall be final and conclusive upon the Participants (as hereinafter defined) and all other individuals. The Committee may delegate some or all of its rights and responsibilities hereunder (other than the ability to grant Awards), and any reference herein to the Committee shall include such delegate to the extent of such delegation.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c. Subject to the express provisions of the Plan, the Committee shall determine the number of Shares subject to Awards and the terms and conditions thereof, including (to the extent applicable) the provisions relating to the exercisability, lapse and non-lapse restrictions, vesting, termination, forfeiture and settlement of Awards under the Plan. The terms upon which Awards are issued, sold or granted shall be evidenced by a written agreement, executed by the Company and the Participant (each, an </w:t>
      </w:r>
      <w:r>
        <w:rPr>
          <w:rFonts w:ascii="Times New Roman" w:hAnsi="Times New Roman"/>
          <w:sz w:val="20"/>
          <w:u w:val="single"/>
        </w:rPr>
        <w:t>Agreemen</w:t>
      </w:r>
      <w:r>
        <w:rPr>
          <w:rFonts w:ascii="Times New Roman" w:hAnsi="Times New Roman"/>
          <w:sz w:val="20"/>
        </w:rPr>
        <w:t xml:space="preserve">t), containing such terms and conditions as may be approved by the Committee. </w:t>
      </w:r>
    </w:p>
    <w:p>
      <w:pPr>
        <w:pStyle w:val="TextBody"/>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Eligibility</w:t>
      </w:r>
      <w:r>
        <w:rPr>
          <w:rFonts w:ascii="Times New Roman" w:hAnsi="Times New Roman"/>
          <w:sz w:val="20"/>
        </w:rPr>
        <w:t>. Persons who shall be eligible for grants of Awards hereunder shall be those independent non-employee directors, officers, employees and other service providers (other than a provider of capital raising services) of the Company or a subsidiary of the Company who the Committee may from time to time designate to participate under the Plan (collectively, the </w:t>
      </w:r>
      <w:r>
        <w:rPr>
          <w:rFonts w:ascii="Times New Roman" w:hAnsi="Times New Roman"/>
          <w:sz w:val="20"/>
          <w:u w:val="single"/>
        </w:rPr>
        <w:t>Participants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Terms and Conditions of Options</w:t>
      </w:r>
      <w:r>
        <w:rPr>
          <w:rFonts w:ascii="Times New Roman" w:hAnsi="Times New Roman"/>
          <w:sz w:val="20"/>
        </w:rPr>
        <w:t xml:space="preserve">. No Option shall be granted for a term of more than ten (10) years. In addition, no Option shall become exercisable until at least three (3) years have lapsed from the date the Option is granted. The Company shall retain the right, in its sole discretion, to settle any Option granted hereunder in either Shares or a lump sum cash payment equal to the fair market value of the Shares as of the date the Option is exercised less the applicable exercise price. The Agreement may contain such other terms, provisions, and conditions as may be determined by the Committee as long as such terms, conditions and provisions are not expressly inconsistent with the Plan. </w:t>
      </w:r>
    </w:p>
    <w:p>
      <w:pPr>
        <w:pStyle w:val="TextBody"/>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Exercise Price of Options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The exercise price for each Option granted hereunder shall be set forth in the Agreement. Subject to Section 7(b), in all events, the exercise price shall not be less than the fair market value of the Shares as of the date the Option is granted. </w:t>
      </w:r>
    </w:p>
    <w:p>
      <w:pPr>
        <w:pStyle w:val="TextBody"/>
        <w:spacing w:before="120" w:after="0"/>
        <w:jc w:val="left"/>
        <w:rPr>
          <w:rFonts w:ascii="Times New Roman" w:hAnsi="Times New Roman"/>
          <w:sz w:val="20"/>
        </w:rPr>
      </w:pPr>
      <w:r>
        <w:rPr>
          <w:rFonts w:ascii="Times New Roman" w:hAnsi="Times New Roman"/>
          <w:sz w:val="20"/>
        </w:rPr>
        <w:t xml:space="preserve">b. The fair market value of Shares for the purposes of the Plan shall be determined by the Board or the Committee, whose valuation shall be binding upon each Participant. In all events, fair market value shall be determined consistently with the requirements of Section 409A of the Code, to the extent applicable. </w:t>
      </w:r>
    </w:p>
    <w:p>
      <w:pPr>
        <w:pStyle w:val="TextBody"/>
        <w:spacing w:before="120" w:after="0"/>
        <w:jc w:val="left"/>
        <w:rPr>
          <w:rFonts w:ascii="Times New Roman" w:hAnsi="Times New Roman"/>
          <w:sz w:val="20"/>
        </w:rPr>
      </w:pPr>
      <w:r>
        <w:rPr>
          <w:rFonts w:ascii="Times New Roman" w:hAnsi="Times New Roman"/>
          <w:sz w:val="20"/>
        </w:rPr>
        <w:t xml:space="preserve">c. Payment of the exercise price for any Option granted hereunder shall be in cash at the time of exercise, except that, if either the Agreement so provides or the Committee in its sole discretion so permits, and if the Company is not then prohibited from doing so, such payment may be made in whole or in part with surrendered or withheld Shares, or, if the Option is settled in cash with an offset against the cash payment payable to the Participant. The Committee in its sole discretion also may on an individual basis permit payment or agree to permit payment of the exercise price of any Option by any other lawful means.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Terms and Conditions of Stock Awards</w:t>
      </w:r>
      <w:r>
        <w:rPr>
          <w:rFonts w:ascii="Times New Roman" w:hAnsi="Times New Roman"/>
          <w:sz w:val="20"/>
        </w:rPr>
        <w:t xml:space="preserve">. The sale, grant, issuance, vesting and/or settlement of any Stock Award shall occur at such time and be subject to such terms and conditions as determined by the Committee, which may include conditions based on continued employment or engagement, passage of time, attainment of age and/or service requirements, and/or satisfaction of performance conditions. In addition, the Committee shall have the right to grant Stock Awards as the form of payment for grants or rights earned or due under other compensation plans or arrangements of the Company. Participants in whose name a Stock Award is granted shall be entitled to receive all dividends and other distributions paid with respect to those Shares, unless determined otherwise by the Committee. </w:t>
      </w:r>
    </w:p>
    <w:p>
      <w:pPr>
        <w:pStyle w:val="TextBody"/>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Non-transferability</w:t>
      </w:r>
      <w:r>
        <w:rPr>
          <w:rFonts w:ascii="Times New Roman" w:hAnsi="Times New Roman"/>
          <w:sz w:val="20"/>
        </w:rPr>
        <w:t xml:space="preserve">. Unless otherwise expressly provided in the Agreement or approved by the Committee, any Award granted under the Plan shall by its terms be nontransferable by the Participant other than by will or the laws of descent and distribution (in which case such descendant or beneficiary shall be subject to all terms of the Plan applicable to the Participants) and is exercisable during the Participants lifetime only by the Participant or by the Participants guardian or legal representative. </w:t>
      </w:r>
    </w:p>
    <w:p>
      <w:pPr>
        <w:pStyle w:val="TextBody"/>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Investment Representations</w:t>
      </w:r>
      <w:r>
        <w:rPr>
          <w:rFonts w:ascii="Times New Roman" w:hAnsi="Times New Roman"/>
          <w:sz w:val="20"/>
        </w:rPr>
        <w:t xml:space="preserve">. Each Agreement may contain an agreement that, upon demand by the Committee, the Participant shall deliver to the Committee at the time of receipt of any Shares upon grant, exercise or settlement of any Award a written representation that such Shares are being acquired for investment and not for resale or with a view to the distribution thereof. Upon such demand, delivery of such representation prior to the delivery of any such Shares shall be a condition precedent to the right of the Participant to receive such Shares. </w:t>
      </w:r>
    </w:p>
    <w:p>
      <w:pPr>
        <w:pStyle w:val="TextBody"/>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Adjustments; Acceleration; Cancellation</w:t>
      </w:r>
      <w:r>
        <w:rPr>
          <w:rFonts w:ascii="Times New Roman" w:hAnsi="Times New Roman"/>
          <w:sz w:val="20"/>
        </w:rPr>
        <w:t xml:space="preserve">. In the event of any one or more reorganizations, recapitalizations, stock splits, reverse stock splits, stock dividends, extraordinary dividends or distributions, or similar events, the Committee shall make appropriate adjustments in the number, exercise or sale price and/or type of shares or securities and other terms and conditions of previously granted and future Awards. Except as limited by Section 6 hereof, the Committee may provide in any Agreement that it may at any time accelerate the vesting or lapse of restrictions with respect to all or any portion of any Award granted, issued or sold under the Plan without the consent of the affected holder of such Award. The Agreement shall specify the treatment of Awards in connection with a change in control of the Company. Any Award granted under the Plan may be canceled at any time with the consent of the holder, and a new Award may be granted to such a holder in lieu thereof. </w:t>
      </w:r>
    </w:p>
    <w:p>
      <w:pPr>
        <w:pStyle w:val="TextBody"/>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Covenants</w:t>
      </w:r>
      <w:r>
        <w:rPr>
          <w:rFonts w:ascii="Times New Roman" w:hAnsi="Times New Roman"/>
          <w:sz w:val="20"/>
        </w:rPr>
        <w:t xml:space="preserve">. A Participant shall, if so determined by the Committee, be subject to non-competition and non-solicitation covenants during the time that the Participant performs services for the Company or any affiliate and any period subsequent to termination specified in the applicable Agreement. In addition, at all times such a Participant shall be obligated to protect the confidential information of the Company and its affiliates, to assign to the Company all rights to any inventions while recipient is performing services for the Company and not to disparage the Company and its affiliates. Any such provisions shall be set forth in the Participants Agreement. </w:t>
      </w:r>
    </w:p>
    <w:p>
      <w:pPr>
        <w:pStyle w:val="TextBody"/>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Conditions to Delivery of Shares; Restrictions upon Shares</w:t>
      </w:r>
      <w:r>
        <w:rPr>
          <w:rFonts w:ascii="Times New Roman" w:hAnsi="Times New Roman"/>
          <w:sz w:val="20"/>
        </w:rPr>
        <w:t xml:space="preserve">. The Company shall not be required to register in a Participants name or issue or deliver any certificate or certificates for Shares purchased upon the exercise of any Option or portion thereof or subject to any Stock Award prior to fulfillment of all of the following conditions: (i) the admission of such Shares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listing on all stock exchanges, if any, on which such class of stock is then listed; (ii) 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 (iii) the obtaining of any approval or other clearance from any state or federal governmental agency which the Committee shall, in its absolute discretion, deem necessary or advisable; (iv) the lapse of such reasonable period of time following the exercise of any Option or the vesting of any Stock Award as the Committee may establish from time to time for reasons of administrative convenience; and (v) the receipt by the Company of full payment for such Shares, including payment of any applicable withholding tax. To the extent the Company is unable to or the Committee deems it infeasible to obtain authority from any regulatory body having jurisdiction, which authority is deemed by the Companys counsel to be necessary to the lawful issuance and sale of any Shares hereunder, the Company and its subsidiaries shall be relieved of any liability with respect to the failure to issue or sell such Shares as to which such requisite authority shall not have been obtained. </w:t>
      </w:r>
    </w:p>
    <w:p>
      <w:pPr>
        <w:pStyle w:val="TextBody"/>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Effective Date and Duration</w:t>
      </w:r>
      <w:r>
        <w:rPr>
          <w:rFonts w:ascii="Times New Roman" w:hAnsi="Times New Roman"/>
          <w:sz w:val="20"/>
        </w:rPr>
        <w:t xml:space="preserve">. The Plan was adopted by the Board on the Effective Date. Awards may not be granted, sold or issued under the Plan after the tenth anniversary of the Effective Date, but Shares may thereafter be issued and payments may thereafter be made in respect of any Award granted, issued or sold prior to such date. </w:t>
      </w:r>
    </w:p>
    <w:p>
      <w:pPr>
        <w:pStyle w:val="TextBody"/>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Amendment and Termination</w:t>
      </w:r>
      <w:r>
        <w:rPr>
          <w:rFonts w:ascii="Times New Roman" w:hAnsi="Times New Roman"/>
          <w:sz w:val="20"/>
        </w:rPr>
        <w:t xml:space="preserve">. The Board may at any time amend, suspend or terminate the Plan. The Committee may amend the Plan or any Agreement issued hereunder to the extent necessary for any Award granted, sold or issued under the Plan to comply with applicable tax or securities laws. If the Board determines that the approval of such action by the stockholders of the Company is advisable or necessary for compliance with applicable securities law, tax law, stock exchange requirement or other applicable federal or state law, no such action of the Board or the Committee shall be effective unless taken with or ratified by such approval. No Award may be issued, granted or exercised during any suspension of the Plan. No amendment, suspension or termination of the Plan or of any Agreement issued hereunder shall adversely and materially alter or otherwise materially impair any rights or obligations in any Award theretofore issued, granted, sold or issued under the Plan without the consent of the holder thereof; provided, however, that holder consent shall not be required to the extent that an amendment is necessary to avoid any adverse accounting treatment or ensure compliance with applicable laws. </w:t>
      </w:r>
    </w:p>
    <w:p>
      <w:pPr>
        <w:pStyle w:val="TextBody"/>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Nature of the Plan</w:t>
      </w:r>
      <w:r>
        <w:rPr>
          <w:rFonts w:ascii="Times New Roman" w:hAnsi="Times New Roman"/>
          <w:sz w:val="20"/>
        </w:rPr>
        <w:t xml:space="preserve">. The Plan is intended to constitute an unfunded arrangement for a select group of directors, management and other key employees and service providers. Nothing in the Plan or an Agreement shall interfere with or limit in any way the right of the Company or its subsidiaries to terminate any Participants employment or service for the Company at any time or for any reason not prohibited by law, nor shall the Plan or an Award itself confer upon any Participant any right to continue his or her employment or service for any specified period of time. Neither an Award nor any benefits arising under the Plan shall constitute an employment contract with the Company or any subsidiary.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Withholding Taxes</w:t>
      </w:r>
      <w:r>
        <w:rPr>
          <w:rFonts w:ascii="Times New Roman" w:hAnsi="Times New Roman"/>
          <w:sz w:val="20"/>
        </w:rPr>
        <w:t xml:space="preserve">. To the extent required by applicable federal, state, local or foreign law, the Committee may and/or a Participant shall make arrangements satisfactory to the Company for the satisfaction of any withholding tax obligations that arise with respect to any Award. The Company shall not be required to recognize any Participant rights under an Award, to issue Shares or to recognize the disposition of such Shares until such obligations are satisfied. To the extent permitted or required by the Committee, these obligations may or shall be satisfied by the Company withholding cash from any compensation otherwise payable to or for the benefit of a Participant, the Company withholding a portion of the Shares that otherwise would be issued to a Participant under such Award or any other award held by the Participant, or by the Participant tendering to the Company cash or, if allowed by the Committee, Shares. </w:t>
      </w:r>
    </w:p>
    <w:p>
      <w:pPr>
        <w:pStyle w:val="TextBody"/>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Governing Law</w:t>
      </w:r>
      <w:r>
        <w:rPr>
          <w:rFonts w:ascii="Times New Roman" w:hAnsi="Times New Roman"/>
          <w:sz w:val="20"/>
        </w:rPr>
        <w:t xml:space="preserve">. The Plan and any Agreements or other documents hereunder shall be interpreted and construed in accordance with the laws of the State of Delaware and applicable federal law, without regard to the principles of conflicts of law. Any reference in the Plan or in any Agreement to a provision of law or to a rule or regulation shall be deemed to include any successor law, rule or regulation of similar effect or applicability. </w:t>
      </w:r>
    </w:p>
    <w:p>
      <w:pPr>
        <w:pStyle w:val="TextBody"/>
        <w:spacing w:before="240" w:after="0"/>
        <w:jc w:val="center"/>
        <w:rPr>
          <w:rFonts w:ascii="Times New Roman" w:hAnsi="Times New Roman"/>
          <w:sz w:val="20"/>
        </w:rPr>
      </w:pP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DocuSign Envelope ID: 10092504-4BC6-4801-88D6-D5AFD4860B12 </w:t>
      </w:r>
    </w:p>
    <w:p>
      <w:pPr>
        <w:pStyle w:val="TextBody"/>
        <w:spacing w:before="480" w:after="0"/>
        <w:jc w:val="center"/>
        <w:rPr>
          <w:rFonts w:ascii="Times New Roman" w:hAnsi="Times New Roman"/>
          <w:b/>
          <w:sz w:val="20"/>
        </w:rPr>
      </w:pPr>
      <w:r>
        <w:rPr>
          <w:rFonts w:ascii="Times New Roman" w:hAnsi="Times New Roman"/>
          <w:b/>
          <w:sz w:val="20"/>
        </w:rPr>
        <w:t xml:space="preserve">AMENDMENT NO. 1 </w:t>
      </w:r>
    </w:p>
    <w:p>
      <w:pPr>
        <w:pStyle w:val="TextBody"/>
        <w:spacing w:before="0" w:after="0"/>
        <w:jc w:val="center"/>
        <w:rPr>
          <w:rFonts w:ascii="Times New Roman" w:hAnsi="Times New Roman"/>
          <w:b/>
          <w:sz w:val="20"/>
        </w:rPr>
      </w:pPr>
      <w:r>
        <w:rPr>
          <w:rFonts w:ascii="Times New Roman" w:hAnsi="Times New Roman"/>
          <w:b/>
          <w:sz w:val="20"/>
        </w:rPr>
        <w:t xml:space="preserve">to P10 HOLDINGS, INC. </w:t>
      </w:r>
    </w:p>
    <w:p>
      <w:pPr>
        <w:pStyle w:val="TextBody"/>
        <w:spacing w:before="0" w:after="0"/>
        <w:jc w:val="center"/>
        <w:rPr>
          <w:rFonts w:ascii="Times New Roman" w:hAnsi="Times New Roman"/>
          <w:b/>
          <w:sz w:val="20"/>
        </w:rPr>
      </w:pPr>
      <w:r>
        <w:rPr>
          <w:rFonts w:ascii="Times New Roman" w:hAnsi="Times New Roman"/>
          <w:b/>
          <w:sz w:val="20"/>
        </w:rPr>
        <w:t xml:space="preserve">2018 STOCK INCENTIVE </w:t>
      </w:r>
    </w:p>
    <w:p>
      <w:pPr>
        <w:pStyle w:val="TextBody"/>
        <w:spacing w:before="0" w:after="0"/>
        <w:jc w:val="center"/>
        <w:rPr>
          <w:rFonts w:ascii="Times New Roman" w:hAnsi="Times New Roman"/>
          <w:b/>
          <w:sz w:val="20"/>
        </w:rPr>
      </w:pPr>
      <w:r>
        <w:rPr>
          <w:rFonts w:ascii="Times New Roman" w:hAnsi="Times New Roman"/>
          <w:b/>
          <w:sz w:val="20"/>
        </w:rPr>
        <w:t xml:space="preserve">PLAN </w:t>
      </w:r>
    </w:p>
    <w:p>
      <w:pPr>
        <w:pStyle w:val="TextBody"/>
        <w:spacing w:before="240" w:after="0"/>
        <w:jc w:val="left"/>
        <w:rPr>
          <w:rFonts w:ascii="Times New Roman" w:hAnsi="Times New Roman"/>
          <w:sz w:val="20"/>
        </w:rPr>
      </w:pPr>
      <w:r>
        <w:rPr>
          <w:rFonts w:ascii="Times New Roman" w:hAnsi="Times New Roman"/>
          <w:sz w:val="20"/>
        </w:rPr>
        <w:t>WHEREAS, P10 Holdings, Inc. (the </w:t>
      </w:r>
      <w:r>
        <w:rPr>
          <w:rFonts w:ascii="Times New Roman" w:hAnsi="Times New Roman"/>
          <w:sz w:val="20"/>
          <w:u w:val="single"/>
        </w:rPr>
        <w:t>Company</w:t>
      </w:r>
      <w:r>
        <w:rPr>
          <w:rFonts w:ascii="Times New Roman" w:hAnsi="Times New Roman"/>
          <w:sz w:val="20"/>
        </w:rPr>
        <w:t>) maintains the 2018 Stock Incentive Plan (as the same may be amended, the </w:t>
      </w:r>
      <w:r>
        <w:rPr>
          <w:rFonts w:ascii="Times New Roman" w:hAnsi="Times New Roman"/>
          <w:sz w:val="20"/>
          <w:u w:val="single"/>
        </w:rPr>
        <w:t>Plan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Board</w:t>
      </w:r>
      <w:r>
        <w:rPr>
          <w:rFonts w:ascii="Times New Roman" w:hAnsi="Times New Roman"/>
          <w:sz w:val="20"/>
        </w:rPr>
        <w:t xml:space="preserve">) has the authority under Section 15 of the Plan to amend the Plan from time to time; and </w:t>
      </w:r>
    </w:p>
    <w:p>
      <w:pPr>
        <w:pStyle w:val="TextBody"/>
        <w:spacing w:before="240" w:after="0"/>
        <w:jc w:val="left"/>
        <w:rPr>
          <w:rFonts w:ascii="Times New Roman" w:hAnsi="Times New Roman"/>
          <w:sz w:val="20"/>
        </w:rPr>
      </w:pPr>
      <w:r>
        <w:rPr>
          <w:rFonts w:ascii="Times New Roman" w:hAnsi="Times New Roman"/>
          <w:sz w:val="20"/>
        </w:rPr>
        <w:t xml:space="preserve">WHEREAS, the Board has determined that it is in the best interests of the Company to amend the Plan as set forth herein. </w:t>
      </w:r>
    </w:p>
    <w:p>
      <w:pPr>
        <w:pStyle w:val="TextBody"/>
        <w:spacing w:before="240" w:after="0"/>
        <w:jc w:val="left"/>
        <w:rPr>
          <w:rFonts w:ascii="Times New Roman" w:hAnsi="Times New Roman"/>
          <w:sz w:val="20"/>
        </w:rPr>
      </w:pPr>
      <w:r>
        <w:rPr>
          <w:rFonts w:ascii="Times New Roman" w:hAnsi="Times New Roman"/>
          <w:sz w:val="20"/>
        </w:rPr>
        <w:t xml:space="preserve">NOW, THEREFORE, notwithstanding anything to the contrary in the Plan, the Plan is hereby amended as follows effective as of the date set forth below: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Amendment</w:t>
            </w:r>
            <w:r>
              <w:rPr>
                <w:rFonts w:ascii="Times New Roman" w:hAnsi="Times New Roman"/>
                <w:sz w:val="20"/>
              </w:rPr>
              <w:t xml:space="preserve">. Section 6 of the Plan is hereby amended and restated in its entirety as follows: </w:t>
            </w:r>
          </w:p>
        </w:tc>
      </w:tr>
    </w:tbl>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Terms and Conditions of Options</w:t>
      </w:r>
      <w:r>
        <w:rPr>
          <w:rFonts w:ascii="Times New Roman" w:hAnsi="Times New Roman"/>
          <w:sz w:val="20"/>
        </w:rPr>
        <w:t xml:space="preserve">. No Option shall be granted for a term of more than ten (10) years. The Company shall retain the right, in its sole discretion, to settle any Option granted hereunder in either Shares or a lump sum cash payment equal to the fair market value of the Shares as of the date the Option is exercised less the applicable exercise price. The Agreement may contain such other terms, provisions, and conditions as may be determined by the Committee as long as such terms, conditions and provisions are not expressly inconsistent with the Plan.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0"/>
        <w:gridCol w:w="9290"/>
      </w:tblGrid>
      <w:tr>
        <w:trPr/>
        <w:tc>
          <w:tcPr>
            <w:tcW w:w="40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2.</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Miscellaneous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(a)</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Full Force and Effect</w:t>
            </w:r>
            <w:r>
              <w:rPr>
                <w:rFonts w:ascii="Times New Roman" w:hAnsi="Times New Roman"/>
                <w:sz w:val="20"/>
              </w:rPr>
              <w:t xml:space="preserve">. Except as expressly amended by this Amendment, all terms and conditions of the Plan shall remain in full force and effect.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(b)</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Governing Law</w:t>
            </w:r>
            <w:r>
              <w:rPr>
                <w:rFonts w:ascii="Times New Roman" w:hAnsi="Times New Roman"/>
                <w:sz w:val="20"/>
              </w:rPr>
              <w:t xml:space="preserve">. This Amendment shall be governed by and construed in accordance with the laws of the State of Delaware to the extent not preempted by federal law or other applicable local law, which shall otherwise control.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(c)</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Severability</w:t>
            </w:r>
            <w:r>
              <w:rPr>
                <w:rFonts w:ascii="Times New Roman" w:hAnsi="Times New Roman"/>
                <w:sz w:val="20"/>
              </w:rPr>
              <w:t xml:space="preserve">. If any provision of this Amendment shall be held invalid or unenforceable, such invalidity or unenforceability shall not affect any other provisions herein or in the Plan, and this Amendment shall be construed and enforced as if such provisions had not been included.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sz w:val="20"/>
        </w:rPr>
      </w:pPr>
      <w:r>
        <w:rPr>
          <w:rFonts w:ascii="Times New Roman" w:hAnsi="Times New Roman"/>
          <w:sz w:val="20"/>
        </w:rPr>
        <w:t xml:space="preserve">DocuSign Envelope ID: 10092504-4BC6-4801-88D6-D5AFD4860B12 </w:t>
      </w:r>
    </w:p>
    <w:p>
      <w:pPr>
        <w:pStyle w:val="TextBody"/>
        <w:spacing w:before="240" w:after="0"/>
        <w:jc w:val="left"/>
        <w:rPr>
          <w:rFonts w:ascii="Times New Roman" w:hAnsi="Times New Roman"/>
          <w:sz w:val="20"/>
        </w:rPr>
      </w:pPr>
      <w:r>
        <w:rPr>
          <w:rFonts w:ascii="Times New Roman" w:hAnsi="Times New Roman"/>
          <w:sz w:val="20"/>
        </w:rPr>
        <w:t xml:space="preserve">IN WITNESS WHEREOF, this Amendment No.1 to the Plan is adopted as of as of this 30th day of July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72"/>
        <w:gridCol w:w="61"/>
        <w:gridCol w:w="3349"/>
      </w:tblGrid>
      <w:tr>
        <w:trPr/>
        <w:tc>
          <w:tcPr>
            <w:tcW w:w="67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34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P10 HOLDINGS, INC.</w:t>
            </w:r>
          </w:p>
        </w:tc>
      </w:tr>
      <w:tr>
        <w:trPr>
          <w:trHeight w:val="240" w:hRule="atLeast"/>
        </w:trPr>
        <w:tc>
          <w:tcPr>
            <w:tcW w:w="672" w:type="dxa"/>
            <w:tcBorders/>
            <w:shd w:fill="auto" w:val="clear"/>
            <w:vAlign w:val="center"/>
          </w:tcPr>
          <w:p>
            <w:pPr>
              <w:pStyle w:val="TableContents"/>
              <w:spacing w:before="0" w:after="283"/>
              <w:rPr>
                <w:sz w:val="4"/>
                <w:szCs w:val="4"/>
              </w:rPr>
            </w:pPr>
            <w:r>
              <w:rPr>
                <w:sz w:val="4"/>
                <w:szCs w:val="4"/>
              </w:rPr>
            </w:r>
          </w:p>
        </w:tc>
        <w:tc>
          <w:tcPr>
            <w:tcW w:w="3410" w:type="dxa"/>
            <w:gridSpan w:val="2"/>
            <w:tcBorders/>
            <w:shd w:fill="auto" w:val="clear"/>
            <w:vAlign w:val="center"/>
          </w:tcPr>
          <w:p>
            <w:pPr>
              <w:pStyle w:val="TableContents"/>
              <w:spacing w:before="0" w:after="283"/>
              <w:rPr>
                <w:sz w:val="4"/>
                <w:szCs w:val="4"/>
              </w:rPr>
            </w:pPr>
            <w:r>
              <w:rPr>
                <w:sz w:val="4"/>
                <w:szCs w:val="4"/>
              </w:rPr>
            </w:r>
          </w:p>
        </w:tc>
      </w:tr>
      <w:tr>
        <w:trPr/>
        <w:tc>
          <w:tcPr>
            <w:tcW w:w="672"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Robert H. Alpert</w:t>
            </w:r>
          </w:p>
        </w:tc>
      </w:tr>
      <w:tr>
        <w:trPr/>
        <w:tc>
          <w:tcPr>
            <w:tcW w:w="672" w:type="dxa"/>
            <w:tcBorders/>
            <w:shd w:fill="auto" w:val="clear"/>
          </w:tcPr>
          <w:p>
            <w:pPr>
              <w:pStyle w:val="TableContents"/>
              <w:spacing w:before="0" w:after="283"/>
              <w:rPr/>
            </w:pPr>
            <w:r>
              <w:rPr/>
              <w:t>Name:</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spacing w:before="0" w:after="283"/>
              <w:rPr/>
            </w:pPr>
            <w:r>
              <w:rPr/>
              <w:t>Robert H. Alpert</w:t>
            </w:r>
          </w:p>
        </w:tc>
      </w:tr>
      <w:tr>
        <w:trPr/>
        <w:tc>
          <w:tcPr>
            <w:tcW w:w="672" w:type="dxa"/>
            <w:tcBorders/>
            <w:shd w:fill="auto" w:val="clear"/>
          </w:tcPr>
          <w:p>
            <w:pPr>
              <w:pStyle w:val="TableContents"/>
              <w:spacing w:before="0" w:after="283"/>
              <w:rPr/>
            </w:pPr>
            <w:r>
              <w:rPr/>
              <w:t>Title:</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spacing w:before="0" w:after="283"/>
              <w:rPr/>
            </w:pPr>
            <w:r>
              <w:rPr/>
              <w:t>Co-Chief Executive Officer</w:t>
            </w:r>
          </w:p>
        </w:tc>
      </w:tr>
    </w:tbl>
    <w:p>
      <w:pPr>
        <w:pStyle w:val="TextBody"/>
        <w:spacing w:before="0" w:after="0"/>
        <w:jc w:val="right"/>
        <w:rPr>
          <w:rFonts w:ascii="Times New Roman" w:hAnsi="Times New Roman"/>
          <w:b/>
          <w:sz w:val="16"/>
        </w:rPr>
      </w:pPr>
      <w:r>
        <w:br w:type="page"/>
      </w:r>
      <w:bookmarkStart w:id="21" w:name="d280778dexfilingfees.htm"/>
      <w:bookmarkStart w:id="22" w:name="ksd280778dexfilingfees"/>
      <w:bookmarkEnd w:id="21"/>
      <w:bookmarkEnd w:id="22"/>
      <w:r>
        <w:rPr>
          <w:rFonts w:ascii="Times New Roman" w:hAnsi="Times New Roman"/>
          <w:b/>
          <w:sz w:val="16"/>
        </w:rPr>
        <w:t xml:space="preserve">Exhibit 107 </w:t>
      </w:r>
    </w:p>
    <w:p>
      <w:pPr>
        <w:pStyle w:val="TextBody"/>
        <w:spacing w:before="240" w:after="0"/>
        <w:jc w:val="center"/>
        <w:rPr>
          <w:rFonts w:ascii="Times New Roman" w:hAnsi="Times New Roman"/>
          <w:b/>
          <w:sz w:val="16"/>
        </w:rPr>
      </w:pPr>
      <w:r>
        <w:rPr>
          <w:rFonts w:ascii="Times New Roman" w:hAnsi="Times New Roman"/>
          <w:b/>
          <w:sz w:val="16"/>
        </w:rPr>
        <w:t xml:space="preserve">Calculation of Filing Fee Tables </w:t>
      </w:r>
    </w:p>
    <w:p>
      <w:pPr>
        <w:pStyle w:val="TextBody"/>
        <w:spacing w:before="240" w:after="0"/>
        <w:jc w:val="center"/>
        <w:rPr>
          <w:rFonts w:ascii="Times New Roman" w:hAnsi="Times New Roman"/>
          <w:b/>
          <w:sz w:val="16"/>
        </w:rPr>
      </w:pPr>
      <w:r>
        <w:rPr>
          <w:rFonts w:ascii="Times New Roman" w:hAnsi="Times New Roman"/>
          <w:b/>
          <w:sz w:val="16"/>
          <w:u w:val="single"/>
        </w:rPr>
        <w:t>Form S-8</w:t>
      </w:r>
      <w:r>
        <w:rPr>
          <w:rFonts w:ascii="Times New Roman" w:hAnsi="Times New Roman"/>
          <w:b/>
          <w:sz w:val="16"/>
        </w:rPr>
        <w:t xml:space="preserve"> </w:t>
      </w:r>
    </w:p>
    <w:p>
      <w:pPr>
        <w:pStyle w:val="TextBody"/>
        <w:spacing w:before="0" w:after="0"/>
        <w:jc w:val="center"/>
        <w:rPr>
          <w:rFonts w:ascii="Times New Roman" w:hAnsi="Times New Roman"/>
          <w:sz w:val="16"/>
        </w:rPr>
      </w:pPr>
      <w:r>
        <w:rPr>
          <w:rFonts w:ascii="Times New Roman" w:hAnsi="Times New Roman"/>
          <w:sz w:val="16"/>
        </w:rPr>
        <w:t xml:space="preserve">(Form Type) </w:t>
      </w:r>
    </w:p>
    <w:p>
      <w:pPr>
        <w:pStyle w:val="TextBody"/>
        <w:spacing w:before="240" w:after="0"/>
        <w:jc w:val="center"/>
        <w:rPr>
          <w:rFonts w:ascii="Times New Roman" w:hAnsi="Times New Roman"/>
          <w:b/>
          <w:sz w:val="16"/>
        </w:rPr>
      </w:pPr>
      <w:r>
        <w:rPr>
          <w:rFonts w:ascii="Times New Roman" w:hAnsi="Times New Roman"/>
          <w:b/>
          <w:sz w:val="16"/>
          <w:u w:val="single"/>
        </w:rPr>
        <w:t>P10, Inc.</w:t>
      </w:r>
      <w:r>
        <w:rPr>
          <w:rFonts w:ascii="Times New Roman" w:hAnsi="Times New Roman"/>
          <w:b/>
          <w:sz w:val="16"/>
        </w:rPr>
        <w:t xml:space="preserve"> </w:t>
      </w:r>
    </w:p>
    <w:p>
      <w:pPr>
        <w:pStyle w:val="TextBody"/>
        <w:spacing w:before="0" w:after="0"/>
        <w:jc w:val="center"/>
        <w:rPr>
          <w:rFonts w:ascii="Times New Roman" w:hAnsi="Times New Roman"/>
          <w:sz w:val="16"/>
        </w:rPr>
      </w:pPr>
      <w:r>
        <w:rPr>
          <w:rFonts w:ascii="Times New Roman" w:hAnsi="Times New Roman"/>
          <w:sz w:val="16"/>
        </w:rPr>
        <w:t xml:space="preserve">(Exact Name of Registrant as Specified in its Charter) </w:t>
      </w:r>
    </w:p>
    <w:p>
      <w:pPr>
        <w:pStyle w:val="TextBody"/>
        <w:spacing w:before="240" w:after="0"/>
        <w:jc w:val="center"/>
        <w:rPr>
          <w:rFonts w:ascii="Times New Roman" w:hAnsi="Times New Roman"/>
          <w:b/>
          <w:sz w:val="16"/>
        </w:rPr>
      </w:pPr>
      <w:r>
        <w:rPr>
          <w:rFonts w:ascii="Times New Roman" w:hAnsi="Times New Roman"/>
          <w:b/>
          <w:sz w:val="16"/>
        </w:rPr>
        <w:t xml:space="preserve">Table 1  Newly Registered Securities </w:t>
      </w:r>
    </w:p>
    <w:p>
      <w:pPr>
        <w:pStyle w:val="TextBody"/>
        <w:spacing w:before="0" w:after="0"/>
        <w:jc w:val="left"/>
        <w:rPr/>
      </w:pPr>
      <w:r>
        <w:rPr/>
        <w:t> </w:t>
      </w:r>
    </w:p>
    <w:tbl>
      <w:tblPr>
        <w:tblW w:w="12250" w:type="dxa"/>
        <w:jc w:val="center"/>
        <w:tblInd w:w="0" w:type="dxa"/>
        <w:tblCellMar>
          <w:top w:w="0" w:type="dxa"/>
          <w:left w:w="0" w:type="dxa"/>
          <w:bottom w:w="0" w:type="dxa"/>
          <w:right w:w="0" w:type="dxa"/>
        </w:tblCellMar>
      </w:tblPr>
      <w:tblGrid>
        <w:gridCol w:w="575"/>
        <w:gridCol w:w="120"/>
        <w:gridCol w:w="4835"/>
        <w:gridCol w:w="120"/>
        <w:gridCol w:w="830"/>
        <w:gridCol w:w="60"/>
        <w:gridCol w:w="1250"/>
        <w:gridCol w:w="60"/>
        <w:gridCol w:w="680"/>
        <w:gridCol w:w="120"/>
        <w:gridCol w:w="1220"/>
        <w:gridCol w:w="120"/>
        <w:gridCol w:w="1160"/>
        <w:gridCol w:w="120"/>
        <w:gridCol w:w="980"/>
      </w:tblGrid>
      <w:tr>
        <w:trPr/>
        <w:tc>
          <w:tcPr>
            <w:tcW w:w="5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8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r>
      <w:tr>
        <w:trPr/>
        <w:tc>
          <w:tcPr>
            <w:tcW w:w="575" w:type="dxa"/>
            <w:tcBorders>
              <w:top w:val="single" w:sz="2" w:space="0" w:color="000000"/>
              <w:left w:val="single" w:sz="2" w:space="0" w:color="000000"/>
              <w:bottom w:val="single" w:sz="2" w:space="0" w:color="000000"/>
              <w:right w:val="single" w:sz="2" w:space="0" w:color="000000"/>
            </w:tcBorders>
            <w:shd w:fill="auto" w:val="clear"/>
            <w:tcMar>
              <w:top w:w="28" w:type="dxa"/>
              <w:left w:w="160" w:type="dxa"/>
              <w:bottom w:w="28" w:type="dxa"/>
              <w:right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Security</w:t>
            </w:r>
          </w:p>
          <w:p>
            <w:pPr>
              <w:pStyle w:val="TableContents"/>
              <w:spacing w:before="0" w:after="20"/>
              <w:jc w:val="center"/>
              <w:rPr>
                <w:rFonts w:ascii="Times New Roman" w:hAnsi="Times New Roman"/>
                <w:b/>
                <w:sz w:val="14"/>
              </w:rPr>
            </w:pPr>
            <w:r>
              <w:rPr>
                <w:rFonts w:ascii="Times New Roman" w:hAnsi="Times New Roman"/>
                <w:b/>
                <w:sz w:val="14"/>
              </w:rPr>
              <w:t>Type</w:t>
            </w:r>
          </w:p>
        </w:tc>
        <w:tc>
          <w:tcPr>
            <w:tcW w:w="12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4835"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Security</w:t>
            </w:r>
          </w:p>
          <w:p>
            <w:pPr>
              <w:pStyle w:val="TableContents"/>
              <w:spacing w:before="0" w:after="20"/>
              <w:jc w:val="center"/>
              <w:rPr>
                <w:rFonts w:ascii="Times New Roman" w:hAnsi="Times New Roman"/>
                <w:b/>
                <w:sz w:val="14"/>
              </w:rPr>
            </w:pPr>
            <w:r>
              <w:rPr>
                <w:rFonts w:ascii="Times New Roman" w:hAnsi="Times New Roman"/>
                <w:b/>
                <w:sz w:val="14"/>
              </w:rPr>
              <w:t>Class Title</w:t>
            </w:r>
          </w:p>
        </w:tc>
        <w:tc>
          <w:tcPr>
            <w:tcW w:w="12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83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Fee</w:t>
            </w:r>
          </w:p>
          <w:p>
            <w:pPr>
              <w:pStyle w:val="TableContents"/>
              <w:spacing w:before="0" w:after="0"/>
              <w:jc w:val="center"/>
              <w:rPr>
                <w:rFonts w:ascii="Times New Roman" w:hAnsi="Times New Roman"/>
                <w:b/>
                <w:sz w:val="14"/>
              </w:rPr>
            </w:pPr>
            <w:r>
              <w:rPr>
                <w:rFonts w:ascii="Times New Roman" w:hAnsi="Times New Roman"/>
                <w:b/>
                <w:sz w:val="14"/>
              </w:rPr>
              <w:t>Calculation</w:t>
            </w:r>
          </w:p>
          <w:p>
            <w:pPr>
              <w:pStyle w:val="TableContents"/>
              <w:spacing w:before="0" w:after="20"/>
              <w:jc w:val="center"/>
              <w:rPr>
                <w:rFonts w:ascii="Times New Roman" w:hAnsi="Times New Roman"/>
                <w:b/>
                <w:sz w:val="14"/>
              </w:rPr>
            </w:pPr>
            <w:r>
              <w:rPr>
                <w:rFonts w:ascii="Times New Roman" w:hAnsi="Times New Roman"/>
                <w:b/>
                <w:sz w:val="14"/>
              </w:rPr>
              <w:t>Rule</w:t>
            </w:r>
          </w:p>
        </w:tc>
        <w:tc>
          <w:tcPr>
            <w:tcW w:w="6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25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Amount</w:t>
            </w:r>
          </w:p>
          <w:p>
            <w:pPr>
              <w:pStyle w:val="TableContents"/>
              <w:spacing w:before="0" w:after="20"/>
              <w:jc w:val="center"/>
              <w:rPr>
                <w:rFonts w:ascii="Times New Roman" w:hAnsi="Times New Roman"/>
                <w:b/>
                <w:sz w:val="14"/>
              </w:rPr>
            </w:pPr>
            <w:r>
              <w:rPr>
                <w:rFonts w:ascii="Times New Roman" w:hAnsi="Times New Roman"/>
                <w:b/>
                <w:sz w:val="14"/>
              </w:rPr>
              <w:t>Registered(1)</w:t>
            </w:r>
          </w:p>
        </w:tc>
        <w:tc>
          <w:tcPr>
            <w:tcW w:w="6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68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Proposed</w:t>
            </w:r>
          </w:p>
          <w:p>
            <w:pPr>
              <w:pStyle w:val="TableContents"/>
              <w:spacing w:before="0" w:after="0"/>
              <w:jc w:val="center"/>
              <w:rPr>
                <w:rFonts w:ascii="Times New Roman" w:hAnsi="Times New Roman"/>
                <w:b/>
                <w:sz w:val="14"/>
              </w:rPr>
            </w:pPr>
            <w:r>
              <w:rPr>
                <w:rFonts w:ascii="Times New Roman" w:hAnsi="Times New Roman"/>
                <w:b/>
                <w:sz w:val="14"/>
              </w:rPr>
              <w:t>Maximum</w:t>
            </w:r>
          </w:p>
          <w:p>
            <w:pPr>
              <w:pStyle w:val="TableContents"/>
              <w:spacing w:before="0" w:after="0"/>
              <w:jc w:val="center"/>
              <w:rPr>
                <w:rFonts w:ascii="Times New Roman" w:hAnsi="Times New Roman"/>
                <w:b/>
                <w:sz w:val="14"/>
              </w:rPr>
            </w:pPr>
            <w:r>
              <w:rPr>
                <w:rFonts w:ascii="Times New Roman" w:hAnsi="Times New Roman"/>
                <w:b/>
                <w:sz w:val="14"/>
              </w:rPr>
              <w:t>Offering</w:t>
            </w:r>
          </w:p>
          <w:p>
            <w:pPr>
              <w:pStyle w:val="TableContents"/>
              <w:spacing w:before="0" w:after="0"/>
              <w:jc w:val="center"/>
              <w:rPr>
                <w:rFonts w:ascii="Times New Roman" w:hAnsi="Times New Roman"/>
                <w:b/>
                <w:sz w:val="14"/>
              </w:rPr>
            </w:pPr>
            <w:r>
              <w:rPr>
                <w:rFonts w:ascii="Times New Roman" w:hAnsi="Times New Roman"/>
                <w:b/>
                <w:sz w:val="14"/>
              </w:rPr>
              <w:t>Price per</w:t>
            </w:r>
          </w:p>
          <w:p>
            <w:pPr>
              <w:pStyle w:val="TableContents"/>
              <w:spacing w:before="0" w:after="20"/>
              <w:jc w:val="center"/>
              <w:rPr>
                <w:rFonts w:ascii="Times New Roman" w:hAnsi="Times New Roman"/>
                <w:b/>
                <w:sz w:val="14"/>
              </w:rPr>
            </w:pPr>
            <w:r>
              <w:rPr>
                <w:rFonts w:ascii="Times New Roman" w:hAnsi="Times New Roman"/>
                <w:b/>
                <w:sz w:val="14"/>
              </w:rPr>
              <w:t>Unit(2)</w:t>
            </w:r>
          </w:p>
        </w:tc>
        <w:tc>
          <w:tcPr>
            <w:tcW w:w="12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22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Maximum</w:t>
            </w:r>
          </w:p>
          <w:p>
            <w:pPr>
              <w:pStyle w:val="TableContents"/>
              <w:spacing w:before="0" w:after="0"/>
              <w:jc w:val="center"/>
              <w:rPr>
                <w:rFonts w:ascii="Times New Roman" w:hAnsi="Times New Roman"/>
                <w:b/>
                <w:sz w:val="14"/>
              </w:rPr>
            </w:pPr>
            <w:r>
              <w:rPr>
                <w:rFonts w:ascii="Times New Roman" w:hAnsi="Times New Roman"/>
                <w:b/>
                <w:sz w:val="14"/>
              </w:rPr>
              <w:t>Aggregate</w:t>
            </w:r>
          </w:p>
          <w:p>
            <w:pPr>
              <w:pStyle w:val="TableContents"/>
              <w:spacing w:before="0" w:after="0"/>
              <w:jc w:val="center"/>
              <w:rPr>
                <w:rFonts w:ascii="Times New Roman" w:hAnsi="Times New Roman"/>
                <w:b/>
                <w:sz w:val="14"/>
              </w:rPr>
            </w:pPr>
            <w:r>
              <w:rPr>
                <w:rFonts w:ascii="Times New Roman" w:hAnsi="Times New Roman"/>
                <w:b/>
                <w:sz w:val="14"/>
              </w:rPr>
              <w:t>Offering</w:t>
            </w:r>
          </w:p>
          <w:p>
            <w:pPr>
              <w:pStyle w:val="TableContents"/>
              <w:spacing w:before="0" w:after="20"/>
              <w:jc w:val="center"/>
              <w:rPr>
                <w:rFonts w:ascii="Times New Roman" w:hAnsi="Times New Roman"/>
                <w:b/>
                <w:sz w:val="14"/>
              </w:rPr>
            </w:pPr>
            <w:r>
              <w:rPr>
                <w:rFonts w:ascii="Times New Roman" w:hAnsi="Times New Roman"/>
                <w:b/>
                <w:sz w:val="14"/>
              </w:rPr>
              <w:t>Price</w:t>
            </w:r>
          </w:p>
        </w:tc>
        <w:tc>
          <w:tcPr>
            <w:tcW w:w="12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16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jc w:val="center"/>
              <w:rPr>
                <w:b/>
              </w:rPr>
            </w:pPr>
            <w:r>
              <w:rPr>
                <w:b/>
              </w:rPr>
              <w:t>Fee Rate</w:t>
            </w:r>
          </w:p>
        </w:tc>
        <w:tc>
          <w:tcPr>
            <w:tcW w:w="12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980" w:type="dxa"/>
            <w:tcBorders>
              <w:top w:val="single" w:sz="2" w:space="0" w:color="000000"/>
              <w:bottom w:val="single" w:sz="2" w:space="0" w:color="000000"/>
              <w:right w:val="single" w:sz="2" w:space="0" w:color="000000"/>
            </w:tcBorders>
            <w:shd w:fill="auto" w:val="clear"/>
            <w:tcMar>
              <w:top w:w="28" w:type="dxa"/>
              <w:bottom w:w="28" w:type="dxa"/>
              <w:right w:w="40" w:type="dxa"/>
            </w:tcMar>
            <w:vAlign w:val="bottom"/>
          </w:tcPr>
          <w:p>
            <w:pPr>
              <w:pStyle w:val="TableContents"/>
              <w:spacing w:before="0" w:after="0"/>
              <w:jc w:val="center"/>
              <w:rPr>
                <w:rFonts w:ascii="Times New Roman" w:hAnsi="Times New Roman"/>
                <w:b/>
                <w:sz w:val="14"/>
              </w:rPr>
            </w:pPr>
            <w:r>
              <w:rPr>
                <w:rFonts w:ascii="Times New Roman" w:hAnsi="Times New Roman"/>
                <w:b/>
                <w:sz w:val="14"/>
              </w:rPr>
              <w:t>Amount of</w:t>
            </w:r>
          </w:p>
          <w:p>
            <w:pPr>
              <w:pStyle w:val="TableContents"/>
              <w:spacing w:before="0" w:after="0"/>
              <w:jc w:val="center"/>
              <w:rPr>
                <w:rFonts w:ascii="Times New Roman" w:hAnsi="Times New Roman"/>
                <w:b/>
                <w:sz w:val="14"/>
              </w:rPr>
            </w:pPr>
            <w:r>
              <w:rPr>
                <w:rFonts w:ascii="Times New Roman" w:hAnsi="Times New Roman"/>
                <w:b/>
                <w:sz w:val="14"/>
              </w:rPr>
              <w:t>Registration</w:t>
            </w:r>
          </w:p>
          <w:p>
            <w:pPr>
              <w:pStyle w:val="TableContents"/>
              <w:spacing w:before="0" w:after="20"/>
              <w:jc w:val="center"/>
              <w:rPr>
                <w:rFonts w:ascii="Times New Roman" w:hAnsi="Times New Roman"/>
                <w:b/>
                <w:sz w:val="14"/>
              </w:rPr>
            </w:pPr>
            <w:r>
              <w:rPr>
                <w:rFonts w:ascii="Times New Roman" w:hAnsi="Times New Roman"/>
                <w:b/>
                <w:sz w:val="14"/>
              </w:rPr>
              <w:t>Fee</w:t>
            </w:r>
          </w:p>
        </w:tc>
      </w:tr>
      <w:tr>
        <w:trPr/>
        <w:tc>
          <w:tcPr>
            <w:tcW w:w="575" w:type="dxa"/>
            <w:tcBorders>
              <w:left w:val="single" w:sz="2" w:space="0" w:color="000000"/>
              <w:bottom w:val="single" w:sz="2" w:space="0" w:color="000000"/>
              <w:right w:val="single" w:sz="2" w:space="0" w:color="000000"/>
            </w:tcBorders>
            <w:shd w:fill="auto" w:val="clear"/>
            <w:tcMar>
              <w:left w:w="160" w:type="dxa"/>
              <w:bottom w:w="28" w:type="dxa"/>
              <w:right w:w="28" w:type="dxa"/>
            </w:tcMar>
          </w:tcPr>
          <w:p>
            <w:pPr>
              <w:pStyle w:val="TableContents"/>
              <w:spacing w:before="0" w:after="0"/>
              <w:jc w:val="center"/>
              <w:rPr>
                <w:rFonts w:ascii="Times New Roman" w:hAnsi="Times New Roman"/>
                <w:sz w:val="20"/>
              </w:rPr>
            </w:pPr>
            <w:r>
              <w:rPr>
                <w:rFonts w:ascii="Times New Roman" w:hAnsi="Times New Roman"/>
                <w:sz w:val="20"/>
              </w:rPr>
              <w:t>Equity</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4835"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Class A common stock, par value $0.001 per share</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83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Other(2)</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5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5,788,331(3)</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8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$4.06</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22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$23,500,624</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16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$0.0000927</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98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$2,178.51</w:t>
            </w:r>
          </w:p>
        </w:tc>
      </w:tr>
      <w:tr>
        <w:trPr/>
        <w:tc>
          <w:tcPr>
            <w:tcW w:w="575" w:type="dxa"/>
            <w:tcBorders>
              <w:left w:val="single" w:sz="2" w:space="0" w:color="000000"/>
              <w:bottom w:val="single" w:sz="2" w:space="0" w:color="000000"/>
              <w:right w:val="single" w:sz="2" w:space="0" w:color="000000"/>
            </w:tcBorders>
            <w:shd w:fill="auto" w:val="clear"/>
            <w:tcMar>
              <w:left w:w="160" w:type="dxa"/>
              <w:bottom w:w="28" w:type="dxa"/>
              <w:right w:w="28" w:type="dxa"/>
            </w:tcMar>
          </w:tcPr>
          <w:p>
            <w:pPr>
              <w:pStyle w:val="TableContents"/>
              <w:spacing w:before="0" w:after="0"/>
              <w:jc w:val="center"/>
              <w:rPr>
                <w:rFonts w:ascii="Times New Roman" w:hAnsi="Times New Roman"/>
                <w:sz w:val="20"/>
              </w:rPr>
            </w:pPr>
            <w:r>
              <w:rPr>
                <w:rFonts w:ascii="Times New Roman" w:hAnsi="Times New Roman"/>
                <w:sz w:val="20"/>
              </w:rPr>
              <w:t>Equity</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4835"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Class A common stock, par value $0.001 per share</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83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Other(4)</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5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36,033(5)</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8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$12.10</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22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$435,999</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16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$0.0000927</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98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$40.42</w:t>
            </w:r>
          </w:p>
        </w:tc>
      </w:tr>
      <w:tr>
        <w:trPr/>
        <w:tc>
          <w:tcPr>
            <w:tcW w:w="575" w:type="dxa"/>
            <w:tcBorders>
              <w:left w:val="single" w:sz="2" w:space="0" w:color="000000"/>
              <w:bottom w:val="single" w:sz="2" w:space="0" w:color="000000"/>
              <w:right w:val="single" w:sz="2" w:space="0" w:color="000000"/>
            </w:tcBorders>
            <w:shd w:fill="auto" w:val="clear"/>
            <w:tcMar>
              <w:left w:w="160" w:type="dxa"/>
              <w:bottom w:w="28" w:type="dxa"/>
              <w:right w:w="28" w:type="dxa"/>
            </w:tcMar>
          </w:tcPr>
          <w:p>
            <w:pPr>
              <w:pStyle w:val="TableContents"/>
              <w:spacing w:before="0" w:after="0"/>
              <w:jc w:val="center"/>
              <w:rPr>
                <w:rFonts w:ascii="Times New Roman" w:hAnsi="Times New Roman"/>
                <w:sz w:val="20"/>
              </w:rPr>
            </w:pPr>
            <w:r>
              <w:rPr>
                <w:rFonts w:ascii="Times New Roman" w:hAnsi="Times New Roman"/>
                <w:sz w:val="20"/>
              </w:rPr>
              <w:t>Equity</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4835"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Class A common stock, par value $0.001 per share</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83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Other(2)</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5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1,456,733(6)</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8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$12.61</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22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$18,369,403</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16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$0.0000927</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98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$1,702.84</w:t>
            </w:r>
          </w:p>
        </w:tc>
      </w:tr>
      <w:tr>
        <w:trPr/>
        <w:tc>
          <w:tcPr>
            <w:tcW w:w="575" w:type="dxa"/>
            <w:tcBorders>
              <w:left w:val="single" w:sz="2" w:space="0" w:color="000000"/>
              <w:bottom w:val="single" w:sz="2" w:space="0" w:color="000000"/>
              <w:right w:val="single" w:sz="2" w:space="0" w:color="000000"/>
            </w:tcBorders>
            <w:shd w:fill="auto" w:val="clear"/>
            <w:tcMar>
              <w:left w:w="160" w:type="dxa"/>
              <w:bottom w:w="28" w:type="dxa"/>
              <w:right w:w="28" w:type="dxa"/>
            </w:tcMar>
          </w:tcPr>
          <w:p>
            <w:pPr>
              <w:pStyle w:val="TableContents"/>
              <w:spacing w:before="0" w:after="0"/>
              <w:jc w:val="center"/>
              <w:rPr>
                <w:rFonts w:ascii="Times New Roman" w:hAnsi="Times New Roman"/>
                <w:sz w:val="20"/>
              </w:rPr>
            </w:pPr>
            <w:r>
              <w:rPr>
                <w:rFonts w:ascii="Times New Roman" w:hAnsi="Times New Roman"/>
                <w:sz w:val="20"/>
              </w:rPr>
              <w:t>Equity</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4835"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Class A common stock, par value $0.001 per share</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83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Other(4)</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5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567,789(7)</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8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$12.10</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22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6,870,247</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16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$0.0000927</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98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$636.87</w:t>
            </w:r>
          </w:p>
        </w:tc>
      </w:tr>
      <w:tr>
        <w:trPr/>
        <w:tc>
          <w:tcPr>
            <w:tcW w:w="575" w:type="dxa"/>
            <w:tcBorders>
              <w:left w:val="single" w:sz="2" w:space="0" w:color="000000"/>
              <w:bottom w:val="single" w:sz="2" w:space="0" w:color="000000"/>
              <w:right w:val="single" w:sz="2" w:space="0" w:color="000000"/>
            </w:tcBorders>
            <w:shd w:fill="auto" w:val="clear"/>
            <w:tcMar>
              <w:left w:w="160" w:type="dxa"/>
              <w:bottom w:w="28" w:type="dxa"/>
              <w:right w:w="28" w:type="dxa"/>
            </w:tcMar>
          </w:tcPr>
          <w:p>
            <w:pPr>
              <w:pStyle w:val="TableContents"/>
              <w:spacing w:before="0" w:after="0"/>
              <w:jc w:val="center"/>
              <w:rPr>
                <w:rFonts w:ascii="Times New Roman" w:hAnsi="Times New Roman"/>
                <w:sz w:val="20"/>
              </w:rPr>
            </w:pPr>
            <w:r>
              <w:rPr>
                <w:rFonts w:ascii="Times New Roman" w:hAnsi="Times New Roman"/>
                <w:sz w:val="20"/>
              </w:rPr>
              <w:t>Equity</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4835"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Class A common stock, par value $0.001 per share</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83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Other(4)</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5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1,451,114(8)</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8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$12.10</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22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17,558,479</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16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$0.0000927</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98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$1,627.67</w:t>
            </w:r>
          </w:p>
        </w:tc>
      </w:tr>
      <w:tr>
        <w:trPr/>
        <w:tc>
          <w:tcPr>
            <w:tcW w:w="5530" w:type="dxa"/>
            <w:gridSpan w:val="3"/>
            <w:tcBorders>
              <w:left w:val="single" w:sz="2" w:space="0" w:color="000000"/>
              <w:bottom w:val="single" w:sz="2" w:space="0" w:color="000000"/>
              <w:right w:val="single" w:sz="2" w:space="0" w:color="000000"/>
            </w:tcBorders>
            <w:shd w:fill="auto" w:val="clear"/>
            <w:tcMar>
              <w:left w:w="160" w:type="dxa"/>
              <w:bottom w:w="28" w:type="dxa"/>
              <w:right w:w="28" w:type="dxa"/>
            </w:tcMar>
          </w:tcPr>
          <w:p>
            <w:pPr>
              <w:pStyle w:val="TableContents"/>
              <w:spacing w:before="0" w:after="0"/>
              <w:jc w:val="center"/>
              <w:rPr>
                <w:rFonts w:ascii="Times New Roman" w:hAnsi="Times New Roman"/>
                <w:b/>
                <w:sz w:val="20"/>
              </w:rPr>
            </w:pPr>
            <w:r>
              <w:rPr>
                <w:rFonts w:ascii="Times New Roman" w:hAnsi="Times New Roman"/>
                <w:b/>
                <w:sz w:val="20"/>
              </w:rPr>
              <w:t>Total Offering Amounts</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83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5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8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22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$66,734,752</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16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$0.0000927</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98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$6,186.31</w:t>
            </w:r>
          </w:p>
        </w:tc>
      </w:tr>
      <w:tr>
        <w:trPr/>
        <w:tc>
          <w:tcPr>
            <w:tcW w:w="5530" w:type="dxa"/>
            <w:gridSpan w:val="3"/>
            <w:tcBorders>
              <w:left w:val="single" w:sz="2" w:space="0" w:color="000000"/>
              <w:bottom w:val="single" w:sz="2" w:space="0" w:color="000000"/>
              <w:right w:val="single" w:sz="2" w:space="0" w:color="000000"/>
            </w:tcBorders>
            <w:shd w:fill="auto" w:val="clear"/>
            <w:tcMar>
              <w:left w:w="160" w:type="dxa"/>
              <w:bottom w:w="28" w:type="dxa"/>
              <w:right w:w="28" w:type="dxa"/>
            </w:tcMar>
          </w:tcPr>
          <w:p>
            <w:pPr>
              <w:pStyle w:val="TableContents"/>
              <w:spacing w:before="0" w:after="0"/>
              <w:jc w:val="center"/>
              <w:rPr>
                <w:rFonts w:ascii="Times New Roman" w:hAnsi="Times New Roman"/>
                <w:b/>
                <w:sz w:val="20"/>
              </w:rPr>
            </w:pPr>
            <w:r>
              <w:rPr>
                <w:rFonts w:ascii="Times New Roman" w:hAnsi="Times New Roman"/>
                <w:b/>
                <w:sz w:val="20"/>
              </w:rPr>
              <w:t>Total Fee Offsets</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83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5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8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22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16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98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  </w:t>
            </w:r>
          </w:p>
        </w:tc>
      </w:tr>
      <w:tr>
        <w:trPr/>
        <w:tc>
          <w:tcPr>
            <w:tcW w:w="5530" w:type="dxa"/>
            <w:gridSpan w:val="3"/>
            <w:tcBorders>
              <w:left w:val="single" w:sz="2" w:space="0" w:color="000000"/>
              <w:bottom w:val="single" w:sz="2" w:space="0" w:color="000000"/>
              <w:right w:val="single" w:sz="2" w:space="0" w:color="000000"/>
            </w:tcBorders>
            <w:shd w:fill="auto" w:val="clear"/>
            <w:tcMar>
              <w:left w:w="160" w:type="dxa"/>
              <w:bottom w:w="28" w:type="dxa"/>
              <w:right w:w="28" w:type="dxa"/>
            </w:tcMar>
          </w:tcPr>
          <w:p>
            <w:pPr>
              <w:pStyle w:val="TableContents"/>
              <w:spacing w:before="0" w:after="0"/>
              <w:jc w:val="center"/>
              <w:rPr>
                <w:rFonts w:ascii="Times New Roman" w:hAnsi="Times New Roman"/>
                <w:b/>
                <w:sz w:val="20"/>
              </w:rPr>
            </w:pPr>
            <w:r>
              <w:rPr>
                <w:rFonts w:ascii="Times New Roman" w:hAnsi="Times New Roman"/>
                <w:b/>
                <w:sz w:val="20"/>
              </w:rPr>
              <w:t>Net Fee Due</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83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5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8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22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16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98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$6,186.31</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(1)</w:t>
            </w:r>
          </w:p>
        </w:tc>
        <w:tc>
          <w:tcPr>
            <w:tcW w:w="99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Pursuant to Rule 416(a) under the Securities Act of 1933, as amended (the Securities Act), this registration statement shall also cover any additional shares of Class A common stock, par value $0.001 per share (the Class A Common Stock) of P10, Inc. (the Company or the Registrant) that may become issuable under the terms of the P10, Inc. 2021 Incentive Plan (the </w:t>
            </w:r>
            <w:r>
              <w:rPr>
                <w:rFonts w:ascii="Times New Roman" w:hAnsi="Times New Roman"/>
                <w:b/>
                <w:sz w:val="20"/>
              </w:rPr>
              <w:t>2021 Plan</w:t>
            </w:r>
            <w:r>
              <w:rPr>
                <w:rFonts w:ascii="Times New Roman" w:hAnsi="Times New Roman"/>
                <w:sz w:val="20"/>
              </w:rPr>
              <w:t>) or the P10 Holdings, Inc. 2018 Stock Incentive Plan (the </w:t>
            </w:r>
            <w:r>
              <w:rPr>
                <w:rFonts w:ascii="Times New Roman" w:hAnsi="Times New Roman"/>
                <w:b/>
                <w:sz w:val="20"/>
              </w:rPr>
              <w:t>2018 Plan</w:t>
            </w:r>
            <w:r>
              <w:rPr>
                <w:rFonts w:ascii="Times New Roman" w:hAnsi="Times New Roman"/>
                <w:sz w:val="20"/>
              </w:rPr>
              <w:t>, and together with the 2021 Plan, the </w:t>
            </w:r>
            <w:r>
              <w:rPr>
                <w:rFonts w:ascii="Times New Roman" w:hAnsi="Times New Roman"/>
                <w:b/>
                <w:sz w:val="20"/>
              </w:rPr>
              <w:t>Plans</w:t>
            </w:r>
            <w:r>
              <w:rPr>
                <w:rFonts w:ascii="Times New Roman" w:hAnsi="Times New Roman"/>
                <w:sz w:val="20"/>
              </w:rPr>
              <w:t xml:space="preserve">), as applicable, by reason of any share split, share dividend, recapitalization or other similar transaction effected without the Companys receipt of consideration which results in an increase in the number of the outstanding shares of Class A Common Stock. </w:t>
            </w:r>
          </w:p>
        </w:tc>
      </w:tr>
    </w:tbl>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pPr>
            <w:r>
              <w:rPr/>
              <w:t>(2)</w:t>
            </w:r>
          </w:p>
        </w:tc>
        <w:tc>
          <w:tcPr>
            <w:tcW w:w="990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Estimated pursuant to Rule 457(h) solely for purposes of calculating the aggregate offering price and the amount of the registration fee based upon a weighted average of the exercise prices of outstanding options previously granted. </w:t>
            </w:r>
          </w:p>
        </w:tc>
      </w:tr>
    </w:tbl>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pPr>
            <w:r>
              <w:rPr/>
              <w:t>(3)</w:t>
            </w:r>
          </w:p>
        </w:tc>
        <w:tc>
          <w:tcPr>
            <w:tcW w:w="990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shares of Class A common stock issuable pursuant to stock option awards outstanding under the 2018 Plan.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(4)</w:t>
            </w:r>
          </w:p>
        </w:tc>
        <w:tc>
          <w:tcPr>
            <w:tcW w:w="99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Estimated solely for the purpose of calculating the registration fee pursuant to Rules 457(c) and (h) under the Securities Act, based on the average of the high and low sales prices of the Class A Common Stock on The New York Stock Exchange on May 6, 2022. </w:t>
            </w:r>
          </w:p>
        </w:tc>
      </w:tr>
    </w:tbl>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pPr>
            <w:r>
              <w:rPr/>
              <w:t>(5)</w:t>
            </w:r>
          </w:p>
        </w:tc>
        <w:tc>
          <w:tcPr>
            <w:tcW w:w="98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shares of restricted stock issued under the 2018 Plan. </w:t>
            </w:r>
          </w:p>
        </w:tc>
      </w:tr>
    </w:tbl>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pPr>
            <w:r>
              <w:rPr/>
              <w:t>(6)</w:t>
            </w:r>
          </w:p>
        </w:tc>
        <w:tc>
          <w:tcPr>
            <w:tcW w:w="990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shares of Class A common stock issuable pursuant to stock option awards outstanding under the 2021 Plan. </w:t>
            </w:r>
          </w:p>
        </w:tc>
      </w:tr>
    </w:tbl>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pPr>
            <w:r>
              <w:rPr/>
              <w:t>(7)</w:t>
            </w:r>
          </w:p>
        </w:tc>
        <w:tc>
          <w:tcPr>
            <w:tcW w:w="98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shares of restricted stock to be issued upon settlement of restricted stock units issued under the 2021 Plan. </w:t>
            </w:r>
          </w:p>
        </w:tc>
      </w:tr>
    </w:tbl>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pPr>
            <w:r>
              <w:rPr/>
              <w:t>(8)</w:t>
            </w:r>
          </w:p>
        </w:tc>
        <w:tc>
          <w:tcPr>
            <w:tcW w:w="98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shares of common stock reserved for future issuance pursuant to the 2021 Plan. </w:t>
            </w:r>
          </w:p>
        </w:tc>
      </w:tr>
    </w:tbl>
    <w:p>
      <w:pPr>
        <w:pStyle w:val="TextBody"/>
        <w:spacing w:before="0" w:after="0"/>
        <w:jc w:val="left"/>
        <w:rPr/>
      </w:pPr>
      <w:r>
        <w:rPr/>
        <w:t> </w:t>
      </w:r>
    </w:p>
    <w:p>
      <w:pPr>
        <w:pStyle w:val="TextBody"/>
        <w:spacing w:before="240" w:after="0"/>
        <w:jc w:val="left"/>
        <w:rPr/>
      </w:pPr>
      <w:r>
        <w:rPr>
          <w:u w:val="single"/>
        </w:rPr>
        <w:t>                                                                                                          </w:t>
      </w: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841968/000095017022004180/px-20211231.htm" TargetMode="External"/><Relationship Id="rId3" Type="http://schemas.openxmlformats.org/officeDocument/2006/relationships/hyperlink" Target="http://www.sec.gov/Archives/edgar/data/../../../ix?doc=/Archives/edgar/data/1841968/000119312522066167/d200532d8k.htm" TargetMode="External"/><Relationship Id="rId4" Type="http://schemas.openxmlformats.org/officeDocument/2006/relationships/hyperlink" Target="http://www.sec.gov/Archives/edgar/data/1841968/000119312521305414/d118332d424b4.htm" TargetMode="External"/><Relationship Id="rId5" Type="http://schemas.openxmlformats.org/officeDocument/2006/relationships/hyperlink" Target="http://www.sec.gov/Archives/edgar/data/1841968/000119312521302126/d197268d8a12b.htm" TargetMode="External"/><Relationship Id="rId6" Type="http://schemas.openxmlformats.org/officeDocument/2006/relationships/hyperlink" Target="http://www.sec.gov/Archives/edgar/data/../../../ix?doc=/Archives/edgar/data/1841968/000095017022004180/px-20211231.htm" TargetMode="External"/><Relationship Id="rId7" Type="http://schemas.openxmlformats.org/officeDocument/2006/relationships/hyperlink" Target="http://www.sec.gov/Archives/edgar/data/../../../ix?doc=/Archives/edgar/data/1841968/000119312522066167/d200532d8k.htm" TargetMode="External"/><Relationship Id="rId8" Type="http://schemas.openxmlformats.org/officeDocument/2006/relationships/hyperlink" Target="http://www.sec.gov/Archives/edgar/data/1841968/000119312521305414/d118332d424b4.htm" TargetMode="External"/><Relationship Id="rId9" Type="http://schemas.openxmlformats.org/officeDocument/2006/relationships/hyperlink" Target="http://www.sec.gov/Archives/edgar/data/1841968/000119312521302126/d197268d8a12b.htm" TargetMode="External"/><Relationship Id="rId10" Type="http://schemas.openxmlformats.org/officeDocument/2006/relationships/hyperlink" Target="http://www.sec.gov/Archives/edgar/data/1841968/000119312521308150/d247132dex31.htm" TargetMode="External"/><Relationship Id="rId11" Type="http://schemas.openxmlformats.org/officeDocument/2006/relationships/hyperlink" Target="http://www.sec.gov/Archives/edgar/data/1841968/000119312521308150/d247132dex32.htm" TargetMode="External"/><Relationship Id="rId12" Type="http://schemas.openxmlformats.org/officeDocument/2006/relationships/hyperlink" Target="http://www.sec.gov/Archives/edgar/data/1841968/000119312521300289/d118332dex101.htm" TargetMode="External"/><Relationship Id="rId13" Type="http://schemas.openxmlformats.org/officeDocument/2006/relationships/hyperlink" Target="http://www.sec.gov/Archives/edgar/data/1841968/000119312521284294/d118332dex102.htm" TargetMode="External"/><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30</Pages>
  <Words>12236</Words>
  <CharactersWithSpaces>75876</CharactersWithSpaces>
  <Paragraphs>1198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