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164465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187325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March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184150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P10,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170180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p>
      <w:pPr>
        <w:spacing w:after="0" w:line="200" w:lineRule="exact"/>
        <w:rPr>
          <w:sz w:val="24"/>
          <w:szCs w:val="24"/>
          <w:color w:val="auto"/>
        </w:rPr>
      </w:pPr>
    </w:p>
    <w:p>
      <w:pPr>
        <w:spacing w:after="0" w:line="269" w:lineRule="exact"/>
        <w:rPr>
          <w:sz w:val="24"/>
          <w:szCs w:val="24"/>
          <w:color w:val="auto"/>
        </w:rPr>
      </w:pPr>
    </w:p>
    <w:p>
      <w:pPr>
        <w:ind w:left="13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jc w:val="center"/>
        <w:ind w:right="1520"/>
        <w:spacing w:after="0"/>
        <w:rPr>
          <w:sz w:val="20"/>
          <w:szCs w:val="20"/>
          <w:color w:val="auto"/>
        </w:rPr>
      </w:pPr>
      <w:r>
        <w:rPr>
          <w:rFonts w:ascii="Arial" w:cs="Arial" w:eastAsia="Arial" w:hAnsi="Arial"/>
          <w:sz w:val="12"/>
          <w:szCs w:val="12"/>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87-2908160</w:t>
      </w:r>
    </w:p>
    <w:p>
      <w:pPr>
        <w:spacing w:after="0" w:line="24" w:lineRule="exact"/>
        <w:rPr>
          <w:sz w:val="24"/>
          <w:szCs w:val="24"/>
          <w:color w:val="auto"/>
        </w:rPr>
      </w:pPr>
    </w:p>
    <w:p>
      <w:pPr>
        <w:sectPr>
          <w:pgSz w:w="11900" w:h="16838" w:orient="portrait"/>
          <w:cols w:equalWidth="0" w:num="3">
            <w:col w:w="3560" w:space="720"/>
            <w:col w:w="2140" w:space="720"/>
            <w:col w:w="1879"/>
          </w:cols>
          <w:pgMar w:left="1440" w:top="331" w:right="1440" w:bottom="1440" w:gutter="0" w:footer="0" w:header="0"/>
          <w:type w:val="continuous"/>
        </w:sectPr>
      </w:pPr>
    </w:p>
    <w:p>
      <w:pPr>
        <w:spacing w:after="0" w:line="11" w:lineRule="exact"/>
        <w:rPr>
          <w:sz w:val="24"/>
          <w:szCs w:val="24"/>
          <w:color w:val="auto"/>
        </w:rPr>
      </w:pPr>
    </w:p>
    <w:p>
      <w:pPr>
        <w:jc w:val="center"/>
        <w:ind w:right="340"/>
        <w:spacing w:after="0"/>
        <w:rPr>
          <w:sz w:val="20"/>
          <w:szCs w:val="20"/>
          <w:color w:val="auto"/>
        </w:rPr>
      </w:pPr>
      <w:r>
        <w:rPr>
          <w:rFonts w:ascii="Arial" w:cs="Arial" w:eastAsia="Arial" w:hAnsi="Arial"/>
          <w:sz w:val="10"/>
          <w:szCs w:val="10"/>
          <w:b w:val="1"/>
          <w:bCs w:val="1"/>
          <w:color w:val="auto"/>
        </w:rPr>
        <w:t>(State or other Jurisdiction</w:t>
      </w:r>
    </w:p>
    <w:p>
      <w:pPr>
        <w:jc w:val="center"/>
        <w:ind w:right="34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(Commission</w:t>
      </w:r>
    </w:p>
    <w:p>
      <w:pPr>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Arial" w:cs="Arial" w:eastAsia="Arial" w:hAnsi="Arial"/>
          <w:sz w:val="11"/>
          <w:szCs w:val="11"/>
          <w:b w:val="1"/>
          <w:bCs w:val="1"/>
          <w:color w:val="auto"/>
        </w:rPr>
        <w:t>(IRS Employer</w:t>
      </w:r>
    </w:p>
    <w:p>
      <w:pPr>
        <w:jc w:val="center"/>
        <w:ind w:right="1079"/>
        <w:spacing w:after="0"/>
        <w:rPr>
          <w:sz w:val="20"/>
          <w:szCs w:val="20"/>
          <w:color w:val="auto"/>
        </w:rPr>
      </w:pPr>
      <w:r>
        <w:rPr>
          <w:rFonts w:ascii="Arial" w:cs="Arial" w:eastAsia="Arial" w:hAnsi="Arial"/>
          <w:sz w:val="10"/>
          <w:szCs w:val="10"/>
          <w:b w:val="1"/>
          <w:bCs w:val="1"/>
          <w:color w:val="auto"/>
        </w:rPr>
        <w:t>Identification No.)</w:t>
      </w:r>
    </w:p>
    <w:p>
      <w:pPr>
        <w:spacing w:after="0" w:line="133" w:lineRule="exact"/>
        <w:rPr>
          <w:sz w:val="24"/>
          <w:szCs w:val="24"/>
          <w:color w:val="auto"/>
        </w:rPr>
      </w:pPr>
    </w:p>
    <w:p>
      <w:pPr>
        <w:sectPr>
          <w:pgSz w:w="11900" w:h="16838" w:orient="portrait"/>
          <w:cols w:equalWidth="0" w:num="3">
            <w:col w:w="3540" w:space="720"/>
            <w:col w:w="2060" w:space="720"/>
            <w:col w:w="1979"/>
          </w:cols>
          <w:pgMar w:left="1440" w:top="331" w:right="1440" w:bottom="1440" w:gutter="0" w:footer="0" w:header="0"/>
          <w:type w:val="continuous"/>
        </w:sectPr>
      </w:pPr>
    </w:p>
    <w:p>
      <w:pPr>
        <w:ind w:left="3600"/>
        <w:spacing w:after="0"/>
        <w:rPr>
          <w:sz w:val="20"/>
          <w:szCs w:val="20"/>
          <w:color w:val="auto"/>
        </w:rPr>
      </w:pPr>
      <w:r>
        <w:rPr>
          <w:rFonts w:ascii="Arial" w:cs="Arial" w:eastAsia="Arial" w:hAnsi="Arial"/>
          <w:sz w:val="14"/>
          <w:szCs w:val="14"/>
          <w:b w:val="1"/>
          <w:bCs w:val="1"/>
          <w:color w:val="auto"/>
        </w:rPr>
        <w:t>4514 Cole Avenue, Suite 1600</w:t>
      </w:r>
    </w:p>
    <w:p>
      <w:pPr>
        <w:spacing w:after="0" w:line="25"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Dallas, Texas 75205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and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(214) 865-7998</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169545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20" w:right="499"/>
        <w:spacing w:after="0" w:line="28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Instruction A.2. below):</w:t>
      </w:r>
    </w:p>
    <w:p>
      <w:pPr>
        <w:spacing w:after="0" w:line="56"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6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8"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Title of each class</w:t>
            </w: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Trading</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Name of each exchange</w:t>
            </w:r>
          </w:p>
        </w:tc>
        <w:tc>
          <w:tcPr>
            <w:tcW w:w="0" w:type="dxa"/>
            <w:vAlign w:val="bottom"/>
          </w:tcPr>
          <w:p>
            <w:pPr>
              <w:spacing w:after="0"/>
              <w:rPr>
                <w:sz w:val="1"/>
                <w:szCs w:val="1"/>
                <w:color w:val="auto"/>
              </w:rPr>
            </w:pPr>
          </w:p>
        </w:tc>
      </w:tr>
      <w:tr>
        <w:trPr>
          <w:trHeight w:val="146"/>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Symbol(s)</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on which registered</w:t>
            </w:r>
          </w:p>
        </w:tc>
        <w:tc>
          <w:tcPr>
            <w:tcW w:w="0" w:type="dxa"/>
            <w:vAlign w:val="bottom"/>
          </w:tcPr>
          <w:p>
            <w:pPr>
              <w:spacing w:after="0"/>
              <w:rPr>
                <w:sz w:val="1"/>
                <w:szCs w:val="1"/>
                <w:color w:val="auto"/>
              </w:rPr>
            </w:pPr>
          </w:p>
        </w:tc>
      </w:tr>
      <w:tr>
        <w:trPr>
          <w:trHeight w:val="152"/>
        </w:trPr>
        <w:tc>
          <w:tcPr>
            <w:tcW w:w="298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4"/>
                <w:szCs w:val="14"/>
                <w:color w:val="auto"/>
                <w:w w:val="91"/>
              </w:rPr>
              <w:t>Class A Common Stock, par value $0.001 per share</w:t>
            </w:r>
          </w:p>
        </w:tc>
        <w:tc>
          <w:tcPr>
            <w:tcW w:w="100" w:type="dxa"/>
            <w:vAlign w:val="bottom"/>
          </w:tcPr>
          <w:p>
            <w:pPr>
              <w:spacing w:after="0"/>
              <w:rPr>
                <w:sz w:val="13"/>
                <w:szCs w:val="13"/>
                <w:color w:val="auto"/>
              </w:rPr>
            </w:pPr>
          </w:p>
        </w:tc>
        <w:tc>
          <w:tcPr>
            <w:tcW w:w="280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4"/>
                <w:szCs w:val="14"/>
                <w:color w:val="auto"/>
                <w:w w:val="96"/>
              </w:rPr>
              <w:t>PX</w:t>
            </w:r>
          </w:p>
        </w:tc>
        <w:tc>
          <w:tcPr>
            <w:tcW w:w="8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4"/>
                <w:szCs w:val="14"/>
                <w:color w:val="auto"/>
                <w:w w:val="95"/>
              </w:rPr>
              <w:t>New York Stock Exchange LLC</w:t>
            </w: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Series A Junior Participating Preferred Stock</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Purchase Rights</w:t>
            </w: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120" w:right="359"/>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9" w:lineRule="exact"/>
        <w:rPr>
          <w:sz w:val="24"/>
          <w:szCs w:val="24"/>
          <w:color w:val="auto"/>
        </w:rPr>
      </w:pPr>
    </w:p>
    <w:p>
      <w:pPr>
        <w:ind w:left="120" w:right="359"/>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107315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141605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1" w:name="page2"/>
    <w:bookmarkEnd w:id="1"/>
    <w:p>
      <w:pPr>
        <w:ind w:left="120"/>
        <w:spacing w:after="0"/>
        <w:tabs>
          <w:tab w:leader="none" w:pos="10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01" w:lineRule="exact"/>
        <w:rPr>
          <w:sz w:val="20"/>
          <w:szCs w:val="20"/>
          <w:color w:val="auto"/>
        </w:rPr>
      </w:pPr>
    </w:p>
    <w:p>
      <w:pPr>
        <w:ind w:left="120" w:right="199" w:firstLine="351"/>
        <w:spacing w:after="0" w:line="272" w:lineRule="auto"/>
        <w:rPr>
          <w:sz w:val="20"/>
          <w:szCs w:val="20"/>
          <w:color w:val="auto"/>
        </w:rPr>
      </w:pPr>
      <w:r>
        <w:rPr>
          <w:rFonts w:ascii="Arial" w:cs="Arial" w:eastAsia="Arial" w:hAnsi="Arial"/>
          <w:sz w:val="14"/>
          <w:szCs w:val="14"/>
          <w:color w:val="auto"/>
        </w:rPr>
        <w:t>On March 6, 2023, P10, Inc. (the “Company”) issued a press release and detailed presentation announcing its financial results for the fourth fiscal quarter and year ended December 31, 2022. A copy of the press release and presentation are furnished as Exhibit 99.1 to this Current Report on Form 8-K and are incorporated by reference into this Item 2.02 as if fully set forth herein.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plans to host a conference call at 5:00 p.m. Eastern Time on Monday, March 6, 2023, to discuss these results.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furnished by the Company pursuant to this Item 2.02, including Exhibit 99.1, shall not be deemed “filed” for purposes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Section 18 of the Securities Exchange Act of 1934, as amended (the “Exchange Act”) or otherwise subject to the liability of that section, and shall not be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deemed to be incorporated by reference into any Company filing under the Securities Act of 1933, as amended, or the Exchange Act, regardless of 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general incorporation language in such filing.</w:t>
      </w:r>
    </w:p>
    <w:p>
      <w:pPr>
        <w:spacing w:after="0" w:line="288"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01" w:lineRule="exact"/>
        <w:rPr>
          <w:sz w:val="20"/>
          <w:szCs w:val="20"/>
          <w:color w:val="auto"/>
        </w:rPr>
      </w:pPr>
    </w:p>
    <w:p>
      <w:pPr>
        <w:ind w:left="120" w:right="339" w:firstLine="351"/>
        <w:spacing w:after="0" w:line="328" w:lineRule="auto"/>
        <w:rPr>
          <w:sz w:val="20"/>
          <w:szCs w:val="20"/>
          <w:color w:val="auto"/>
        </w:rPr>
      </w:pPr>
      <w:r>
        <w:rPr>
          <w:rFonts w:ascii="Arial" w:cs="Arial" w:eastAsia="Arial" w:hAnsi="Arial"/>
          <w:sz w:val="13"/>
          <w:szCs w:val="13"/>
          <w:color w:val="auto"/>
        </w:rPr>
        <w:t>On March 6, 2023, P10, Inc. (the “Company”) posted the Q4 2022 and Year End Company Overview to its website at https://ir.p10alts.com/. A copy of the Q4 2022 and Year End Company Overview is attached as Exhibit 99.2 to this Current Report on Form 8-K.</w:t>
      </w:r>
    </w:p>
    <w:p>
      <w:pPr>
        <w:spacing w:after="0" w:line="108" w:lineRule="exact"/>
        <w:rPr>
          <w:sz w:val="20"/>
          <w:szCs w:val="20"/>
          <w:color w:val="auto"/>
        </w:rPr>
      </w:pPr>
    </w:p>
    <w:p>
      <w:pPr>
        <w:ind w:left="120" w:right="119" w:firstLine="351"/>
        <w:spacing w:after="0" w:line="289" w:lineRule="auto"/>
        <w:rPr>
          <w:sz w:val="20"/>
          <w:szCs w:val="20"/>
          <w:color w:val="auto"/>
        </w:rPr>
      </w:pPr>
      <w:r>
        <w:rPr>
          <w:rFonts w:ascii="Arial" w:cs="Arial" w:eastAsia="Arial" w:hAnsi="Arial"/>
          <w:sz w:val="13"/>
          <w:szCs w:val="13"/>
          <w:color w:val="auto"/>
        </w:rPr>
        <w:t>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4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01" w:lineRule="exact"/>
        <w:rPr>
          <w:sz w:val="20"/>
          <w:szCs w:val="20"/>
          <w:color w:val="auto"/>
        </w:rPr>
      </w:pPr>
    </w:p>
    <w:p>
      <w:pPr>
        <w:ind w:left="120"/>
        <w:spacing w:after="0"/>
        <w:tabs>
          <w:tab w:leader="none" w:pos="40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3"/>
          <w:szCs w:val="13"/>
          <w:color w:val="auto"/>
        </w:rPr>
        <w:t>Exhibits</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1"/>
          <w:szCs w:val="11"/>
          <w:color w:val="auto"/>
        </w:rPr>
        <w:t>Exhibit</w:t>
      </w:r>
    </w:p>
    <w:p>
      <w:pPr>
        <w:spacing w:after="0" w:line="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1"/>
          <w:szCs w:val="11"/>
          <w:color w:val="auto"/>
        </w:rPr>
        <w:t>No.</w:t>
      </w:r>
      <w:r>
        <w:rPr>
          <w:sz w:val="20"/>
          <w:szCs w:val="20"/>
          <w:color w:val="auto"/>
        </w:rPr>
        <w:tab/>
      </w:r>
      <w:r>
        <w:rPr>
          <w:rFonts w:ascii="Arial" w:cs="Arial" w:eastAsia="Arial" w:hAnsi="Arial"/>
          <w:sz w:val="11"/>
          <w:szCs w:val="1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-1270</wp:posOffset>
            </wp:positionV>
            <wp:extent cx="2184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440" cy="6985"/>
                    </a:xfrm>
                    <a:prstGeom prst="rect">
                      <a:avLst/>
                    </a:prstGeom>
                    <a:noFill/>
                  </pic:spPr>
                </pic:pic>
              </a:graphicData>
            </a:graphic>
          </wp:anchor>
        </w:drawing>
      </w:r>
    </w:p>
    <w:p>
      <w:pPr>
        <w:spacing w:after="0" w:line="6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2"/>
          <w:szCs w:val="12"/>
          <w:u w:val="single" w:color="auto"/>
          <w:color w:val="0000EE"/>
        </w:rPr>
        <w:t>Press Release of P10, Inc., dated March 6, 2022 and Q4 2022 earnings presentation.</w:t>
      </w:r>
    </w:p>
    <w:p>
      <w:pPr>
        <w:spacing w:after="0" w:line="9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4"/>
          <w:szCs w:val="14"/>
          <w:color w:val="auto"/>
        </w:rPr>
        <w:t>99.2</w:t>
      </w:r>
      <w:r>
        <w:rPr>
          <w:sz w:val="20"/>
          <w:szCs w:val="20"/>
          <w:color w:val="auto"/>
        </w:rPr>
        <w:tab/>
      </w:r>
      <w:r>
        <w:rPr>
          <w:rFonts w:ascii="Arial" w:cs="Arial" w:eastAsia="Arial" w:hAnsi="Arial"/>
          <w:sz w:val="13"/>
          <w:szCs w:val="13"/>
          <w:u w:val="single" w:color="auto"/>
          <w:color w:val="0000EE"/>
        </w:rPr>
        <w:t>Q4 2022 Company Overview dated March 6, 2023</w:t>
      </w:r>
    </w:p>
    <w:p>
      <w:pPr>
        <w:spacing w:after="0" w:line="9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w:t>
      </w:r>
    </w:p>
    <w:p>
      <w:pPr>
        <w:sectPr>
          <w:pgSz w:w="11900" w:h="16838" w:orient="portrait"/>
          <w:cols w:equalWidth="0" w:num="1">
            <w:col w:w="9019"/>
          </w:cols>
          <w:pgMar w:left="1440" w:top="26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w:t>
      </w:r>
    </w:p>
    <w:p>
      <w:pPr>
        <w:spacing w:after="0" w:line="187" w:lineRule="exact"/>
        <w:rPr>
          <w:sz w:val="20"/>
          <w:szCs w:val="20"/>
          <w:color w:val="auto"/>
        </w:rPr>
      </w:pPr>
    </w:p>
    <w:p>
      <w:pPr>
        <w:ind w:left="120" w:right="359" w:firstLine="351"/>
        <w:spacing w:after="0" w:line="28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P10, INC.</w:t>
      </w:r>
    </w:p>
    <w:p>
      <w:pPr>
        <w:spacing w:after="0" w:line="183" w:lineRule="exact"/>
        <w:rPr>
          <w:sz w:val="20"/>
          <w:szCs w:val="20"/>
          <w:color w:val="auto"/>
        </w:rPr>
      </w:pPr>
    </w:p>
    <w:p>
      <w:pPr>
        <w:ind w:left="120"/>
        <w:spacing w:after="0"/>
        <w:tabs>
          <w:tab w:leader="none" w:pos="4580" w:val="left"/>
          <w:tab w:leader="none" w:pos="4920" w:val="left"/>
        </w:tabs>
        <w:rPr>
          <w:sz w:val="20"/>
          <w:szCs w:val="20"/>
          <w:color w:val="auto"/>
        </w:rPr>
      </w:pPr>
      <w:r>
        <w:rPr>
          <w:rFonts w:ascii="Arial" w:cs="Arial" w:eastAsia="Arial" w:hAnsi="Arial"/>
          <w:sz w:val="14"/>
          <w:szCs w:val="14"/>
          <w:color w:val="auto"/>
        </w:rPr>
        <w:t>Date: March 6,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13970</wp:posOffset>
            </wp:positionV>
            <wp:extent cx="25076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Amanda Coussens</w:t>
      </w:r>
    </w:p>
    <w:p>
      <w:pPr>
        <w:spacing w:after="0" w:line="11"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9019"/>
          </w:cols>
          <w:pgMar w:left="1440" w:top="265" w:right="1440" w:bottom="1440" w:gutter="0" w:footer="0" w:header="0"/>
        </w:sectPr>
      </w:pPr>
    </w:p>
    <w:bookmarkStart w:id="3" w:name="page4"/>
    <w:bookmarkEnd w:id="3"/>
    <w:p>
      <w:pPr>
        <w:jc w:val="right"/>
        <w:ind w:right="119"/>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139700</wp:posOffset>
            </wp:positionV>
            <wp:extent cx="1059180" cy="525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9180" cy="52578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139700</wp:posOffset>
            </wp:positionV>
            <wp:extent cx="1346200" cy="375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P10 Reports Fourth Quarter and Full Year 2022 Earnings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Double-digit, year-over-year growth drives a record 2022</w:t>
      </w:r>
    </w:p>
    <w:p>
      <w:pPr>
        <w:spacing w:after="0" w:line="183" w:lineRule="exact"/>
        <w:rPr>
          <w:sz w:val="20"/>
          <w:szCs w:val="20"/>
          <w:color w:val="auto"/>
        </w:rPr>
      </w:pPr>
    </w:p>
    <w:p>
      <w:pPr>
        <w:ind w:left="120" w:right="479"/>
        <w:spacing w:after="0" w:line="287" w:lineRule="auto"/>
        <w:rPr>
          <w:sz w:val="20"/>
          <w:szCs w:val="20"/>
          <w:color w:val="auto"/>
        </w:rPr>
      </w:pPr>
      <w:r>
        <w:rPr>
          <w:rFonts w:ascii="Arial" w:cs="Arial" w:eastAsia="Arial" w:hAnsi="Arial"/>
          <w:sz w:val="14"/>
          <w:szCs w:val="14"/>
          <w:color w:val="auto"/>
        </w:rPr>
        <w:t xml:space="preserve">DALLAS, March 6, 2023 (GLOBE NEWSWIRE) — </w:t>
      </w:r>
      <w:r>
        <w:rPr>
          <w:rFonts w:ascii="Arial" w:cs="Arial" w:eastAsia="Arial" w:hAnsi="Arial"/>
          <w:sz w:val="14"/>
          <w:szCs w:val="14"/>
          <w:u w:val="single" w:color="auto"/>
          <w:color w:val="auto"/>
        </w:rPr>
        <w:t>P10, Inc.</w:t>
      </w:r>
      <w:r>
        <w:rPr>
          <w:rFonts w:ascii="Arial" w:cs="Arial" w:eastAsia="Arial" w:hAnsi="Arial"/>
          <w:sz w:val="14"/>
          <w:szCs w:val="14"/>
          <w:color w:val="auto"/>
        </w:rPr>
        <w:t xml:space="preserve"> (NYSE: PX), a leading private markets solutions provider, today reported financial results for the fourth quarter and year ended December 31, 2022.</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Fourth Quarter 2022 Financial Highlights:</w:t>
      </w:r>
    </w:p>
    <w:p>
      <w:pPr>
        <w:spacing w:after="0" w:line="108" w:lineRule="exact"/>
        <w:rPr>
          <w:sz w:val="20"/>
          <w:szCs w:val="20"/>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Fee Paying Assets Under Management: $21.2 billion, a 23%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 $58.3 million, a 28%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GAAP Net Income: $4.8 million, a 221%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EBITDA: $30.8 million, a 17%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Net Income: $27.3 million, a 24%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Fully diluted GAAP EPS: $.04, a 104%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Fully diluted ANI per share: $.22, a 22% increase year over year.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Fiscal Year End 2022 Financial Highlights:</w:t>
      </w:r>
    </w:p>
    <w:p>
      <w:pPr>
        <w:spacing w:after="0" w:line="108" w:lineRule="exact"/>
        <w:rPr>
          <w:sz w:val="20"/>
          <w:szCs w:val="20"/>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 $198.4 million, a 32%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GAAP Net Income: $29.4 million, a 173%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$106.8 million, a 29%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Net Income: $97.9 million, a 56%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Fully diluted GAAP EPS: $.24, a 194% increase year over year.</w:t>
      </w:r>
    </w:p>
    <w:p>
      <w:pPr>
        <w:spacing w:after="0" w:line="107" w:lineRule="exact"/>
        <w:rPr>
          <w:rFonts w:ascii="Arial" w:cs="Arial" w:eastAsia="Arial" w:hAnsi="Arial"/>
          <w:sz w:val="14"/>
          <w:szCs w:val="14"/>
          <w:color w:val="auto"/>
        </w:rPr>
      </w:pPr>
    </w:p>
    <w:p>
      <w:pPr>
        <w:ind w:left="880" w:hanging="3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Fully diluted ANI per share: $.80, a 43% increase year over year.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A presentation of the quarterly financials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 xml:space="preserve"> and is available on the Company’s website.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Declaration of Dividend:</w:t>
      </w:r>
    </w:p>
    <w:p>
      <w:pPr>
        <w:spacing w:after="0" w:line="97" w:lineRule="exact"/>
        <w:rPr>
          <w:sz w:val="20"/>
          <w:szCs w:val="20"/>
          <w:color w:val="auto"/>
        </w:rPr>
      </w:pPr>
    </w:p>
    <w:p>
      <w:pPr>
        <w:ind w:left="120" w:right="639"/>
        <w:spacing w:after="0" w:line="287" w:lineRule="auto"/>
        <w:rPr>
          <w:sz w:val="20"/>
          <w:szCs w:val="20"/>
          <w:color w:val="auto"/>
        </w:rPr>
      </w:pPr>
      <w:r>
        <w:rPr>
          <w:rFonts w:ascii="Arial" w:cs="Arial" w:eastAsia="Arial" w:hAnsi="Arial"/>
          <w:sz w:val="14"/>
          <w:szCs w:val="14"/>
          <w:color w:val="auto"/>
        </w:rPr>
        <w:t>The Board of Directors of the Company has declared a quarterly cash dividend of $.03 per share of Class A and Class B common stock, payable on March 31, 2023, to the holders of record as of the close of business on March 16, 2023.</w:t>
      </w:r>
    </w:p>
    <w:p>
      <w:pPr>
        <w:spacing w:after="0" w:line="131" w:lineRule="exact"/>
        <w:rPr>
          <w:sz w:val="20"/>
          <w:szCs w:val="20"/>
          <w:color w:val="auto"/>
        </w:rPr>
      </w:pPr>
    </w:p>
    <w:p>
      <w:pPr>
        <w:ind w:left="120" w:right="239"/>
        <w:spacing w:after="0" w:line="266" w:lineRule="auto"/>
        <w:rPr>
          <w:sz w:val="20"/>
          <w:szCs w:val="20"/>
          <w:color w:val="auto"/>
        </w:rPr>
      </w:pPr>
      <w:r>
        <w:rPr>
          <w:rFonts w:ascii="Arial" w:cs="Arial" w:eastAsia="Arial" w:hAnsi="Arial"/>
          <w:sz w:val="14"/>
          <w:szCs w:val="14"/>
          <w:color w:val="auto"/>
        </w:rPr>
        <w:t xml:space="preserve">Robert Alpert, Chairman and Co-CEO, and Co-CEO Clark Webb said, “P10 delivered double-digit growth and strong fourth quarter and full year 2022 profitability. Driven by an expanding and diverse set of strategies with long track records of investing through a variety of market cycles, we strengthened our position as </w:t>
      </w:r>
      <w:r>
        <w:rPr>
          <w:rFonts w:ascii="Arial" w:cs="Arial" w:eastAsia="Arial" w:hAnsi="Arial"/>
          <w:sz w:val="14"/>
          <w:szCs w:val="14"/>
          <w:i w:val="1"/>
          <w:iCs w:val="1"/>
          <w:color w:val="auto"/>
        </w:rPr>
        <w:t>the</w:t>
      </w:r>
      <w:r>
        <w:rPr>
          <w:rFonts w:ascii="Arial" w:cs="Arial" w:eastAsia="Arial" w:hAnsi="Arial"/>
          <w:sz w:val="14"/>
          <w:szCs w:val="14"/>
          <w:color w:val="auto"/>
        </w:rPr>
        <w:t xml:space="preserve"> premier specialized private markets solutions provider in the middle and lower middle market. We are well positioned for continued growth.”</w:t>
      </w:r>
    </w:p>
    <w:p>
      <w:pPr>
        <w:sectPr>
          <w:pgSz w:w="11900" w:h="16838" w:orient="portrait"/>
          <w:cols w:equalWidth="0" w:num="1">
            <w:col w:w="9019"/>
          </w:cols>
          <w:pgMar w:left="1440" w:top="125" w:right="1440" w:bottom="1440" w:gutter="0" w:footer="0" w:header="0"/>
        </w:sectPr>
      </w:pPr>
    </w:p>
    <w:bookmarkStart w:id="4" w:name="page5"/>
    <w:bookmarkEnd w:id="4"/>
    <w:p>
      <w:pPr>
        <w:ind w:left="120" w:right="419"/>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601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601345"/>
                    </a:xfrm>
                    <a:prstGeom prst="rect">
                      <a:avLst/>
                    </a:prstGeom>
                    <a:noFill/>
                  </pic:spPr>
                </pic:pic>
              </a:graphicData>
            </a:graphic>
          </wp:anchor>
        </w:drawing>
        <w:t xml:space="preserve">The company will also host a conference call at 5:00 p.m. Eastern Time on Monday, March 6, 2023. The call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 All participants joining by telephone should dial one of the following numbers, followed by the Participant Access Code provided:</w:t>
      </w:r>
    </w:p>
    <w:p>
      <w:pPr>
        <w:spacing w:after="0" w:line="153"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860" w:type="dxa"/>
            <w:vAlign w:val="bottom"/>
          </w:tcPr>
          <w:p>
            <w:pPr>
              <w:spacing w:after="0"/>
              <w:rPr>
                <w:sz w:val="20"/>
                <w:szCs w:val="20"/>
                <w:color w:val="auto"/>
              </w:rPr>
            </w:pPr>
            <w:r>
              <w:rPr>
                <w:rFonts w:ascii="Arial" w:cs="Arial" w:eastAsia="Arial" w:hAnsi="Arial"/>
                <w:sz w:val="14"/>
                <w:szCs w:val="14"/>
                <w:color w:val="auto"/>
              </w:rPr>
              <w:t>U.S. (toll free):</w:t>
            </w:r>
          </w:p>
        </w:tc>
        <w:tc>
          <w:tcPr>
            <w:tcW w:w="1420" w:type="dxa"/>
            <w:vAlign w:val="bottom"/>
          </w:tcPr>
          <w:p>
            <w:pPr>
              <w:ind w:left="420"/>
              <w:spacing w:after="0"/>
              <w:rPr>
                <w:sz w:val="20"/>
                <w:szCs w:val="20"/>
                <w:color w:val="auto"/>
              </w:rPr>
            </w:pPr>
            <w:r>
              <w:rPr>
                <w:rFonts w:ascii="Arial" w:cs="Arial" w:eastAsia="Arial" w:hAnsi="Arial"/>
                <w:sz w:val="14"/>
                <w:szCs w:val="14"/>
                <w:color w:val="auto"/>
                <w:w w:val="98"/>
              </w:rPr>
              <w:t>1-844-200-6205</w:t>
            </w:r>
          </w:p>
        </w:tc>
      </w:tr>
      <w:tr>
        <w:trPr>
          <w:trHeight w:val="172"/>
        </w:trPr>
        <w:tc>
          <w:tcPr>
            <w:tcW w:w="1860" w:type="dxa"/>
            <w:vAlign w:val="bottom"/>
          </w:tcPr>
          <w:p>
            <w:pPr>
              <w:spacing w:after="0"/>
              <w:rPr>
                <w:sz w:val="20"/>
                <w:szCs w:val="20"/>
                <w:color w:val="auto"/>
              </w:rPr>
            </w:pPr>
            <w:r>
              <w:rPr>
                <w:rFonts w:ascii="Arial" w:cs="Arial" w:eastAsia="Arial" w:hAnsi="Arial"/>
                <w:sz w:val="14"/>
                <w:szCs w:val="14"/>
                <w:color w:val="auto"/>
              </w:rPr>
              <w:t>US (local):</w:t>
            </w:r>
          </w:p>
        </w:tc>
        <w:tc>
          <w:tcPr>
            <w:tcW w:w="1420" w:type="dxa"/>
            <w:vAlign w:val="bottom"/>
          </w:tcPr>
          <w:p>
            <w:pPr>
              <w:ind w:left="420"/>
              <w:spacing w:after="0"/>
              <w:rPr>
                <w:sz w:val="20"/>
                <w:szCs w:val="20"/>
                <w:color w:val="auto"/>
              </w:rPr>
            </w:pPr>
            <w:r>
              <w:rPr>
                <w:rFonts w:ascii="Arial" w:cs="Arial" w:eastAsia="Arial" w:hAnsi="Arial"/>
                <w:sz w:val="14"/>
                <w:szCs w:val="14"/>
                <w:color w:val="auto"/>
                <w:w w:val="98"/>
              </w:rPr>
              <w:t>1-646-904-5544</w:t>
            </w:r>
          </w:p>
        </w:tc>
      </w:tr>
      <w:tr>
        <w:trPr>
          <w:trHeight w:val="182"/>
        </w:trPr>
        <w:tc>
          <w:tcPr>
            <w:tcW w:w="1860" w:type="dxa"/>
            <w:vAlign w:val="bottom"/>
          </w:tcPr>
          <w:p>
            <w:pPr>
              <w:spacing w:after="0"/>
              <w:rPr>
                <w:sz w:val="20"/>
                <w:szCs w:val="20"/>
                <w:color w:val="auto"/>
              </w:rPr>
            </w:pPr>
            <w:r>
              <w:rPr>
                <w:rFonts w:ascii="Arial" w:cs="Arial" w:eastAsia="Arial" w:hAnsi="Arial"/>
                <w:sz w:val="14"/>
                <w:szCs w:val="14"/>
                <w:color w:val="auto"/>
              </w:rPr>
              <w:t>All other locations:</w:t>
            </w:r>
          </w:p>
        </w:tc>
        <w:tc>
          <w:tcPr>
            <w:tcW w:w="1420" w:type="dxa"/>
            <w:vAlign w:val="bottom"/>
          </w:tcPr>
          <w:p>
            <w:pPr>
              <w:ind w:left="420"/>
              <w:spacing w:after="0"/>
              <w:rPr>
                <w:sz w:val="20"/>
                <w:szCs w:val="20"/>
                <w:color w:val="auto"/>
              </w:rPr>
            </w:pPr>
            <w:r>
              <w:rPr>
                <w:rFonts w:ascii="Arial" w:cs="Arial" w:eastAsia="Arial" w:hAnsi="Arial"/>
                <w:sz w:val="14"/>
                <w:szCs w:val="14"/>
                <w:color w:val="auto"/>
                <w:w w:val="90"/>
              </w:rPr>
              <w:t>+1-929-526-1599</w:t>
            </w:r>
          </w:p>
        </w:tc>
      </w:tr>
      <w:tr>
        <w:trPr>
          <w:trHeight w:val="344"/>
        </w:trPr>
        <w:tc>
          <w:tcPr>
            <w:tcW w:w="1860" w:type="dxa"/>
            <w:vAlign w:val="bottom"/>
          </w:tcPr>
          <w:p>
            <w:pPr>
              <w:spacing w:after="0"/>
              <w:rPr>
                <w:sz w:val="20"/>
                <w:szCs w:val="20"/>
                <w:color w:val="auto"/>
              </w:rPr>
            </w:pPr>
            <w:r>
              <w:rPr>
                <w:rFonts w:ascii="Arial" w:cs="Arial" w:eastAsia="Arial" w:hAnsi="Arial"/>
                <w:sz w:val="14"/>
                <w:szCs w:val="14"/>
                <w:color w:val="auto"/>
              </w:rPr>
              <w:t>Participant Access Code:</w:t>
            </w:r>
          </w:p>
        </w:tc>
        <w:tc>
          <w:tcPr>
            <w:tcW w:w="1420" w:type="dxa"/>
            <w:vAlign w:val="bottom"/>
          </w:tcPr>
          <w:p>
            <w:pPr>
              <w:ind w:left="420"/>
              <w:spacing w:after="0"/>
              <w:rPr>
                <w:sz w:val="20"/>
                <w:szCs w:val="20"/>
                <w:color w:val="auto"/>
              </w:rPr>
            </w:pPr>
            <w:r>
              <w:rPr>
                <w:rFonts w:ascii="Arial" w:cs="Arial" w:eastAsia="Arial" w:hAnsi="Arial"/>
                <w:sz w:val="14"/>
                <w:szCs w:val="14"/>
                <w:color w:val="auto"/>
              </w:rPr>
              <w:t>388409</w:t>
            </w: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For those unable to participate in the live call, a replay will be made available on P10’s investor relations page at </w:t>
      </w:r>
      <w:r>
        <w:rPr>
          <w:rFonts w:ascii="Arial" w:cs="Arial" w:eastAsia="Arial" w:hAnsi="Arial"/>
          <w:sz w:val="14"/>
          <w:szCs w:val="14"/>
          <w:u w:val="single" w:color="auto"/>
          <w:color w:val="auto"/>
        </w:rPr>
        <w:t>www.p10alts.com</w:t>
      </w:r>
      <w:r>
        <w:rPr>
          <w:rFonts w:ascii="Arial" w:cs="Arial" w:eastAsia="Arial" w:hAnsi="Arial"/>
          <w:sz w:val="14"/>
          <w:szCs w:val="14"/>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About P10</w:t>
      </w:r>
    </w:p>
    <w:p>
      <w:pPr>
        <w:spacing w:after="0" w:line="101" w:lineRule="exact"/>
        <w:rPr>
          <w:sz w:val="20"/>
          <w:szCs w:val="20"/>
          <w:color w:val="auto"/>
        </w:rPr>
      </w:pPr>
    </w:p>
    <w:p>
      <w:pPr>
        <w:ind w:left="120" w:right="179"/>
        <w:spacing w:after="0" w:line="293" w:lineRule="auto"/>
        <w:rPr>
          <w:sz w:val="20"/>
          <w:szCs w:val="20"/>
          <w:color w:val="auto"/>
        </w:rPr>
      </w:pPr>
      <w:r>
        <w:rPr>
          <w:rFonts w:ascii="Arial" w:cs="Arial" w:eastAsia="Arial" w:hAnsi="Arial"/>
          <w:sz w:val="13"/>
          <w:szCs w:val="13"/>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December 31, 2022, P10 has a global investor base of over 3,100 investors across 50 states, 59 countries, and six continents, which includes some of the world’s largest pension funds, endowments, foundations, corporate pensions, and financial institutions. Visit </w:t>
      </w:r>
      <w:r>
        <w:rPr>
          <w:rFonts w:ascii="Arial" w:cs="Arial" w:eastAsia="Arial" w:hAnsi="Arial"/>
          <w:sz w:val="13"/>
          <w:szCs w:val="13"/>
          <w:u w:val="single" w:color="auto"/>
          <w:color w:val="auto"/>
        </w:rPr>
        <w:t>www.p10alts.com</w:t>
      </w:r>
      <w:r>
        <w:rPr>
          <w:rFonts w:ascii="Arial" w:cs="Arial" w:eastAsia="Arial" w:hAnsi="Arial"/>
          <w:sz w:val="13"/>
          <w:szCs w:val="13"/>
          <w:color w:val="auto"/>
        </w:rPr>
        <w: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Forward-Looking Statements</w:t>
      </w:r>
    </w:p>
    <w:p>
      <w:pPr>
        <w:spacing w:after="0" w:line="101" w:lineRule="exact"/>
        <w:rPr>
          <w:sz w:val="20"/>
          <w:szCs w:val="20"/>
          <w:color w:val="auto"/>
        </w:rPr>
      </w:pPr>
    </w:p>
    <w:p>
      <w:pPr>
        <w:ind w:left="120" w:right="139"/>
        <w:spacing w:after="0" w:line="259" w:lineRule="auto"/>
        <w:rPr>
          <w:sz w:val="20"/>
          <w:szCs w:val="20"/>
          <w:color w:val="auto"/>
        </w:rPr>
      </w:pPr>
      <w:r>
        <w:rPr>
          <w:rFonts w:ascii="Arial" w:cs="Arial" w:eastAsia="Arial" w:hAnsi="Arial"/>
          <w:sz w:val="14"/>
          <w:szCs w:val="14"/>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w:t>
      </w:r>
    </w:p>
    <w:p>
      <w:pPr>
        <w:sectPr>
          <w:pgSz w:w="11900" w:h="16838" w:orient="portrait"/>
          <w:cols w:equalWidth="0" w:num="1">
            <w:col w:w="9019"/>
          </w:cols>
          <w:pgMar w:left="1440" w:top="1194" w:right="1440" w:bottom="1440" w:gutter="0" w:footer="0" w:header="0"/>
        </w:sectPr>
      </w:pPr>
    </w:p>
    <w:bookmarkStart w:id="5" w:name="page6"/>
    <w:bookmarkEnd w:id="5"/>
    <w:p>
      <w:pPr>
        <w:ind w:left="120" w:right="179"/>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601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601345"/>
                    </a:xfrm>
                    <a:prstGeom prst="rect">
                      <a:avLst/>
                    </a:prstGeom>
                    <a:noFill/>
                  </pic:spPr>
                </pic:pic>
              </a:graphicData>
            </a:graphic>
          </wp:anchor>
        </w:drawing>
        <w:t>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Use of Non-GAAP Financial Measures by P10, Inc.</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non-GAAP financial measures contained in this press release (including, without limitation, Adjusted EBITDA, Adjusted Net Income,</w:t>
      </w:r>
    </w:p>
    <w:p>
      <w:pPr>
        <w:spacing w:after="0" w:line="21" w:lineRule="exact"/>
        <w:rPr>
          <w:sz w:val="20"/>
          <w:szCs w:val="20"/>
          <w:color w:val="auto"/>
        </w:rPr>
      </w:pPr>
    </w:p>
    <w:p>
      <w:pPr>
        <w:ind w:left="120" w:right="139"/>
        <w:spacing w:after="0" w:line="280" w:lineRule="auto"/>
        <w:rPr>
          <w:sz w:val="20"/>
          <w:szCs w:val="20"/>
          <w:color w:val="auto"/>
        </w:rPr>
      </w:pPr>
      <w:r>
        <w:rPr>
          <w:rFonts w:ascii="Arial" w:cs="Arial" w:eastAsia="Arial" w:hAnsi="Arial"/>
          <w:sz w:val="13"/>
          <w:szCs w:val="13"/>
          <w:color w:val="auto"/>
        </w:rPr>
        <w:t>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fourth quarter and year end 2022 results.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Ownership Limitations</w:t>
      </w:r>
    </w:p>
    <w:p>
      <w:pPr>
        <w:spacing w:after="0" w:line="101" w:lineRule="exact"/>
        <w:rPr>
          <w:sz w:val="20"/>
          <w:szCs w:val="20"/>
          <w:color w:val="auto"/>
        </w:rPr>
      </w:pPr>
    </w:p>
    <w:p>
      <w:pPr>
        <w:ind w:left="120" w:right="379"/>
        <w:spacing w:after="0" w:line="272" w:lineRule="auto"/>
        <w:rPr>
          <w:sz w:val="20"/>
          <w:szCs w:val="20"/>
          <w:color w:val="auto"/>
        </w:rPr>
      </w:pPr>
      <w:r>
        <w:rPr>
          <w:rFonts w:ascii="Arial" w:cs="Arial" w:eastAsia="Arial" w:hAnsi="Arial"/>
          <w:sz w:val="14"/>
          <w:szCs w:val="14"/>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P10 Press and Investor Contact: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info@p10alts.com</w:t>
      </w:r>
    </w:p>
    <w:p>
      <w:pPr>
        <w:sectPr>
          <w:pgSz w:w="11900" w:h="16838" w:orient="portrait"/>
          <w:cols w:equalWidth="0" w:num="1">
            <w:col w:w="9019"/>
          </w:cols>
          <w:pgMar w:left="1440" w:top="1194"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2023-03-06T15:56:19Z</dcterms:created>
  <dcterms:modified xsi:type="dcterms:W3CDTF">2023-03-06T15:56:19Z</dcterms:modified>
</cp:coreProperties>
</file>