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9" w:lineRule="exact"/>
        <w:rPr>
          <w:rFonts w:ascii="MS PGothic" w:cs="MS PGothic" w:eastAsia="MS PGothic" w:hAnsi="MS PGothic"/>
          <w:sz w:val="18"/>
          <w:szCs w:val="18"/>
          <w:color w:val="auto"/>
          <w:highlight w:val="black"/>
        </w:rPr>
      </w:pPr>
    </w:p>
    <w:p>
      <w:pPr>
        <w:ind w:left="38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March 31, 2025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9" w:lineRule="exact"/>
        <w:rPr>
          <w:rFonts w:ascii="MS PGothic" w:cs="MS PGothic" w:eastAsia="MS PGothic" w:hAnsi="MS PGothic"/>
          <w:sz w:val="18"/>
          <w:szCs w:val="18"/>
          <w:color w:val="auto"/>
          <w:highlight w:val="black"/>
        </w:rPr>
      </w:pPr>
    </w:p>
    <w:p>
      <w:pPr>
        <w:ind w:left="25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transition period from ____________________ to 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jc w:val="center"/>
              <w:ind w:left="3395"/>
              <w:spacing w:after="0"/>
              <w:rPr>
                <w:sz w:val="20"/>
                <w:szCs w:val="20"/>
                <w:color w:val="auto"/>
              </w:rPr>
            </w:pPr>
            <w:r>
              <w:rPr>
                <w:rFonts w:ascii="Times New Roman" w:cs="Times New Roman" w:eastAsia="Times New Roman" w:hAnsi="Times New Roman"/>
                <w:sz w:val="18"/>
                <w:szCs w:val="18"/>
                <w:b w:val="1"/>
                <w:bCs w:val="1"/>
                <w:color w:val="auto"/>
              </w:rPr>
              <w:t>Commission File Number: 001-40937</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778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7"/>
        </w:trPr>
        <w:tc>
          <w:tcPr>
            <w:tcW w:w="7780" w:type="dxa"/>
            <w:vAlign w:val="bottom"/>
          </w:tcPr>
          <w:p>
            <w:pPr>
              <w:jc w:val="center"/>
              <w:ind w:left="3375"/>
              <w:spacing w:after="0" w:line="387" w:lineRule="exact"/>
              <w:rPr>
                <w:sz w:val="20"/>
                <w:szCs w:val="20"/>
                <w:color w:val="auto"/>
              </w:rPr>
            </w:pPr>
            <w:r>
              <w:rPr>
                <w:rFonts w:ascii="Times New Roman" w:cs="Times New Roman" w:eastAsia="Times New Roman" w:hAnsi="Times New Roman"/>
                <w:sz w:val="36"/>
                <w:szCs w:val="36"/>
                <w:b w:val="1"/>
                <w:bCs w:val="1"/>
                <w:color w:val="auto"/>
              </w:rPr>
              <w:t>P10, Inc.</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780" w:type="dxa"/>
            <w:vAlign w:val="bottom"/>
          </w:tcPr>
          <w:p>
            <w:pPr>
              <w:jc w:val="center"/>
              <w:ind w:left="337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778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7780" w:type="dxa"/>
            <w:vAlign w:val="bottom"/>
          </w:tcPr>
          <w:p>
            <w:pPr>
              <w:jc w:val="center"/>
              <w:ind w:right="207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60" w:type="dxa"/>
            <w:vAlign w:val="bottom"/>
          </w:tcPr>
          <w:p>
            <w:pPr>
              <w:jc w:val="right"/>
              <w:ind w:right="2388"/>
              <w:spacing w:after="0"/>
              <w:rPr>
                <w:sz w:val="20"/>
                <w:szCs w:val="20"/>
                <w:color w:val="auto"/>
              </w:rPr>
            </w:pPr>
            <w:r>
              <w:rPr>
                <w:rFonts w:ascii="Times New Roman" w:cs="Times New Roman" w:eastAsia="Times New Roman" w:hAnsi="Times New Roman"/>
                <w:sz w:val="14"/>
                <w:szCs w:val="14"/>
                <w:b w:val="1"/>
                <w:bCs w:val="1"/>
                <w:color w:val="auto"/>
              </w:rPr>
              <w:t>87-2908160</w:t>
            </w:r>
          </w:p>
        </w:tc>
        <w:tc>
          <w:tcPr>
            <w:tcW w:w="0" w:type="dxa"/>
            <w:vAlign w:val="bottom"/>
          </w:tcPr>
          <w:p>
            <w:pPr>
              <w:spacing w:after="0"/>
              <w:rPr>
                <w:sz w:val="1"/>
                <w:szCs w:val="1"/>
                <w:color w:val="auto"/>
              </w:rPr>
            </w:pPr>
          </w:p>
        </w:tc>
      </w:tr>
      <w:tr>
        <w:trPr>
          <w:trHeight w:val="149"/>
        </w:trPr>
        <w:tc>
          <w:tcPr>
            <w:tcW w:w="7780" w:type="dxa"/>
            <w:vAlign w:val="bottom"/>
          </w:tcPr>
          <w:p>
            <w:pPr>
              <w:jc w:val="center"/>
              <w:ind w:right="207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right="210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48"/>
        </w:trPr>
        <w:tc>
          <w:tcPr>
            <w:tcW w:w="7780" w:type="dxa"/>
            <w:vAlign w:val="bottom"/>
          </w:tcPr>
          <w:p>
            <w:pPr>
              <w:jc w:val="center"/>
              <w:ind w:right="2075"/>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60" w:type="dxa"/>
            <w:vAlign w:val="bottom"/>
          </w:tcPr>
          <w:p>
            <w:pPr>
              <w:jc w:val="center"/>
              <w:ind w:right="2108"/>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48"/>
        </w:trPr>
        <w:tc>
          <w:tcPr>
            <w:tcW w:w="7780" w:type="dxa"/>
            <w:vAlign w:val="bottom"/>
          </w:tcPr>
          <w:p>
            <w:pPr>
              <w:jc w:val="center"/>
              <w:ind w:right="2075"/>
              <w:spacing w:after="0" w:line="149" w:lineRule="exact"/>
              <w:rPr>
                <w:sz w:val="20"/>
                <w:szCs w:val="20"/>
                <w:color w:val="auto"/>
              </w:rPr>
            </w:pPr>
            <w:r>
              <w:rPr>
                <w:rFonts w:ascii="Times New Roman" w:cs="Times New Roman" w:eastAsia="Times New Roman" w:hAnsi="Times New Roman"/>
                <w:sz w:val="14"/>
                <w:szCs w:val="14"/>
                <w:b w:val="1"/>
                <w:bCs w:val="1"/>
                <w:color w:val="auto"/>
              </w:rPr>
              <w:t>4514 Cole Ave, Suite 500</w:t>
            </w:r>
          </w:p>
        </w:tc>
        <w:tc>
          <w:tcPr>
            <w:tcW w:w="3460" w:type="dxa"/>
            <w:vAlign w:val="bottom"/>
            <w:vMerge w:val="restart"/>
          </w:tcPr>
          <w:p>
            <w:pPr>
              <w:jc w:val="right"/>
              <w:ind w:right="2568"/>
              <w:spacing w:after="0"/>
              <w:rPr>
                <w:sz w:val="20"/>
                <w:szCs w:val="20"/>
                <w:color w:val="auto"/>
              </w:rPr>
            </w:pPr>
            <w:r>
              <w:rPr>
                <w:rFonts w:ascii="Times New Roman" w:cs="Times New Roman" w:eastAsia="Times New Roman" w:hAnsi="Times New Roman"/>
                <w:sz w:val="14"/>
                <w:szCs w:val="14"/>
                <w:b w:val="1"/>
                <w:bCs w:val="1"/>
                <w:color w:val="auto"/>
              </w:rPr>
              <w:t>75205</w:t>
            </w:r>
          </w:p>
        </w:tc>
        <w:tc>
          <w:tcPr>
            <w:tcW w:w="0" w:type="dxa"/>
            <w:vAlign w:val="bottom"/>
          </w:tcPr>
          <w:p>
            <w:pPr>
              <w:spacing w:after="0"/>
              <w:rPr>
                <w:sz w:val="1"/>
                <w:szCs w:val="1"/>
                <w:color w:val="auto"/>
              </w:rPr>
            </w:pPr>
          </w:p>
        </w:tc>
      </w:tr>
      <w:tr>
        <w:trPr>
          <w:trHeight w:val="148"/>
        </w:trPr>
        <w:tc>
          <w:tcPr>
            <w:tcW w:w="7780" w:type="dxa"/>
            <w:vAlign w:val="bottom"/>
          </w:tcPr>
          <w:p>
            <w:pPr>
              <w:jc w:val="center"/>
              <w:ind w:right="2075"/>
              <w:spacing w:after="0" w:line="149" w:lineRule="exact"/>
              <w:rPr>
                <w:sz w:val="20"/>
                <w:szCs w:val="20"/>
                <w:color w:val="auto"/>
              </w:rPr>
            </w:pPr>
            <w:r>
              <w:rPr>
                <w:rFonts w:ascii="Times New Roman" w:cs="Times New Roman" w:eastAsia="Times New Roman" w:hAnsi="Times New Roman"/>
                <w:sz w:val="14"/>
                <w:szCs w:val="14"/>
                <w:b w:val="1"/>
                <w:bCs w:val="1"/>
                <w:color w:val="auto"/>
              </w:rPr>
              <w:t>Dallas, TX</w:t>
            </w:r>
          </w:p>
        </w:tc>
        <w:tc>
          <w:tcPr>
            <w:tcW w:w="3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jc w:val="center"/>
              <w:ind w:right="2075"/>
              <w:spacing w:after="0" w:line="149"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60" w:type="dxa"/>
            <w:vAlign w:val="bottom"/>
          </w:tcPr>
          <w:p>
            <w:pPr>
              <w:jc w:val="center"/>
              <w:ind w:right="2088"/>
              <w:spacing w:after="0" w:line="149" w:lineRule="exact"/>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90"/>
        </w:trPr>
        <w:tc>
          <w:tcPr>
            <w:tcW w:w="7780" w:type="dxa"/>
            <w:vAlign w:val="bottom"/>
          </w:tcPr>
          <w:p>
            <w:pPr>
              <w:jc w:val="center"/>
              <w:ind w:left="337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865-7998</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jc w:val="right"/>
              <w:ind w:right="1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20" w:type="dxa"/>
            <w:vAlign w:val="bottom"/>
          </w:tcPr>
          <w:p>
            <w:pPr>
              <w:spacing w:after="0"/>
              <w:rPr>
                <w:sz w:val="13"/>
                <w:szCs w:val="1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3"/>
        </w:trPr>
        <w:tc>
          <w:tcPr>
            <w:tcW w:w="4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5"/>
                <w:szCs w:val="15"/>
                <w:color w:val="auto"/>
              </w:rPr>
            </w:pPr>
          </w:p>
        </w:tc>
        <w:tc>
          <w:tcPr>
            <w:tcW w:w="4820" w:type="dxa"/>
            <w:vAlign w:val="bottom"/>
            <w:tcBorders>
              <w:bottom w:val="single" w:sz="8" w:color="auto"/>
            </w:tcBorders>
          </w:tcPr>
          <w:p>
            <w:pPr>
              <w:spacing w:after="0"/>
              <w:rPr>
                <w:sz w:val="15"/>
                <w:szCs w:val="15"/>
                <w:color w:val="auto"/>
              </w:rPr>
            </w:pPr>
          </w:p>
        </w:tc>
      </w:tr>
      <w:tr>
        <w:trPr>
          <w:trHeight w:val="182"/>
        </w:trPr>
        <w:tc>
          <w:tcPr>
            <w:tcW w:w="4960" w:type="dxa"/>
            <w:vAlign w:val="bottom"/>
          </w:tcPr>
          <w:p>
            <w:pPr>
              <w:jc w:val="right"/>
              <w:ind w:right="1868"/>
              <w:spacing w:after="0"/>
              <w:rPr>
                <w:sz w:val="20"/>
                <w:szCs w:val="20"/>
                <w:color w:val="auto"/>
              </w:rPr>
            </w:pPr>
            <w:r>
              <w:rPr>
                <w:rFonts w:ascii="Times New Roman" w:cs="Times New Roman" w:eastAsia="Times New Roman" w:hAnsi="Times New Roman"/>
                <w:sz w:val="14"/>
                <w:szCs w:val="14"/>
                <w:color w:val="auto"/>
              </w:rPr>
              <w:t>Class A Common Stock, $0.001 par value per share</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PX</w:t>
            </w:r>
          </w:p>
        </w:tc>
        <w:tc>
          <w:tcPr>
            <w:tcW w:w="220" w:type="dxa"/>
            <w:vAlign w:val="bottom"/>
          </w:tcPr>
          <w:p>
            <w:pPr>
              <w:spacing w:after="0"/>
              <w:rPr>
                <w:sz w:val="15"/>
                <w:szCs w:val="15"/>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NYSE</w:t>
            </w:r>
          </w:p>
        </w:tc>
      </w:tr>
    </w:tbl>
    <w:p>
      <w:pPr>
        <w:spacing w:after="0" w:line="86" w:lineRule="exact"/>
        <w:rPr>
          <w:sz w:val="24"/>
          <w:szCs w:val="24"/>
          <w:color w:val="auto"/>
        </w:rPr>
      </w:pPr>
    </w:p>
    <w:p>
      <w:pPr>
        <w:ind w:right="2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tbl>
      <w:tblPr>
        <w:tblLayout w:type="fixed"/>
        <w:tblInd w:w="0" w:type="dxa"/>
        <w:tblCellMar>
          <w:top w:w="0" w:type="dxa"/>
          <w:left w:w="0" w:type="dxa"/>
          <w:bottom w:w="0" w:type="dxa"/>
          <w:right w:w="0" w:type="dxa"/>
        </w:tblCellMar>
      </w:tblPr>
      <w:tr>
        <w:trPr>
          <w:trHeight w:val="152"/>
        </w:trPr>
        <w:tc>
          <w:tcPr>
            <w:tcW w:w="65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p>
        </w:tc>
        <w:tc>
          <w:tcPr>
            <w:tcW w:w="4340" w:type="dxa"/>
            <w:vAlign w:val="bottom"/>
          </w:tcPr>
          <w:p>
            <w:pPr>
              <w:ind w:left="80"/>
              <w:spacing w:after="0" w:line="152"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260" w:type="dxa"/>
            <w:vAlign w:val="bottom"/>
          </w:tcPr>
          <w:p>
            <w:pPr>
              <w:spacing w:after="0"/>
              <w:rPr>
                <w:sz w:val="13"/>
                <w:szCs w:val="13"/>
                <w:color w:val="auto"/>
              </w:rPr>
            </w:pPr>
          </w:p>
        </w:tc>
      </w:tr>
      <w:tr>
        <w:trPr>
          <w:trHeight w:val="149"/>
        </w:trPr>
        <w:tc>
          <w:tcPr>
            <w:tcW w:w="10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w:t>
            </w:r>
          </w:p>
        </w:tc>
        <w:tc>
          <w:tcPr>
            <w:tcW w:w="260" w:type="dxa"/>
            <w:vAlign w:val="bottom"/>
          </w:tcPr>
          <w:p>
            <w:pPr>
              <w:spacing w:after="0"/>
              <w:rPr>
                <w:sz w:val="12"/>
                <w:szCs w:val="12"/>
                <w:color w:val="auto"/>
              </w:rPr>
            </w:pPr>
          </w:p>
        </w:tc>
      </w:tr>
      <w:tr>
        <w:trPr>
          <w:trHeight w:val="188"/>
        </w:trPr>
        <w:tc>
          <w:tcPr>
            <w:tcW w:w="10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260" w:type="dxa"/>
            <w:vAlign w:val="bottom"/>
          </w:tcPr>
          <w:p>
            <w:pPr>
              <w:spacing w:after="0"/>
              <w:rPr>
                <w:sz w:val="16"/>
                <w:szCs w:val="16"/>
                <w:color w:val="auto"/>
              </w:rPr>
            </w:pPr>
          </w:p>
        </w:tc>
      </w:tr>
      <w:tr>
        <w:trPr>
          <w:trHeight w:val="265"/>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6"/>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4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spacing w:after="0"/>
              <w:rPr>
                <w:sz w:val="22"/>
                <w:szCs w:val="22"/>
                <w:color w:val="auto"/>
              </w:rPr>
            </w:pPr>
          </w:p>
        </w:tc>
        <w:tc>
          <w:tcPr>
            <w:tcW w:w="260" w:type="dxa"/>
            <w:vAlign w:val="bottom"/>
          </w:tcPr>
          <w:p>
            <w:pPr>
              <w:spacing w:after="0"/>
              <w:rPr>
                <w:sz w:val="22"/>
                <w:szCs w:val="22"/>
                <w:color w:val="auto"/>
              </w:rPr>
            </w:pPr>
          </w:p>
        </w:tc>
      </w:tr>
    </w:tbl>
    <w:p>
      <w:pPr>
        <w:spacing w:after="0" w:line="33"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5, 2025, there were 77,530,125 shares of the registrant's Class A common stock and 34,594,351 shares of the Registrant's Class B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911225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96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560" w:type="dxa"/>
            <w:vAlign w:val="bottom"/>
            <w:gridSpan w:val="3"/>
            <w:vMerge w:val="restart"/>
          </w:tcPr>
          <w:p>
            <w:pPr>
              <w:spacing w:after="0"/>
              <w:rPr>
                <w:sz w:val="24"/>
                <w:szCs w:val="24"/>
                <w:color w:val="auto"/>
              </w:rPr>
            </w:pPr>
          </w:p>
        </w:tc>
        <w:tc>
          <w:tcPr>
            <w:tcW w:w="9280" w:type="dxa"/>
            <w:vAlign w:val="bottom"/>
            <w:gridSpan w:val="13"/>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FF"/>
            </w:tcBorders>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9280" w:type="dxa"/>
            <w:vAlign w:val="bottom"/>
            <w:gridSpan w:val="13"/>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EE"/>
            </w:tcBorders>
            <w:gridSpan w:val="6"/>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496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gridSpan w:val="4"/>
            <w:vMerge w:val="continue"/>
          </w:tcPr>
          <w:p>
            <w:pPr>
              <w:spacing w:after="0"/>
              <w:rPr>
                <w:sz w:val="24"/>
                <w:szCs w:val="24"/>
                <w:color w:val="auto"/>
              </w:rPr>
            </w:pPr>
          </w:p>
        </w:tc>
        <w:tc>
          <w:tcPr>
            <w:tcW w:w="92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500" w:type="dxa"/>
            <w:vAlign w:val="bottom"/>
            <w:gridSpan w:val="2"/>
          </w:tcPr>
          <w:p>
            <w:pPr>
              <w:spacing w:after="0"/>
              <w:rPr>
                <w:sz w:val="17"/>
                <w:szCs w:val="17"/>
                <w:color w:val="auto"/>
              </w:rPr>
            </w:pP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8"/>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8"/>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324"/>
        </w:trPr>
        <w:tc>
          <w:tcPr>
            <w:tcW w:w="6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5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142"/>
        </w:trPr>
        <w:tc>
          <w:tcPr>
            <w:tcW w:w="5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74,393</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67,455</w:t>
            </w:r>
          </w:p>
        </w:tc>
      </w:tr>
      <w:tr>
        <w:trPr>
          <w:trHeight w:val="216"/>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32,313</w:t>
            </w:r>
          </w:p>
        </w:tc>
      </w:tr>
      <w:tr>
        <w:trPr>
          <w:trHeight w:val="216"/>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receivable</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7,482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7,534</w:t>
            </w:r>
          </w:p>
        </w:tc>
      </w:tr>
      <w:tr>
        <w:trPr>
          <w:trHeight w:val="216"/>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86,977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81,909</w:t>
            </w:r>
          </w:p>
        </w:tc>
      </w:tr>
      <w:tr>
        <w:trPr>
          <w:trHeight w:val="216"/>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in unconsolidated subsidiaries</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2,660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2,781</w:t>
            </w:r>
          </w:p>
        </w:tc>
      </w:tr>
      <w:tr>
        <w:trPr>
          <w:trHeight w:val="216"/>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5,108</w:t>
            </w:r>
          </w:p>
        </w:tc>
      </w:tr>
      <w:tr>
        <w:trPr>
          <w:trHeight w:val="216"/>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7,664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6,760</w:t>
            </w:r>
          </w:p>
        </w:tc>
      </w:tr>
      <w:tr>
        <w:trPr>
          <w:trHeight w:val="216"/>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17,555</w:t>
            </w:r>
          </w:p>
        </w:tc>
      </w:tr>
      <w:tr>
        <w:trPr>
          <w:trHeight w:val="216"/>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Contingent payments to customers</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9,923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10,028</w:t>
            </w:r>
          </w:p>
        </w:tc>
      </w:tr>
      <w:tr>
        <w:trPr>
          <w:trHeight w:val="216"/>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 net</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33,545</w:t>
            </w:r>
          </w:p>
        </w:tc>
      </w:tr>
      <w:tr>
        <w:trPr>
          <w:trHeight w:val="216"/>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92,271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97,589</w:t>
            </w:r>
          </w:p>
        </w:tc>
      </w:tr>
      <w:tr>
        <w:trPr>
          <w:trHeight w:val="216"/>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506,038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506,038</w:t>
            </w:r>
          </w:p>
        </w:tc>
      </w:tr>
      <w:tr>
        <w:trPr>
          <w:trHeight w:val="250"/>
        </w:trPr>
        <w:tc>
          <w:tcPr>
            <w:tcW w:w="5500" w:type="dxa"/>
            <w:vAlign w:val="bottom"/>
            <w:tcBorders>
              <w:top w:val="single" w:sz="8" w:color="CFF0FC"/>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080" w:type="dxa"/>
            <w:vAlign w:val="bottom"/>
            <w:tcBorders>
              <w:top w:val="single" w:sz="8" w:color="CFF0FC"/>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877,351</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869,275</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196"/>
        </w:trPr>
        <w:tc>
          <w:tcPr>
            <w:tcW w:w="55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27,965</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30,208</w:t>
            </w:r>
          </w:p>
        </w:tc>
      </w:tr>
      <w:tr>
        <w:trPr>
          <w:trHeight w:val="216"/>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54,141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69,544</w:t>
            </w:r>
          </w:p>
        </w:tc>
      </w:tr>
      <w:tr>
        <w:trPr>
          <w:trHeight w:val="216"/>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to related parties</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3,374</w:t>
            </w:r>
          </w:p>
        </w:tc>
      </w:tr>
      <w:tr>
        <w:trPr>
          <w:trHeight w:val="216"/>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2,214</w:t>
            </w:r>
          </w:p>
        </w:tc>
      </w:tr>
      <w:tr>
        <w:trPr>
          <w:trHeight w:val="216"/>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contingent liabilities</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24,118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23,878</w:t>
            </w:r>
          </w:p>
        </w:tc>
      </w:tr>
      <w:tr>
        <w:trPr>
          <w:trHeight w:val="216"/>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12,609</w:t>
            </w:r>
          </w:p>
        </w:tc>
      </w:tr>
      <w:tr>
        <w:trPr>
          <w:trHeight w:val="216"/>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25,602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20,591</w:t>
            </w:r>
          </w:p>
        </w:tc>
      </w:tr>
      <w:tr>
        <w:trPr>
          <w:trHeight w:val="216"/>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obligations</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357,151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319,783</w:t>
            </w:r>
          </w:p>
        </w:tc>
      </w:tr>
      <w:tr>
        <w:trPr>
          <w:trHeight w:val="210"/>
        </w:trPr>
        <w:tc>
          <w:tcPr>
            <w:tcW w:w="5500" w:type="dxa"/>
            <w:vAlign w:val="bottom"/>
            <w:tcBorders>
              <w:top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0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503,096</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482,385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55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Class A common stock, $0.001 par value; 510,000,000 shares authorized;</w:t>
            </w:r>
          </w:p>
        </w:tc>
        <w:tc>
          <w:tcPr>
            <w:tcW w:w="2360" w:type="dxa"/>
            <w:vAlign w:val="bottom"/>
            <w:gridSpan w:val="2"/>
          </w:tcPr>
          <w:p>
            <w:pPr>
              <w:jc w:val="right"/>
              <w:ind w:right="630"/>
              <w:spacing w:after="0" w:line="198" w:lineRule="exact"/>
              <w:rPr>
                <w:sz w:val="20"/>
                <w:szCs w:val="20"/>
                <w:color w:val="auto"/>
              </w:rPr>
            </w:pPr>
            <w:r>
              <w:rPr>
                <w:rFonts w:ascii="Times New Roman" w:cs="Times New Roman" w:eastAsia="Times New Roman" w:hAnsi="Times New Roman"/>
                <w:sz w:val="18"/>
                <w:szCs w:val="18"/>
                <w:color w:val="auto"/>
              </w:rPr>
              <w:t>85,390,589 issued and</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75,816,282 outstanding as of March 31, 2025, and 75,974,076 issued and 67,614,875 outstanding as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December 31, 2024, respectively</w:t>
            </w:r>
          </w:p>
        </w:tc>
        <w:tc>
          <w:tcPr>
            <w:tcW w:w="2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198"/>
        </w:trPr>
        <w:tc>
          <w:tcPr>
            <w:tcW w:w="7860" w:type="dxa"/>
            <w:vAlign w:val="bottom"/>
            <w:gridSpan w:val="3"/>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Class B common stock, $0.001 par value; 180,000,000 shares authorized; 34,745,340 shares issued</w:t>
            </w: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8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34,621,889 shares outstanding as of March 31, 2025, and 43,584,893 shares issued and</w:t>
            </w: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43,461,442 shares outstanding as of December 31, 2024, respectively</w:t>
            </w:r>
          </w:p>
        </w:tc>
        <w:tc>
          <w:tcPr>
            <w:tcW w:w="20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(76,648)</w:t>
            </w:r>
          </w:p>
        </w:tc>
      </w:tr>
      <w:tr>
        <w:trPr>
          <w:trHeight w:val="216"/>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635,625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637,848</w:t>
            </w:r>
          </w:p>
        </w:tc>
      </w:tr>
      <w:tr>
        <w:trPr>
          <w:trHeight w:val="216"/>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(209,790)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(214,312)</w:t>
            </w:r>
          </w:p>
        </w:tc>
      </w:tr>
      <w:tr>
        <w:trPr>
          <w:trHeight w:val="216"/>
        </w:trPr>
        <w:tc>
          <w:tcPr>
            <w:tcW w:w="5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equity</w:t>
            </w:r>
          </w:p>
        </w:tc>
        <w:tc>
          <w:tcPr>
            <w:tcW w:w="2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386,890</w:t>
            </w:r>
          </w:p>
        </w:tc>
        <w:tc>
          <w:tcPr>
            <w:tcW w:w="100" w:type="dxa"/>
            <w:vAlign w:val="bottom"/>
          </w:tcPr>
          <w:p>
            <w:pPr>
              <w:spacing w:after="0"/>
              <w:rPr>
                <w:sz w:val="18"/>
                <w:szCs w:val="18"/>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877,351</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869,275</w:t>
            </w: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-3642360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-3625215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-3788410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-3642360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-2108200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-316230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per share amounts)</w:t>
      </w:r>
    </w:p>
    <w:p>
      <w:pPr>
        <w:spacing w:after="0" w:line="200"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r>
      <w:tr>
        <w:trPr>
          <w:trHeight w:val="223"/>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 and advisory fees</w:t>
            </w:r>
          </w:p>
        </w:tc>
        <w:tc>
          <w:tcPr>
            <w:tcW w:w="1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66,735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65,122</w:t>
            </w:r>
          </w:p>
        </w:tc>
      </w:tr>
      <w:tr>
        <w:trPr>
          <w:trHeight w:val="216"/>
        </w:trPr>
        <w:tc>
          <w:tcPr>
            <w:tcW w:w="70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4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67,667</w:t>
            </w: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66,115</w:t>
            </w:r>
          </w:p>
        </w:tc>
      </w:tr>
      <w:tr>
        <w:trPr>
          <w:trHeight w:val="21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37,080</w:t>
            </w: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37,109</w:t>
            </w:r>
          </w:p>
        </w:tc>
      </w:tr>
      <w:tr>
        <w:trPr>
          <w:trHeight w:val="216"/>
        </w:trPr>
        <w:tc>
          <w:tcPr>
            <w:tcW w:w="7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Professional fees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6,515</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3,768</w:t>
            </w:r>
          </w:p>
        </w:tc>
      </w:tr>
      <w:tr>
        <w:trPr>
          <w:trHeight w:val="216"/>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6,825</w:t>
            </w: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6,057</w:t>
            </w:r>
          </w:p>
        </w:tc>
      </w:tr>
      <w:tr>
        <w:trPr>
          <w:trHeight w:val="216"/>
        </w:trPr>
        <w:tc>
          <w:tcPr>
            <w:tcW w:w="7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Contingent consideration expense</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5,318</w:t>
            </w: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6,437</w:t>
            </w:r>
          </w:p>
        </w:tc>
      </w:tr>
      <w:tr>
        <w:trPr>
          <w:trHeight w:val="216"/>
        </w:trPr>
        <w:tc>
          <w:tcPr>
            <w:tcW w:w="70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Strategic alliance expense</w:t>
            </w:r>
          </w:p>
        </w:tc>
        <w:tc>
          <w:tcPr>
            <w:tcW w:w="14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4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56,441</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54,016</w:t>
            </w:r>
          </w:p>
        </w:tc>
        <w:tc>
          <w:tcPr>
            <w:tcW w:w="120" w:type="dxa"/>
            <w:vAlign w:val="bottom"/>
          </w:tcPr>
          <w:p>
            <w:pPr>
              <w:spacing w:after="0"/>
              <w:rPr>
                <w:sz w:val="18"/>
                <w:szCs w:val="18"/>
                <w:color w:val="auto"/>
              </w:rPr>
            </w:pPr>
          </w:p>
        </w:tc>
      </w:tr>
      <w:tr>
        <w:trPr>
          <w:trHeight w:val="21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11,226</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12,099</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(EXPENSE)/LOSS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(6,417)</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(5,776)</w:t>
            </w:r>
          </w:p>
        </w:tc>
      </w:tr>
      <w:tr>
        <w:trPr>
          <w:trHeight w:val="216"/>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8"/>
                <w:szCs w:val="18"/>
                <w:color w:val="auto"/>
              </w:rPr>
            </w:pPr>
          </w:p>
        </w:tc>
      </w:tr>
      <w:tr>
        <w:trPr>
          <w:trHeight w:val="210"/>
        </w:trPr>
        <w:tc>
          <w:tcPr>
            <w:tcW w:w="70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other (expense)</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(6,265)</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(5,098)</w:t>
            </w:r>
          </w:p>
        </w:tc>
      </w:tr>
      <w:tr>
        <w:trPr>
          <w:trHeight w:val="209"/>
        </w:trPr>
        <w:tc>
          <w:tcPr>
            <w:tcW w:w="708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4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4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20" w:type="dxa"/>
            <w:vAlign w:val="bottom"/>
            <w:tcBorders>
              <w:top w:val="single" w:sz="8" w:color="CFF0FC"/>
            </w:tcBorders>
          </w:tcPr>
          <w:p>
            <w:pPr>
              <w:spacing w:after="0"/>
              <w:rPr>
                <w:sz w:val="18"/>
                <w:szCs w:val="18"/>
                <w:color w:val="auto"/>
              </w:rPr>
            </w:pPr>
          </w:p>
        </w:tc>
      </w:tr>
      <w:tr>
        <w:trPr>
          <w:trHeight w:val="216"/>
        </w:trPr>
        <w:tc>
          <w:tcPr>
            <w:tcW w:w="7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(1,758)</w:t>
            </w:r>
          </w:p>
        </w:tc>
      </w:tr>
      <w:tr>
        <w:trPr>
          <w:trHeight w:val="210"/>
        </w:trPr>
        <w:tc>
          <w:tcPr>
            <w:tcW w:w="7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4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20" w:type="dxa"/>
            <w:vAlign w:val="bottom"/>
            <w:tcBorders>
              <w:top w:val="single" w:sz="8" w:color="CFF0FC"/>
            </w:tcBorders>
          </w:tcPr>
          <w:p>
            <w:pPr>
              <w:spacing w:after="0"/>
              <w:rPr>
                <w:sz w:val="18"/>
                <w:szCs w:val="18"/>
                <w:color w:val="auto"/>
              </w:rPr>
            </w:pPr>
          </w:p>
        </w:tc>
      </w:tr>
      <w:tr>
        <w:trPr>
          <w:trHeight w:val="210"/>
        </w:trPr>
        <w:tc>
          <w:tcPr>
            <w:tcW w:w="7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in P10 Intermediate</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r>
      <w:tr>
        <w:trPr>
          <w:trHeight w:val="210"/>
        </w:trPr>
        <w:tc>
          <w:tcPr>
            <w:tcW w:w="7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P10</w:t>
            </w:r>
          </w:p>
        </w:tc>
        <w:tc>
          <w:tcPr>
            <w:tcW w:w="14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4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20" w:type="dxa"/>
            <w:vAlign w:val="bottom"/>
            <w:tcBorders>
              <w:top w:val="single" w:sz="8" w:color="CFF0FC"/>
            </w:tcBorders>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7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r>
      <w:tr>
        <w:trPr>
          <w:trHeight w:val="22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110,907</w:t>
            </w:r>
          </w:p>
        </w:tc>
        <w:tc>
          <w:tcPr>
            <w:tcW w:w="2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115,129</w:t>
            </w:r>
          </w:p>
        </w:tc>
      </w:tr>
      <w:tr>
        <w:trPr>
          <w:trHeight w:val="230"/>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119,352</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122,841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-3676650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-3676650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-2571115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-2571115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-1722120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-1722120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-1439545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-1439545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-1010920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2"/>
                <w:szCs w:val="12"/>
                <w:color w:val="auto"/>
              </w:rPr>
            </w:pPr>
          </w:p>
        </w:tc>
        <w:tc>
          <w:tcPr>
            <w:tcW w:w="16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w w:val="96"/>
              </w:rPr>
              <w:t>Common Stock - Class A</w:t>
            </w:r>
          </w:p>
        </w:tc>
        <w:tc>
          <w:tcPr>
            <w:tcW w:w="460" w:type="dxa"/>
            <w:vAlign w:val="bottom"/>
          </w:tcPr>
          <w:p>
            <w:pPr>
              <w:spacing w:after="0"/>
              <w:rPr>
                <w:sz w:val="12"/>
                <w:szCs w:val="12"/>
                <w:color w:val="auto"/>
              </w:rPr>
            </w:pPr>
          </w:p>
        </w:tc>
        <w:tc>
          <w:tcPr>
            <w:tcW w:w="1980" w:type="dxa"/>
            <w:vAlign w:val="bottom"/>
            <w:gridSpan w:val="4"/>
            <w:vMerge w:val="restart"/>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Common Stock - Class B</w:t>
            </w:r>
          </w:p>
        </w:tc>
        <w:tc>
          <w:tcPr>
            <w:tcW w:w="40" w:type="dxa"/>
            <w:vAlign w:val="bottom"/>
          </w:tcPr>
          <w:p>
            <w:pPr>
              <w:spacing w:after="0"/>
              <w:rPr>
                <w:sz w:val="12"/>
                <w:szCs w:val="12"/>
                <w:color w:val="auto"/>
              </w:rPr>
            </w:pPr>
          </w:p>
        </w:tc>
        <w:tc>
          <w:tcPr>
            <w:tcW w:w="1780" w:type="dxa"/>
            <w:vAlign w:val="bottom"/>
            <w:gridSpan w:val="4"/>
            <w:vMerge w:val="restart"/>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160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220" w:type="dxa"/>
            <w:vAlign w:val="bottom"/>
          </w:tcPr>
          <w:p>
            <w:pPr>
              <w:spacing w:after="0"/>
              <w:rPr>
                <w:sz w:val="12"/>
                <w:szCs w:val="12"/>
                <w:color w:val="auto"/>
              </w:rPr>
            </w:pPr>
          </w:p>
        </w:tc>
        <w:tc>
          <w:tcPr>
            <w:tcW w:w="74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77"/>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40" w:type="dxa"/>
            <w:vAlign w:val="bottom"/>
            <w:tcBorders>
              <w:bottom w:val="single" w:sz="8" w:color="auto"/>
            </w:tcBorders>
            <w:gridSpan w:val="2"/>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9"/>
        </w:trPr>
        <w:tc>
          <w:tcPr>
            <w:tcW w:w="182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820" w:type="dxa"/>
            <w:vAlign w:val="bottom"/>
            <w:tcBorders>
              <w:right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020" w:type="dxa"/>
            <w:vAlign w:val="bottom"/>
            <w:tcBorders>
              <w:right w:val="single" w:sz="8" w:color="CFF0FC"/>
            </w:tcBorders>
            <w:shd w:val="clear" w:color="auto" w:fill="CFF0FC"/>
          </w:tcPr>
          <w:p>
            <w:pPr>
              <w:jc w:val="right"/>
              <w:ind w:right="137"/>
              <w:spacing w:after="0" w:line="129" w:lineRule="exact"/>
              <w:rPr>
                <w:sz w:val="20"/>
                <w:szCs w:val="20"/>
                <w:color w:val="auto"/>
              </w:rPr>
            </w:pPr>
            <w:r>
              <w:rPr>
                <w:rFonts w:ascii="Times New Roman" w:cs="Times New Roman" w:eastAsia="Times New Roman" w:hAnsi="Times New Roman"/>
                <w:sz w:val="13"/>
                <w:szCs w:val="13"/>
                <w:color w:val="auto"/>
              </w:rPr>
              <w:t>57,623</w:t>
            </w:r>
          </w:p>
        </w:tc>
        <w:tc>
          <w:tcPr>
            <w:tcW w:w="580" w:type="dxa"/>
            <w:vAlign w:val="bottom"/>
            <w:tcBorders>
              <w:left w:val="single" w:sz="8" w:color="CFF0FC"/>
            </w:tcBorders>
            <w:shd w:val="clear" w:color="auto" w:fill="CFF0FC"/>
          </w:tcPr>
          <w:p>
            <w:pPr>
              <w:jc w:val="right"/>
              <w:ind w:right="401"/>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right w:val="single" w:sz="8" w:color="CFF0FC"/>
            </w:tcBorders>
            <w:shd w:val="clear" w:color="auto" w:fill="CFF0FC"/>
          </w:tcPr>
          <w:p>
            <w:pPr>
              <w:jc w:val="right"/>
              <w:ind w:right="197"/>
              <w:spacing w:after="0" w:line="129" w:lineRule="exact"/>
              <w:rPr>
                <w:sz w:val="20"/>
                <w:szCs w:val="20"/>
                <w:color w:val="auto"/>
              </w:rPr>
            </w:pPr>
            <w:r>
              <w:rPr>
                <w:rFonts w:ascii="Times New Roman" w:cs="Times New Roman" w:eastAsia="Times New Roman" w:hAnsi="Times New Roman"/>
                <w:sz w:val="13"/>
                <w:szCs w:val="13"/>
                <w:color w:val="auto"/>
              </w:rPr>
              <w:t>58</w:t>
            </w:r>
          </w:p>
        </w:tc>
        <w:tc>
          <w:tcPr>
            <w:tcW w:w="1020" w:type="dxa"/>
            <w:vAlign w:val="bottom"/>
            <w:tcBorders>
              <w:right w:val="single" w:sz="8" w:color="CFF0FC"/>
            </w:tcBorders>
            <w:shd w:val="clear" w:color="auto" w:fill="CFF0FC"/>
          </w:tcPr>
          <w:p>
            <w:pPr>
              <w:jc w:val="right"/>
              <w:ind w:right="137"/>
              <w:spacing w:after="0" w:line="129" w:lineRule="exact"/>
              <w:rPr>
                <w:sz w:val="20"/>
                <w:szCs w:val="20"/>
                <w:color w:val="auto"/>
              </w:rPr>
            </w:pPr>
            <w:r>
              <w:rPr>
                <w:rFonts w:ascii="Times New Roman" w:cs="Times New Roman" w:eastAsia="Times New Roman" w:hAnsi="Times New Roman"/>
                <w:sz w:val="13"/>
                <w:szCs w:val="13"/>
                <w:color w:val="auto"/>
              </w:rPr>
              <w:t>58,474</w:t>
            </w:r>
          </w:p>
        </w:tc>
        <w:tc>
          <w:tcPr>
            <w:tcW w:w="14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FF0FC"/>
            </w:tcBorders>
            <w:shd w:val="clear" w:color="auto" w:fill="CFF0FC"/>
          </w:tcPr>
          <w:p>
            <w:pPr>
              <w:jc w:val="right"/>
              <w:ind w:right="177"/>
              <w:spacing w:after="0" w:line="129" w:lineRule="exact"/>
              <w:rPr>
                <w:sz w:val="20"/>
                <w:szCs w:val="20"/>
                <w:color w:val="auto"/>
              </w:rPr>
            </w:pPr>
            <w:r>
              <w:rPr>
                <w:rFonts w:ascii="Times New Roman" w:cs="Times New Roman" w:eastAsia="Times New Roman" w:hAnsi="Times New Roman"/>
                <w:sz w:val="13"/>
                <w:szCs w:val="13"/>
                <w:color w:val="auto"/>
              </w:rPr>
              <w:t>58</w:t>
            </w:r>
          </w:p>
        </w:tc>
        <w:tc>
          <w:tcPr>
            <w:tcW w:w="860" w:type="dxa"/>
            <w:vAlign w:val="bottom"/>
            <w:tcBorders>
              <w:right w:val="single" w:sz="8" w:color="CFF0FC"/>
            </w:tcBorders>
            <w:gridSpan w:val="2"/>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1,841</w:t>
            </w:r>
          </w:p>
        </w:tc>
        <w:tc>
          <w:tcPr>
            <w:tcW w:w="200" w:type="dxa"/>
            <w:vAlign w:val="bottom"/>
            <w:gridSpan w:val="2"/>
            <w:shd w:val="clear" w:color="auto" w:fill="CFF0FC"/>
          </w:tcPr>
          <w:p>
            <w:pPr>
              <w:jc w:val="right"/>
              <w:ind w:right="14"/>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(17,588)</w:t>
            </w:r>
          </w:p>
        </w:tc>
        <w:tc>
          <w:tcPr>
            <w:tcW w:w="1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636,073</w:t>
            </w:r>
          </w:p>
        </w:tc>
        <w:tc>
          <w:tcPr>
            <w:tcW w:w="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(233,012)</w:t>
            </w: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39,573</w:t>
            </w:r>
          </w:p>
        </w:tc>
        <w:tc>
          <w:tcPr>
            <w:tcW w:w="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425,162</w:t>
            </w:r>
          </w:p>
        </w:tc>
        <w:tc>
          <w:tcPr>
            <w:tcW w:w="0" w:type="dxa"/>
            <w:vAlign w:val="bottom"/>
          </w:tcPr>
          <w:p>
            <w:pPr>
              <w:spacing w:after="0"/>
              <w:rPr>
                <w:sz w:val="1"/>
                <w:szCs w:val="1"/>
                <w:color w:val="auto"/>
              </w:rPr>
            </w:pPr>
          </w:p>
        </w:tc>
      </w:tr>
      <w:tr>
        <w:trPr>
          <w:trHeight w:val="115"/>
        </w:trPr>
        <w:tc>
          <w:tcPr>
            <w:tcW w:w="1820" w:type="dxa"/>
            <w:vAlign w:val="bottom"/>
            <w:tcBorders>
              <w:top w:val="single" w:sz="8" w:color="CFF0FC"/>
            </w:tcBorders>
          </w:tcPr>
          <w:p>
            <w:pPr>
              <w:ind w:left="40"/>
              <w:spacing w:after="0" w:line="116" w:lineRule="exact"/>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tcBorders>
              <w:top w:val="single" w:sz="8" w:color="auto"/>
            </w:tcBorders>
          </w:tcPr>
          <w:p>
            <w:pPr>
              <w:jc w:val="right"/>
              <w:ind w:right="1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9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tcPr>
          <w:p>
            <w:pPr>
              <w:jc w:val="right"/>
              <w:ind w:right="1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5,021</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222</w:t>
            </w: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5,243</w:t>
            </w:r>
          </w:p>
        </w:tc>
        <w:tc>
          <w:tcPr>
            <w:tcW w:w="0" w:type="dxa"/>
            <w:vAlign w:val="bottom"/>
          </w:tcPr>
          <w:p>
            <w:pPr>
              <w:spacing w:after="0"/>
              <w:rPr>
                <w:sz w:val="1"/>
                <w:szCs w:val="1"/>
                <w:color w:val="auto"/>
              </w:rPr>
            </w:pPr>
          </w:p>
        </w:tc>
      </w:tr>
      <w:tr>
        <w:trPr>
          <w:trHeight w:val="135"/>
        </w:trPr>
        <w:tc>
          <w:tcPr>
            <w:tcW w:w="182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tcBorders>
              <w:right w:val="single" w:sz="8" w:color="CFF0FC"/>
            </w:tcBorders>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right w:val="single" w:sz="8" w:color="CFF0FC"/>
            </w:tcBorders>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tcBorders>
              <w:right w:val="single" w:sz="8" w:color="CFF0FC"/>
            </w:tcBorders>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820" w:type="dxa"/>
            <w:vAlign w:val="bottom"/>
            <w:tcBorders>
              <w:right w:val="single" w:sz="8" w:color="CFF0FC"/>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6,175</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6,175</w:t>
            </w:r>
          </w:p>
        </w:tc>
        <w:tc>
          <w:tcPr>
            <w:tcW w:w="0" w:type="dxa"/>
            <w:vAlign w:val="bottom"/>
          </w:tcPr>
          <w:p>
            <w:pPr>
              <w:spacing w:after="0"/>
              <w:rPr>
                <w:sz w:val="1"/>
                <w:szCs w:val="1"/>
                <w:color w:val="auto"/>
              </w:rPr>
            </w:pPr>
          </w:p>
        </w:tc>
      </w:tr>
      <w:tr>
        <w:trPr>
          <w:trHeight w:val="135"/>
        </w:trPr>
        <w:tc>
          <w:tcPr>
            <w:tcW w:w="18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Issuance of restricted stock units</w:t>
            </w: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619</w:t>
            </w:r>
          </w:p>
        </w:tc>
        <w:tc>
          <w:tcPr>
            <w:tcW w:w="580" w:type="dxa"/>
            <w:vAlign w:val="bottom"/>
          </w:tcPr>
          <w:p>
            <w:pPr>
              <w:spacing w:after="0"/>
              <w:rPr>
                <w:sz w:val="11"/>
                <w:szCs w:val="11"/>
                <w:color w:val="auto"/>
              </w:rPr>
            </w:pPr>
          </w:p>
        </w:tc>
        <w:tc>
          <w:tcPr>
            <w:tcW w:w="46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17"/>
        </w:trPr>
        <w:tc>
          <w:tcPr>
            <w:tcW w:w="1820" w:type="dxa"/>
            <w:vAlign w:val="bottom"/>
            <w:tcBorders>
              <w:right w:val="single" w:sz="8" w:color="CFF0FC"/>
            </w:tcBorders>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Exchange of Class B common</w:t>
            </w:r>
          </w:p>
        </w:tc>
        <w:tc>
          <w:tcPr>
            <w:tcW w:w="1020" w:type="dxa"/>
            <w:vAlign w:val="bottom"/>
            <w:tcBorders>
              <w:right w:val="single" w:sz="8" w:color="CFF0FC"/>
            </w:tcBorders>
            <w:vMerge w:val="restart"/>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35</w:t>
            </w:r>
          </w:p>
        </w:tc>
        <w:tc>
          <w:tcPr>
            <w:tcW w:w="580" w:type="dxa"/>
            <w:vAlign w:val="bottom"/>
            <w:tcBorders>
              <w:left w:val="single" w:sz="8" w:color="CFF0FC"/>
            </w:tcBorders>
            <w:shd w:val="clear" w:color="auto" w:fill="CFF0FC"/>
          </w:tcPr>
          <w:p>
            <w:pPr>
              <w:spacing w:after="0"/>
              <w:rPr>
                <w:sz w:val="10"/>
                <w:szCs w:val="10"/>
                <w:color w:val="auto"/>
              </w:rPr>
            </w:pPr>
          </w:p>
        </w:tc>
        <w:tc>
          <w:tcPr>
            <w:tcW w:w="460" w:type="dxa"/>
            <w:vAlign w:val="bottom"/>
            <w:tcBorders>
              <w:right w:val="single" w:sz="8" w:color="CFF0FC"/>
            </w:tcBorders>
            <w:vMerge w:val="restart"/>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(35)</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tcBorders>
              <w:right w:val="single" w:sz="8" w:color="CFF0FC"/>
            </w:tcBorders>
            <w:vMerge w:val="restart"/>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0"/>
                <w:szCs w:val="10"/>
                <w:color w:val="auto"/>
              </w:rPr>
            </w:pPr>
          </w:p>
        </w:tc>
        <w:tc>
          <w:tcPr>
            <w:tcW w:w="820" w:type="dxa"/>
            <w:vAlign w:val="bottom"/>
            <w:tcBorders>
              <w:right w:val="single" w:sz="8" w:color="CFF0FC"/>
            </w:tcBorders>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1820" w:type="dxa"/>
            <w:vAlign w:val="bottom"/>
            <w:tcBorders>
              <w:bottom w:val="single" w:sz="8" w:color="CFF0FC"/>
              <w:right w:val="single" w:sz="8" w:color="CFF0FC"/>
            </w:tcBorders>
            <w:shd w:val="clear" w:color="auto" w:fill="CFF0FC"/>
          </w:tcPr>
          <w:p>
            <w:pPr>
              <w:ind w:left="40"/>
              <w:spacing w:after="0" w:line="133" w:lineRule="exact"/>
              <w:rPr>
                <w:sz w:val="20"/>
                <w:szCs w:val="20"/>
                <w:color w:val="auto"/>
              </w:rPr>
            </w:pPr>
            <w:r>
              <w:rPr>
                <w:rFonts w:ascii="Times New Roman" w:cs="Times New Roman" w:eastAsia="Times New Roman" w:hAnsi="Times New Roman"/>
                <w:sz w:val="13"/>
                <w:szCs w:val="13"/>
                <w:color w:val="auto"/>
              </w:rPr>
              <w:t>stock for Class A common stock</w:t>
            </w:r>
          </w:p>
        </w:tc>
        <w:tc>
          <w:tcPr>
            <w:tcW w:w="102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580" w:type="dxa"/>
            <w:vAlign w:val="bottom"/>
            <w:tcBorders>
              <w:left w:val="single" w:sz="8" w:color="CFF0FC"/>
              <w:bottom w:val="single" w:sz="8" w:color="CFF0FC"/>
            </w:tcBorders>
            <w:shd w:val="clear" w:color="auto" w:fill="CFF0FC"/>
          </w:tcPr>
          <w:p>
            <w:pPr>
              <w:spacing w:after="0"/>
              <w:rPr>
                <w:sz w:val="11"/>
                <w:szCs w:val="11"/>
                <w:color w:val="auto"/>
              </w:rPr>
            </w:pPr>
          </w:p>
        </w:tc>
        <w:tc>
          <w:tcPr>
            <w:tcW w:w="46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102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right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vMerge w:val="continue"/>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vMerge w:val="continue"/>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289</w:t>
            </w:r>
          </w:p>
        </w:tc>
        <w:tc>
          <w:tcPr>
            <w:tcW w:w="580" w:type="dxa"/>
            <w:vAlign w:val="bottom"/>
          </w:tcPr>
          <w:p>
            <w:pPr>
              <w:spacing w:after="0"/>
              <w:rPr>
                <w:sz w:val="11"/>
                <w:szCs w:val="11"/>
                <w:color w:val="auto"/>
              </w:rPr>
            </w:pPr>
          </w:p>
        </w:tc>
        <w:tc>
          <w:tcPr>
            <w:tcW w:w="46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820" w:type="dxa"/>
            <w:vAlign w:val="bottom"/>
            <w:tcBorders>
              <w:right w:val="single" w:sz="8" w:color="CFF0FC"/>
            </w:tcBorders>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Repurchase of common stock for</w:t>
            </w:r>
          </w:p>
        </w:tc>
        <w:tc>
          <w:tcPr>
            <w:tcW w:w="1020" w:type="dxa"/>
            <w:vAlign w:val="bottom"/>
            <w:tcBorders>
              <w:right w:val="single" w:sz="8" w:color="CFF0FC"/>
            </w:tcBorders>
            <w:shd w:val="clear" w:color="auto" w:fill="CFF0FC"/>
          </w:tcPr>
          <w:p>
            <w:pPr>
              <w:spacing w:after="0"/>
              <w:rPr>
                <w:sz w:val="10"/>
                <w:szCs w:val="10"/>
                <w:color w:val="auto"/>
              </w:rPr>
            </w:pPr>
          </w:p>
        </w:tc>
        <w:tc>
          <w:tcPr>
            <w:tcW w:w="580" w:type="dxa"/>
            <w:vAlign w:val="bottom"/>
            <w:tcBorders>
              <w:left w:val="single" w:sz="8" w:color="CFF0FC"/>
            </w:tcBorders>
            <w:shd w:val="clear" w:color="auto" w:fill="CFF0FC"/>
          </w:tcPr>
          <w:p>
            <w:pPr>
              <w:spacing w:after="0"/>
              <w:rPr>
                <w:sz w:val="10"/>
                <w:szCs w:val="10"/>
                <w:color w:val="auto"/>
              </w:rPr>
            </w:pPr>
          </w:p>
        </w:tc>
        <w:tc>
          <w:tcPr>
            <w:tcW w:w="460" w:type="dxa"/>
            <w:vAlign w:val="bottom"/>
            <w:tcBorders>
              <w:right w:val="single" w:sz="8" w:color="CFF0FC"/>
            </w:tcBorders>
            <w:shd w:val="clear" w:color="auto" w:fill="CFF0FC"/>
          </w:tcPr>
          <w:p>
            <w:pPr>
              <w:spacing w:after="0"/>
              <w:rPr>
                <w:sz w:val="10"/>
                <w:szCs w:val="10"/>
                <w:color w:val="auto"/>
              </w:rPr>
            </w:pPr>
          </w:p>
        </w:tc>
        <w:tc>
          <w:tcPr>
            <w:tcW w:w="10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2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employee tax withholding and</w:t>
            </w:r>
          </w:p>
        </w:tc>
        <w:tc>
          <w:tcPr>
            <w:tcW w:w="1020" w:type="dxa"/>
            <w:vAlign w:val="bottom"/>
            <w:tcBorders>
              <w:right w:val="single" w:sz="8" w:color="CFF0FC"/>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58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right w:val="single" w:sz="8" w:color="CFF0FC"/>
            </w:tcBorders>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tcBorders>
              <w:right w:val="single" w:sz="8" w:color="CFF0FC"/>
            </w:tcBorders>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820" w:type="dxa"/>
            <w:vAlign w:val="bottom"/>
            <w:tcBorders>
              <w:right w:val="single" w:sz="8" w:color="CFF0FC"/>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(2,207)</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(2,207)</w:t>
            </w:r>
          </w:p>
        </w:tc>
        <w:tc>
          <w:tcPr>
            <w:tcW w:w="0" w:type="dxa"/>
            <w:vAlign w:val="bottom"/>
          </w:tcPr>
          <w:p>
            <w:pPr>
              <w:spacing w:after="0"/>
              <w:rPr>
                <w:sz w:val="1"/>
                <w:szCs w:val="1"/>
                <w:color w:val="auto"/>
              </w:rPr>
            </w:pPr>
          </w:p>
        </w:tc>
      </w:tr>
      <w:tr>
        <w:trPr>
          <w:trHeight w:val="153"/>
        </w:trPr>
        <w:tc>
          <w:tcPr>
            <w:tcW w:w="18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strike price</w:t>
            </w:r>
          </w:p>
        </w:tc>
        <w:tc>
          <w:tcPr>
            <w:tcW w:w="1020" w:type="dxa"/>
            <w:vAlign w:val="bottom"/>
            <w:tcBorders>
              <w:right w:val="single" w:sz="8" w:color="CFF0FC"/>
            </w:tcBorders>
            <w:shd w:val="clear" w:color="auto" w:fill="CFF0FC"/>
          </w:tcPr>
          <w:p>
            <w:pPr>
              <w:spacing w:after="0"/>
              <w:rPr>
                <w:sz w:val="13"/>
                <w:szCs w:val="13"/>
                <w:color w:val="auto"/>
              </w:rPr>
            </w:pPr>
          </w:p>
        </w:tc>
        <w:tc>
          <w:tcPr>
            <w:tcW w:w="580" w:type="dxa"/>
            <w:vAlign w:val="bottom"/>
            <w:tcBorders>
              <w:left w:val="single" w:sz="8" w:color="CFF0FC"/>
            </w:tcBorders>
            <w:shd w:val="clear" w:color="auto" w:fill="CFF0FC"/>
          </w:tcPr>
          <w:p>
            <w:pPr>
              <w:spacing w:after="0"/>
              <w:rPr>
                <w:sz w:val="13"/>
                <w:szCs w:val="13"/>
                <w:color w:val="auto"/>
              </w:rPr>
            </w:pPr>
          </w:p>
        </w:tc>
        <w:tc>
          <w:tcPr>
            <w:tcW w:w="460" w:type="dxa"/>
            <w:vAlign w:val="bottom"/>
            <w:tcBorders>
              <w:right w:val="single" w:sz="8" w:color="CFF0FC"/>
            </w:tcBorders>
            <w:shd w:val="clear" w:color="auto" w:fill="CFF0FC"/>
          </w:tcPr>
          <w:p>
            <w:pPr>
              <w:spacing w:after="0"/>
              <w:rPr>
                <w:sz w:val="13"/>
                <w:szCs w:val="13"/>
                <w:color w:val="auto"/>
              </w:rPr>
            </w:pPr>
          </w:p>
        </w:tc>
        <w:tc>
          <w:tcPr>
            <w:tcW w:w="10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2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 repurchase</w:t>
            </w:r>
          </w:p>
        </w:tc>
        <w:tc>
          <w:tcPr>
            <w:tcW w:w="10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(3,683)</w:t>
            </w:r>
          </w:p>
        </w:tc>
        <w:tc>
          <w:tcPr>
            <w:tcW w:w="580" w:type="dxa"/>
            <w:vAlign w:val="bottom"/>
          </w:tcPr>
          <w:p>
            <w:pPr>
              <w:spacing w:after="0"/>
              <w:rPr>
                <w:sz w:val="11"/>
                <w:szCs w:val="11"/>
                <w:color w:val="auto"/>
              </w:rPr>
            </w:pPr>
          </w:p>
        </w:tc>
        <w:tc>
          <w:tcPr>
            <w:tcW w:w="46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3,683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(30,034)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(30,038)</w:t>
            </w:r>
          </w:p>
        </w:tc>
        <w:tc>
          <w:tcPr>
            <w:tcW w:w="0" w:type="dxa"/>
            <w:vAlign w:val="bottom"/>
          </w:tcPr>
          <w:p>
            <w:pPr>
              <w:spacing w:after="0"/>
              <w:rPr>
                <w:sz w:val="1"/>
                <w:szCs w:val="1"/>
                <w:color w:val="auto"/>
              </w:rPr>
            </w:pPr>
          </w:p>
        </w:tc>
      </w:tr>
      <w:tr>
        <w:trPr>
          <w:trHeight w:val="117"/>
        </w:trPr>
        <w:tc>
          <w:tcPr>
            <w:tcW w:w="1820" w:type="dxa"/>
            <w:vAlign w:val="bottom"/>
            <w:tcBorders>
              <w:right w:val="single" w:sz="8" w:color="CFF0FC"/>
            </w:tcBorders>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Accrual for excise tax associated</w:t>
            </w:r>
          </w:p>
        </w:tc>
        <w:tc>
          <w:tcPr>
            <w:tcW w:w="1020" w:type="dxa"/>
            <w:vAlign w:val="bottom"/>
            <w:tcBorders>
              <w:right w:val="single" w:sz="8" w:color="CFF0FC"/>
            </w:tcBorders>
            <w:vMerge w:val="restart"/>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left w:val="single" w:sz="8" w:color="CFF0FC"/>
            </w:tcBorders>
            <w:shd w:val="clear" w:color="auto" w:fill="CFF0FC"/>
          </w:tcPr>
          <w:p>
            <w:pPr>
              <w:spacing w:after="0"/>
              <w:rPr>
                <w:sz w:val="10"/>
                <w:szCs w:val="10"/>
                <w:color w:val="auto"/>
              </w:rPr>
            </w:pPr>
          </w:p>
        </w:tc>
        <w:tc>
          <w:tcPr>
            <w:tcW w:w="460" w:type="dxa"/>
            <w:vAlign w:val="bottom"/>
            <w:tcBorders>
              <w:right w:val="single" w:sz="8" w:color="CFF0FC"/>
            </w:tcBorders>
            <w:vMerge w:val="restart"/>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right w:val="single" w:sz="8" w:color="CFF0FC"/>
            </w:tcBorders>
            <w:vMerge w:val="restart"/>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tcBorders>
              <w:right w:val="single" w:sz="8" w:color="CFF0FC"/>
            </w:tcBorders>
            <w:vMerge w:val="restart"/>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0"/>
                <w:szCs w:val="10"/>
                <w:color w:val="auto"/>
              </w:rPr>
            </w:pPr>
          </w:p>
        </w:tc>
        <w:tc>
          <w:tcPr>
            <w:tcW w:w="820" w:type="dxa"/>
            <w:vAlign w:val="bottom"/>
            <w:tcBorders>
              <w:right w:val="single" w:sz="8" w:color="CFF0FC"/>
            </w:tcBorders>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6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33"/>
        </w:trPr>
        <w:tc>
          <w:tcPr>
            <w:tcW w:w="1820" w:type="dxa"/>
            <w:vAlign w:val="bottom"/>
            <w:tcBorders>
              <w:bottom w:val="single" w:sz="8" w:color="CFF0FC"/>
              <w:right w:val="single" w:sz="8" w:color="CFF0FC"/>
            </w:tcBorders>
            <w:shd w:val="clear" w:color="auto" w:fill="CFF0FC"/>
          </w:tcPr>
          <w:p>
            <w:pPr>
              <w:ind w:left="40"/>
              <w:spacing w:after="0" w:line="133" w:lineRule="exact"/>
              <w:rPr>
                <w:sz w:val="20"/>
                <w:szCs w:val="20"/>
                <w:color w:val="auto"/>
              </w:rPr>
            </w:pPr>
            <w:r>
              <w:rPr>
                <w:rFonts w:ascii="Times New Roman" w:cs="Times New Roman" w:eastAsia="Times New Roman" w:hAnsi="Times New Roman"/>
                <w:sz w:val="13"/>
                <w:szCs w:val="13"/>
                <w:color w:val="auto"/>
              </w:rPr>
              <w:t>with stock repurchases</w:t>
            </w:r>
          </w:p>
        </w:tc>
        <w:tc>
          <w:tcPr>
            <w:tcW w:w="102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580" w:type="dxa"/>
            <w:vAlign w:val="bottom"/>
            <w:tcBorders>
              <w:left w:val="single" w:sz="8" w:color="CFF0FC"/>
              <w:bottom w:val="single" w:sz="8" w:color="CFF0FC"/>
            </w:tcBorders>
            <w:shd w:val="clear" w:color="auto" w:fill="CFF0FC"/>
          </w:tcPr>
          <w:p>
            <w:pPr>
              <w:spacing w:after="0"/>
              <w:rPr>
                <w:sz w:val="11"/>
                <w:szCs w:val="11"/>
                <w:color w:val="auto"/>
              </w:rPr>
            </w:pPr>
          </w:p>
        </w:tc>
        <w:tc>
          <w:tcPr>
            <w:tcW w:w="46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102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right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vMerge w:val="continue"/>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vMerge w:val="continue"/>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2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102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0"/>
                <w:szCs w:val="10"/>
                <w:color w:val="auto"/>
              </w:rPr>
            </w:pPr>
          </w:p>
        </w:tc>
        <w:tc>
          <w:tcPr>
            <w:tcW w:w="46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8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(153)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97"/>
        </w:trPr>
        <w:tc>
          <w:tcPr>
            <w:tcW w:w="18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interests, net</w:t>
            </w:r>
          </w:p>
        </w:tc>
        <w:tc>
          <w:tcPr>
            <w:tcW w:w="10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82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82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Dividends declared</w:t>
            </w:r>
          </w:p>
        </w:tc>
        <w:tc>
          <w:tcPr>
            <w:tcW w:w="1020" w:type="dxa"/>
            <w:vAlign w:val="bottom"/>
            <w:tcBorders>
              <w:right w:val="single" w:sz="8" w:color="CFF0FC"/>
            </w:tcBorders>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right w:val="single" w:sz="8" w:color="CFF0FC"/>
            </w:tcBorders>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tcBorders>
              <w:right w:val="single" w:sz="8" w:color="CFF0FC"/>
            </w:tcBorders>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820" w:type="dxa"/>
            <w:vAlign w:val="bottom"/>
            <w:tcBorders>
              <w:right w:val="single" w:sz="8" w:color="CFF0FC"/>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35"/>
        </w:trPr>
        <w:tc>
          <w:tcPr>
            <w:tcW w:w="18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Dividends paid per share $0.03</w:t>
            </w:r>
          </w:p>
        </w:tc>
        <w:tc>
          <w:tcPr>
            <w:tcW w:w="1020" w:type="dxa"/>
            <w:vAlign w:val="bottom"/>
            <w:tcBorders>
              <w:bottom w:val="single" w:sz="8" w:color="auto"/>
            </w:tcBorders>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(3,774)</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(3,774)</w:t>
            </w:r>
          </w:p>
        </w:tc>
        <w:tc>
          <w:tcPr>
            <w:tcW w:w="0" w:type="dxa"/>
            <w:vAlign w:val="bottom"/>
          </w:tcPr>
          <w:p>
            <w:pPr>
              <w:spacing w:after="0"/>
              <w:rPr>
                <w:sz w:val="1"/>
                <w:szCs w:val="1"/>
                <w:color w:val="auto"/>
              </w:rPr>
            </w:pPr>
          </w:p>
        </w:tc>
      </w:tr>
      <w:tr>
        <w:trPr>
          <w:trHeight w:val="148"/>
        </w:trPr>
        <w:tc>
          <w:tcPr>
            <w:tcW w:w="1820" w:type="dxa"/>
            <w:vAlign w:val="bottom"/>
            <w:tcBorders>
              <w:right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1020" w:type="dxa"/>
            <w:vAlign w:val="bottom"/>
            <w:tcBorders>
              <w:right w:val="single" w:sz="8" w:color="CFF0FC"/>
            </w:tcBorders>
            <w:shd w:val="clear" w:color="auto" w:fill="CFF0FC"/>
          </w:tcPr>
          <w:p>
            <w:pPr>
              <w:jc w:val="right"/>
              <w:ind w:right="137"/>
              <w:spacing w:after="0" w:line="129" w:lineRule="exact"/>
              <w:rPr>
                <w:sz w:val="20"/>
                <w:szCs w:val="20"/>
                <w:color w:val="auto"/>
              </w:rPr>
            </w:pPr>
            <w:r>
              <w:rPr>
                <w:rFonts w:ascii="Times New Roman" w:cs="Times New Roman" w:eastAsia="Times New Roman" w:hAnsi="Times New Roman"/>
                <w:sz w:val="13"/>
                <w:szCs w:val="13"/>
                <w:color w:val="auto"/>
              </w:rPr>
              <w:t>54,583</w:t>
            </w:r>
          </w:p>
        </w:tc>
        <w:tc>
          <w:tcPr>
            <w:tcW w:w="580" w:type="dxa"/>
            <w:vAlign w:val="bottom"/>
            <w:tcBorders>
              <w:left w:val="single" w:sz="8" w:color="CFF0FC"/>
            </w:tcBorders>
            <w:shd w:val="clear" w:color="auto" w:fill="CFF0FC"/>
          </w:tcPr>
          <w:p>
            <w:pPr>
              <w:jc w:val="right"/>
              <w:ind w:right="401"/>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right w:val="single" w:sz="8" w:color="CFF0FC"/>
            </w:tcBorders>
            <w:shd w:val="clear" w:color="auto" w:fill="CFF0FC"/>
          </w:tcPr>
          <w:p>
            <w:pPr>
              <w:jc w:val="right"/>
              <w:ind w:right="197"/>
              <w:spacing w:after="0" w:line="129" w:lineRule="exact"/>
              <w:rPr>
                <w:sz w:val="20"/>
                <w:szCs w:val="20"/>
                <w:color w:val="auto"/>
              </w:rPr>
            </w:pPr>
            <w:r>
              <w:rPr>
                <w:rFonts w:ascii="Times New Roman" w:cs="Times New Roman" w:eastAsia="Times New Roman" w:hAnsi="Times New Roman"/>
                <w:sz w:val="13"/>
                <w:szCs w:val="13"/>
                <w:color w:val="auto"/>
              </w:rPr>
              <w:t>55</w:t>
            </w:r>
          </w:p>
        </w:tc>
        <w:tc>
          <w:tcPr>
            <w:tcW w:w="1020" w:type="dxa"/>
            <w:vAlign w:val="bottom"/>
            <w:tcBorders>
              <w:right w:val="single" w:sz="8" w:color="CFF0FC"/>
            </w:tcBorders>
            <w:shd w:val="clear" w:color="auto" w:fill="CFF0FC"/>
          </w:tcPr>
          <w:p>
            <w:pPr>
              <w:jc w:val="right"/>
              <w:ind w:right="137"/>
              <w:spacing w:after="0" w:line="129" w:lineRule="exact"/>
              <w:rPr>
                <w:sz w:val="20"/>
                <w:szCs w:val="20"/>
                <w:color w:val="auto"/>
              </w:rPr>
            </w:pPr>
            <w:r>
              <w:rPr>
                <w:rFonts w:ascii="Times New Roman" w:cs="Times New Roman" w:eastAsia="Times New Roman" w:hAnsi="Times New Roman"/>
                <w:sz w:val="13"/>
                <w:szCs w:val="13"/>
                <w:color w:val="auto"/>
              </w:rPr>
              <w:t>58,439</w:t>
            </w:r>
          </w:p>
        </w:tc>
        <w:tc>
          <w:tcPr>
            <w:tcW w:w="14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FF0FC"/>
            </w:tcBorders>
            <w:shd w:val="clear" w:color="auto" w:fill="CFF0FC"/>
          </w:tcPr>
          <w:p>
            <w:pPr>
              <w:jc w:val="right"/>
              <w:ind w:right="177"/>
              <w:spacing w:after="0" w:line="129" w:lineRule="exact"/>
              <w:rPr>
                <w:sz w:val="20"/>
                <w:szCs w:val="20"/>
                <w:color w:val="auto"/>
              </w:rPr>
            </w:pPr>
            <w:r>
              <w:rPr>
                <w:rFonts w:ascii="Times New Roman" w:cs="Times New Roman" w:eastAsia="Times New Roman" w:hAnsi="Times New Roman"/>
                <w:sz w:val="13"/>
                <w:szCs w:val="13"/>
                <w:color w:val="auto"/>
              </w:rPr>
              <w:t>58</w:t>
            </w:r>
          </w:p>
        </w:tc>
        <w:tc>
          <w:tcPr>
            <w:tcW w:w="860" w:type="dxa"/>
            <w:vAlign w:val="bottom"/>
            <w:tcBorders>
              <w:right w:val="single" w:sz="8" w:color="CFF0FC"/>
            </w:tcBorders>
            <w:gridSpan w:val="2"/>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5,524</w:t>
            </w:r>
          </w:p>
        </w:tc>
        <w:tc>
          <w:tcPr>
            <w:tcW w:w="200" w:type="dxa"/>
            <w:vAlign w:val="bottom"/>
            <w:gridSpan w:val="2"/>
            <w:shd w:val="clear" w:color="auto" w:fill="CFF0FC"/>
          </w:tcPr>
          <w:p>
            <w:pPr>
              <w:jc w:val="right"/>
              <w:ind w:right="14"/>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(47,622)</w:t>
            </w:r>
          </w:p>
        </w:tc>
        <w:tc>
          <w:tcPr>
            <w:tcW w:w="1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635,944</w:t>
            </w:r>
          </w:p>
        </w:tc>
        <w:tc>
          <w:tcPr>
            <w:tcW w:w="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(227,991)</w:t>
            </w: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39,642</w:t>
            </w:r>
          </w:p>
        </w:tc>
        <w:tc>
          <w:tcPr>
            <w:tcW w:w="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400,086</w:t>
            </w:r>
          </w:p>
        </w:tc>
        <w:tc>
          <w:tcPr>
            <w:tcW w:w="0" w:type="dxa"/>
            <w:vAlign w:val="bottom"/>
          </w:tcPr>
          <w:p>
            <w:pPr>
              <w:spacing w:after="0"/>
              <w:rPr>
                <w:sz w:val="1"/>
                <w:szCs w:val="1"/>
                <w:color w:val="auto"/>
              </w:rPr>
            </w:pPr>
          </w:p>
        </w:tc>
      </w:tr>
      <w:tr>
        <w:trPr>
          <w:trHeight w:val="20"/>
        </w:trPr>
        <w:tc>
          <w:tcPr>
            <w:tcW w:w="18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820" w:type="dxa"/>
            <w:vAlign w:val="bottom"/>
          </w:tcPr>
          <w:p>
            <w:pPr>
              <w:spacing w:after="0"/>
              <w:rPr>
                <w:sz w:val="24"/>
                <w:szCs w:val="24"/>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Common Stock - Class A</w:t>
            </w:r>
          </w:p>
        </w:tc>
        <w:tc>
          <w:tcPr>
            <w:tcW w:w="460" w:type="dxa"/>
            <w:vAlign w:val="bottom"/>
          </w:tcPr>
          <w:p>
            <w:pPr>
              <w:spacing w:after="0"/>
              <w:rPr>
                <w:sz w:val="24"/>
                <w:szCs w:val="24"/>
                <w:color w:val="auto"/>
              </w:rPr>
            </w:pPr>
          </w:p>
        </w:tc>
        <w:tc>
          <w:tcPr>
            <w:tcW w:w="1980" w:type="dxa"/>
            <w:vAlign w:val="bottom"/>
            <w:gridSpan w:val="4"/>
            <w:vMerge w:val="restart"/>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Common Stock - Class B</w:t>
            </w:r>
          </w:p>
        </w:tc>
        <w:tc>
          <w:tcPr>
            <w:tcW w:w="40" w:type="dxa"/>
            <w:vAlign w:val="bottom"/>
          </w:tcPr>
          <w:p>
            <w:pPr>
              <w:spacing w:after="0"/>
              <w:rPr>
                <w:sz w:val="24"/>
                <w:szCs w:val="24"/>
                <w:color w:val="auto"/>
              </w:rPr>
            </w:pPr>
          </w:p>
        </w:tc>
        <w:tc>
          <w:tcPr>
            <w:tcW w:w="1780" w:type="dxa"/>
            <w:vAlign w:val="bottom"/>
            <w:gridSpan w:val="4"/>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40" w:type="dxa"/>
            <w:vAlign w:val="bottom"/>
          </w:tcPr>
          <w:p>
            <w:pPr>
              <w:spacing w:after="0"/>
              <w:rPr>
                <w:sz w:val="24"/>
                <w:szCs w:val="24"/>
                <w:color w:val="auto"/>
              </w:rPr>
            </w:pPr>
          </w:p>
        </w:tc>
        <w:tc>
          <w:tcPr>
            <w:tcW w:w="820" w:type="dxa"/>
            <w:vAlign w:val="bottom"/>
            <w:gridSpan w:val="2"/>
            <w:vMerge w:val="restart"/>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Non</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160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780" w:type="dxa"/>
            <w:vAlign w:val="bottom"/>
            <w:tcBorders>
              <w:bottom w:val="single" w:sz="8" w:color="auto"/>
            </w:tcBorders>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220" w:type="dxa"/>
            <w:vAlign w:val="bottom"/>
          </w:tcPr>
          <w:p>
            <w:pPr>
              <w:spacing w:after="0"/>
              <w:rPr>
                <w:sz w:val="12"/>
                <w:szCs w:val="12"/>
                <w:color w:val="auto"/>
              </w:rPr>
            </w:pPr>
          </w:p>
        </w:tc>
        <w:tc>
          <w:tcPr>
            <w:tcW w:w="7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157"/>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60" w:type="dxa"/>
            <w:vAlign w:val="bottom"/>
          </w:tcPr>
          <w:p>
            <w:pPr>
              <w:spacing w:after="0"/>
              <w:rPr>
                <w:sz w:val="13"/>
                <w:szCs w:val="13"/>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Pr>
          <w:p>
            <w:pPr>
              <w:spacing w:after="0"/>
              <w:rPr>
                <w:sz w:val="13"/>
                <w:szCs w:val="13"/>
                <w:color w:val="auto"/>
              </w:rPr>
            </w:pPr>
          </w:p>
        </w:tc>
        <w:tc>
          <w:tcPr>
            <w:tcW w:w="82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60" w:type="dxa"/>
            <w:vAlign w:val="bottom"/>
          </w:tcPr>
          <w:p>
            <w:pPr>
              <w:spacing w:after="0"/>
              <w:rPr>
                <w:sz w:val="13"/>
                <w:szCs w:val="13"/>
                <w:color w:val="auto"/>
              </w:rPr>
            </w:pPr>
          </w:p>
        </w:tc>
        <w:tc>
          <w:tcPr>
            <w:tcW w:w="70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20" w:type="dxa"/>
            <w:vAlign w:val="bottom"/>
          </w:tcPr>
          <w:p>
            <w:pPr>
              <w:spacing w:after="0"/>
              <w:rPr>
                <w:sz w:val="13"/>
                <w:szCs w:val="13"/>
                <w:color w:val="auto"/>
              </w:rPr>
            </w:pPr>
          </w:p>
        </w:tc>
        <w:tc>
          <w:tcPr>
            <w:tcW w:w="74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1820" w:type="dxa"/>
            <w:vAlign w:val="bottom"/>
            <w:vMerge w:val="continue"/>
          </w:tcPr>
          <w:p>
            <w:pPr>
              <w:spacing w:after="0"/>
              <w:rPr>
                <w:sz w:val="11"/>
                <w:szCs w:val="11"/>
                <w:color w:val="auto"/>
              </w:rPr>
            </w:pPr>
          </w:p>
        </w:tc>
        <w:tc>
          <w:tcPr>
            <w:tcW w:w="102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color w:val="auto"/>
              </w:rPr>
              <w:t>67,615</w:t>
            </w:r>
          </w:p>
        </w:tc>
        <w:tc>
          <w:tcPr>
            <w:tcW w:w="58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color w:val="auto"/>
                <w:w w:val="91"/>
              </w:rPr>
              <w:t>68</w:t>
            </w:r>
          </w:p>
        </w:tc>
        <w:tc>
          <w:tcPr>
            <w:tcW w:w="102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color w:val="auto"/>
              </w:rPr>
              <w:t>43,461</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rPr>
              <w:t>43</w:t>
            </w:r>
          </w:p>
        </w:tc>
        <w:tc>
          <w:tcPr>
            <w:tcW w:w="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8,483</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(76,648)</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637,848</w:t>
            </w:r>
          </w:p>
        </w:tc>
        <w:tc>
          <w:tcPr>
            <w:tcW w:w="16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(214,312)</w:t>
            </w: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39,891</w:t>
            </w:r>
          </w:p>
        </w:tc>
        <w:tc>
          <w:tcPr>
            <w:tcW w:w="220" w:type="dxa"/>
            <w:vAlign w:val="bottom"/>
            <w:tcBorders>
              <w:top w:val="single" w:sz="8" w:color="auto"/>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386,890</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820" w:type="dxa"/>
            <w:vAlign w:val="bottom"/>
            <w:tcBorders>
              <w:right w:val="single" w:sz="8" w:color="CFF0FC"/>
            </w:tcBorders>
            <w:shd w:val="clear" w:color="auto" w:fill="CFF0FC"/>
          </w:tcPr>
          <w:p>
            <w:pPr>
              <w:ind w:left="40"/>
              <w:spacing w:after="0" w:line="116" w:lineRule="exact"/>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tcBorders>
              <w:right w:val="single" w:sz="8" w:color="CFF0FC"/>
            </w:tcBorders>
            <w:shd w:val="clear" w:color="auto" w:fill="CFF0FC"/>
          </w:tcPr>
          <w:p>
            <w:pPr>
              <w:jc w:val="right"/>
              <w:ind w:right="197"/>
              <w:spacing w:after="0" w:line="116"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left w:val="single" w:sz="8" w:color="CFF0FC"/>
            </w:tcBorders>
            <w:shd w:val="clear" w:color="auto" w:fill="CFF0FC"/>
          </w:tcPr>
          <w:p>
            <w:pPr>
              <w:spacing w:after="0"/>
              <w:rPr>
                <w:sz w:val="10"/>
                <w:szCs w:val="10"/>
                <w:color w:val="auto"/>
              </w:rPr>
            </w:pPr>
          </w:p>
        </w:tc>
        <w:tc>
          <w:tcPr>
            <w:tcW w:w="460" w:type="dxa"/>
            <w:vAlign w:val="bottom"/>
            <w:tcBorders>
              <w:right w:val="single" w:sz="8" w:color="CFF0FC"/>
            </w:tcBorders>
            <w:shd w:val="clear" w:color="auto" w:fill="CFF0FC"/>
          </w:tcPr>
          <w:p>
            <w:pPr>
              <w:jc w:val="right"/>
              <w:ind w:right="25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right w:val="single" w:sz="8" w:color="CFF0FC"/>
            </w:tcBorders>
            <w:shd w:val="clear" w:color="auto" w:fill="CFF0FC"/>
          </w:tcPr>
          <w:p>
            <w:pPr>
              <w:jc w:val="right"/>
              <w:ind w:right="197"/>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tcBorders>
              <w:right w:val="single" w:sz="8" w:color="CFF0FC"/>
            </w:tcBorders>
            <w:shd w:val="clear" w:color="auto" w:fill="CFF0FC"/>
          </w:tcPr>
          <w:p>
            <w:pPr>
              <w:jc w:val="right"/>
              <w:ind w:right="117"/>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0"/>
                <w:szCs w:val="10"/>
                <w:color w:val="auto"/>
              </w:rPr>
            </w:pPr>
          </w:p>
        </w:tc>
        <w:tc>
          <w:tcPr>
            <w:tcW w:w="820" w:type="dxa"/>
            <w:vAlign w:val="bottom"/>
            <w:tcBorders>
              <w:right w:val="single" w:sz="8" w:color="CFF0FC"/>
            </w:tcBorders>
            <w:shd w:val="clear" w:color="auto" w:fill="CFF0FC"/>
          </w:tcPr>
          <w:p>
            <w:pPr>
              <w:jc w:val="right"/>
              <w:ind w:right="9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4,522</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174</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4,696</w:t>
            </w:r>
          </w:p>
        </w:tc>
        <w:tc>
          <w:tcPr>
            <w:tcW w:w="0" w:type="dxa"/>
            <w:vAlign w:val="bottom"/>
          </w:tcPr>
          <w:p>
            <w:pPr>
              <w:spacing w:after="0"/>
              <w:rPr>
                <w:sz w:val="1"/>
                <w:szCs w:val="1"/>
                <w:color w:val="auto"/>
              </w:rPr>
            </w:pPr>
          </w:p>
        </w:tc>
      </w:tr>
      <w:tr>
        <w:trPr>
          <w:trHeight w:val="135"/>
        </w:trPr>
        <w:tc>
          <w:tcPr>
            <w:tcW w:w="18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1"/>
                <w:szCs w:val="11"/>
                <w:color w:val="auto"/>
              </w:rPr>
            </w:pPr>
          </w:p>
        </w:tc>
        <w:tc>
          <w:tcPr>
            <w:tcW w:w="46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6,565</w:t>
            </w:r>
          </w:p>
        </w:tc>
        <w:tc>
          <w:tcPr>
            <w:tcW w:w="160" w:type="dxa"/>
            <w:vAlign w:val="bottom"/>
          </w:tcPr>
          <w:p>
            <w:pPr>
              <w:spacing w:after="0"/>
              <w:rPr>
                <w:sz w:val="11"/>
                <w:szCs w:val="11"/>
                <w:color w:val="auto"/>
              </w:rPr>
            </w:pP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6,565</w:t>
            </w:r>
          </w:p>
        </w:tc>
        <w:tc>
          <w:tcPr>
            <w:tcW w:w="0" w:type="dxa"/>
            <w:vAlign w:val="bottom"/>
          </w:tcPr>
          <w:p>
            <w:pPr>
              <w:spacing w:after="0"/>
              <w:rPr>
                <w:sz w:val="1"/>
                <w:szCs w:val="1"/>
                <w:color w:val="auto"/>
              </w:rPr>
            </w:pPr>
          </w:p>
        </w:tc>
      </w:tr>
      <w:tr>
        <w:trPr>
          <w:trHeight w:val="135"/>
        </w:trPr>
        <w:tc>
          <w:tcPr>
            <w:tcW w:w="182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Issuance of restricted stock units</w:t>
            </w:r>
          </w:p>
        </w:tc>
        <w:tc>
          <w:tcPr>
            <w:tcW w:w="1020" w:type="dxa"/>
            <w:vAlign w:val="bottom"/>
            <w:tcBorders>
              <w:right w:val="single" w:sz="8" w:color="CFF0FC"/>
            </w:tcBorders>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720</w:t>
            </w:r>
          </w:p>
        </w:tc>
        <w:tc>
          <w:tcPr>
            <w:tcW w:w="58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2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20" w:type="dxa"/>
            <w:vAlign w:val="bottom"/>
            <w:tcBorders>
              <w:right w:val="single" w:sz="8" w:color="CFF0FC"/>
            </w:tcBorders>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tcBorders>
              <w:right w:val="single" w:sz="8" w:color="CFF0FC"/>
            </w:tcBorders>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820" w:type="dxa"/>
            <w:vAlign w:val="bottom"/>
            <w:tcBorders>
              <w:right w:val="single" w:sz="8" w:color="CFF0FC"/>
            </w:tcBorders>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17"/>
        </w:trPr>
        <w:tc>
          <w:tcPr>
            <w:tcW w:w="182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Exchange of Class B common</w:t>
            </w:r>
          </w:p>
        </w:tc>
        <w:tc>
          <w:tcPr>
            <w:tcW w:w="102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auto"/>
              </w:rPr>
              <w:t>8,839</w:t>
            </w:r>
          </w:p>
        </w:tc>
        <w:tc>
          <w:tcPr>
            <w:tcW w:w="580" w:type="dxa"/>
            <w:vAlign w:val="bottom"/>
          </w:tcPr>
          <w:p>
            <w:pPr>
              <w:spacing w:after="0"/>
              <w:rPr>
                <w:sz w:val="10"/>
                <w:szCs w:val="10"/>
                <w:color w:val="auto"/>
              </w:rPr>
            </w:pPr>
          </w:p>
        </w:tc>
        <w:tc>
          <w:tcPr>
            <w:tcW w:w="460" w:type="dxa"/>
            <w:vAlign w:val="bottom"/>
            <w:vMerge w:val="restart"/>
          </w:tcPr>
          <w:p>
            <w:pPr>
              <w:jc w:val="right"/>
              <w:ind w:right="257"/>
              <w:spacing w:after="0"/>
              <w:rPr>
                <w:sz w:val="20"/>
                <w:szCs w:val="20"/>
                <w:color w:val="auto"/>
              </w:rPr>
            </w:pPr>
            <w:r>
              <w:rPr>
                <w:rFonts w:ascii="Times New Roman" w:cs="Times New Roman" w:eastAsia="Times New Roman" w:hAnsi="Times New Roman"/>
                <w:sz w:val="13"/>
                <w:szCs w:val="13"/>
                <w:color w:val="auto"/>
              </w:rPr>
              <w:t>8</w:t>
            </w:r>
          </w:p>
        </w:tc>
        <w:tc>
          <w:tcPr>
            <w:tcW w:w="102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(8,839)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40" w:type="dxa"/>
            <w:vAlign w:val="bottom"/>
          </w:tcPr>
          <w:p>
            <w:pPr>
              <w:spacing w:after="0"/>
              <w:rPr>
                <w:sz w:val="10"/>
                <w:szCs w:val="10"/>
                <w:color w:val="auto"/>
              </w:rPr>
            </w:pPr>
          </w:p>
        </w:tc>
        <w:tc>
          <w:tcPr>
            <w:tcW w:w="82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8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stock for Class A common stock</w:t>
            </w:r>
          </w:p>
        </w:tc>
        <w:tc>
          <w:tcPr>
            <w:tcW w:w="10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82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82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1020" w:type="dxa"/>
            <w:vAlign w:val="bottom"/>
            <w:tcBorders>
              <w:right w:val="single" w:sz="8" w:color="CFF0FC"/>
            </w:tcBorders>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248</w:t>
            </w:r>
          </w:p>
        </w:tc>
        <w:tc>
          <w:tcPr>
            <w:tcW w:w="58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2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right w:val="single" w:sz="8" w:color="CFF0FC"/>
            </w:tcBorders>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tcBorders>
              <w:right w:val="single" w:sz="8" w:color="CFF0FC"/>
            </w:tcBorders>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820" w:type="dxa"/>
            <w:vAlign w:val="bottom"/>
            <w:tcBorders>
              <w:right w:val="single" w:sz="8" w:color="CFF0FC"/>
            </w:tcBorders>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82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Repurchase of common stock for</w:t>
            </w: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employee tax withholding and</w:t>
            </w:r>
          </w:p>
        </w:tc>
        <w:tc>
          <w:tcPr>
            <w:tcW w:w="10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(391)</w:t>
            </w:r>
          </w:p>
        </w:tc>
        <w:tc>
          <w:tcPr>
            <w:tcW w:w="580" w:type="dxa"/>
            <w:vAlign w:val="bottom"/>
          </w:tcPr>
          <w:p>
            <w:pPr>
              <w:spacing w:after="0"/>
              <w:rPr>
                <w:sz w:val="11"/>
                <w:szCs w:val="11"/>
                <w:color w:val="auto"/>
              </w:rPr>
            </w:pPr>
          </w:p>
        </w:tc>
        <w:tc>
          <w:tcPr>
            <w:tcW w:w="46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(4,693)</w:t>
            </w:r>
          </w:p>
        </w:tc>
        <w:tc>
          <w:tcPr>
            <w:tcW w:w="160" w:type="dxa"/>
            <w:vAlign w:val="bottom"/>
          </w:tcPr>
          <w:p>
            <w:pPr>
              <w:spacing w:after="0"/>
              <w:rPr>
                <w:sz w:val="11"/>
                <w:szCs w:val="11"/>
                <w:color w:val="auto"/>
              </w:rPr>
            </w:pP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(4,693)</w:t>
            </w:r>
          </w:p>
        </w:tc>
        <w:tc>
          <w:tcPr>
            <w:tcW w:w="0" w:type="dxa"/>
            <w:vAlign w:val="bottom"/>
          </w:tcPr>
          <w:p>
            <w:pPr>
              <w:spacing w:after="0"/>
              <w:rPr>
                <w:sz w:val="1"/>
                <w:szCs w:val="1"/>
                <w:color w:val="auto"/>
              </w:rPr>
            </w:pPr>
          </w:p>
        </w:tc>
      </w:tr>
      <w:tr>
        <w:trPr>
          <w:trHeight w:val="153"/>
        </w:trPr>
        <w:tc>
          <w:tcPr>
            <w:tcW w:w="1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strike price</w:t>
            </w: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 repurchase</w:t>
            </w:r>
          </w:p>
        </w:tc>
        <w:tc>
          <w:tcPr>
            <w:tcW w:w="1020" w:type="dxa"/>
            <w:vAlign w:val="bottom"/>
            <w:tcBorders>
              <w:right w:val="single" w:sz="8" w:color="CFF0FC"/>
            </w:tcBorders>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(1,215)</w:t>
            </w:r>
          </w:p>
        </w:tc>
        <w:tc>
          <w:tcPr>
            <w:tcW w:w="580" w:type="dxa"/>
            <w:vAlign w:val="bottom"/>
            <w:tcBorders>
              <w:left w:val="single" w:sz="8" w:color="CFF0FC"/>
            </w:tcBorders>
            <w:shd w:val="clear" w:color="auto" w:fill="CFF0FC"/>
          </w:tcPr>
          <w:p>
            <w:pPr>
              <w:spacing w:after="0"/>
              <w:rPr>
                <w:sz w:val="11"/>
                <w:szCs w:val="11"/>
                <w:color w:val="auto"/>
              </w:rPr>
            </w:pPr>
          </w:p>
        </w:tc>
        <w:tc>
          <w:tcPr>
            <w:tcW w:w="460" w:type="dxa"/>
            <w:vAlign w:val="bottom"/>
            <w:tcBorders>
              <w:right w:val="single" w:sz="8" w:color="CFF0FC"/>
            </w:tcBorders>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20" w:type="dxa"/>
            <w:vAlign w:val="bottom"/>
            <w:tcBorders>
              <w:right w:val="single" w:sz="8" w:color="CFF0FC"/>
            </w:tcBorders>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tcBorders>
              <w:right w:val="single" w:sz="8" w:color="CFF0FC"/>
            </w:tcBorders>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FF0FC"/>
            </w:tcBorders>
            <w:gridSpan w:val="2"/>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1,215</w:t>
            </w:r>
          </w:p>
        </w:tc>
        <w:tc>
          <w:tcPr>
            <w:tcW w:w="10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(14,970)</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(14,971)</w:t>
            </w:r>
          </w:p>
        </w:tc>
        <w:tc>
          <w:tcPr>
            <w:tcW w:w="0" w:type="dxa"/>
            <w:vAlign w:val="bottom"/>
          </w:tcPr>
          <w:p>
            <w:pPr>
              <w:spacing w:after="0"/>
              <w:rPr>
                <w:sz w:val="1"/>
                <w:szCs w:val="1"/>
                <w:color w:val="auto"/>
              </w:rPr>
            </w:pPr>
          </w:p>
        </w:tc>
      </w:tr>
      <w:tr>
        <w:trPr>
          <w:trHeight w:val="117"/>
        </w:trPr>
        <w:tc>
          <w:tcPr>
            <w:tcW w:w="182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Accrual for excise tax associated</w:t>
            </w:r>
          </w:p>
        </w:tc>
        <w:tc>
          <w:tcPr>
            <w:tcW w:w="102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0"/>
                <w:szCs w:val="10"/>
                <w:color w:val="auto"/>
              </w:rPr>
            </w:pPr>
          </w:p>
        </w:tc>
        <w:tc>
          <w:tcPr>
            <w:tcW w:w="460" w:type="dxa"/>
            <w:vAlign w:val="bottom"/>
            <w:vMerge w:val="restart"/>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82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60" w:type="dxa"/>
            <w:vAlign w:val="bottom"/>
          </w:tcPr>
          <w:p>
            <w:pPr>
              <w:spacing w:after="0"/>
              <w:rPr>
                <w:sz w:val="10"/>
                <w:szCs w:val="10"/>
                <w:color w:val="auto"/>
              </w:rPr>
            </w:pPr>
          </w:p>
        </w:tc>
        <w:tc>
          <w:tcPr>
            <w:tcW w:w="7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0" w:type="dxa"/>
            <w:vAlign w:val="bottom"/>
          </w:tcPr>
          <w:p>
            <w:pPr>
              <w:spacing w:after="0"/>
              <w:rPr>
                <w:sz w:val="1"/>
                <w:szCs w:val="1"/>
                <w:color w:val="auto"/>
              </w:rPr>
            </w:pPr>
          </w:p>
        </w:tc>
      </w:tr>
      <w:tr>
        <w:trPr>
          <w:trHeight w:val="97"/>
        </w:trPr>
        <w:tc>
          <w:tcPr>
            <w:tcW w:w="18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with stock repurchases</w:t>
            </w:r>
          </w:p>
        </w:tc>
        <w:tc>
          <w:tcPr>
            <w:tcW w:w="10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82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820" w:type="dxa"/>
            <w:vAlign w:val="bottom"/>
            <w:tcBorders>
              <w:right w:val="single" w:sz="8" w:color="CFF0FC"/>
            </w:tcBorders>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Distributions to non-controlling</w:t>
            </w:r>
          </w:p>
        </w:tc>
        <w:tc>
          <w:tcPr>
            <w:tcW w:w="1020" w:type="dxa"/>
            <w:vAlign w:val="bottom"/>
            <w:tcBorders>
              <w:right w:val="single" w:sz="8" w:color="CFF0FC"/>
            </w:tcBorders>
            <w:vMerge w:val="restart"/>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left w:val="single" w:sz="8" w:color="CFF0FC"/>
            </w:tcBorders>
            <w:shd w:val="clear" w:color="auto" w:fill="CFF0FC"/>
          </w:tcPr>
          <w:p>
            <w:pPr>
              <w:spacing w:after="0"/>
              <w:rPr>
                <w:sz w:val="10"/>
                <w:szCs w:val="10"/>
                <w:color w:val="auto"/>
              </w:rPr>
            </w:pPr>
          </w:p>
        </w:tc>
        <w:tc>
          <w:tcPr>
            <w:tcW w:w="460" w:type="dxa"/>
            <w:vAlign w:val="bottom"/>
            <w:tcBorders>
              <w:right w:val="single" w:sz="8" w:color="CFF0FC"/>
            </w:tcBorders>
            <w:vMerge w:val="restart"/>
            <w:shd w:val="clear" w:color="auto" w:fill="CFF0FC"/>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right w:val="single" w:sz="8" w:color="CFF0FC"/>
            </w:tcBorders>
            <w:vMerge w:val="restart"/>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tcBorders>
              <w:right w:val="single" w:sz="8" w:color="CFF0FC"/>
            </w:tcBorders>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0"/>
                <w:szCs w:val="10"/>
                <w:color w:val="auto"/>
              </w:rPr>
            </w:pPr>
          </w:p>
        </w:tc>
        <w:tc>
          <w:tcPr>
            <w:tcW w:w="820" w:type="dxa"/>
            <w:vAlign w:val="bottom"/>
            <w:tcBorders>
              <w:right w:val="single" w:sz="8" w:color="CFF0FC"/>
            </w:tcBorders>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2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0" w:type="dxa"/>
            <w:vAlign w:val="bottom"/>
          </w:tcPr>
          <w:p>
            <w:pPr>
              <w:spacing w:after="0"/>
              <w:rPr>
                <w:sz w:val="1"/>
                <w:szCs w:val="1"/>
                <w:color w:val="auto"/>
              </w:rPr>
            </w:pPr>
          </w:p>
        </w:tc>
      </w:tr>
      <w:tr>
        <w:trPr>
          <w:trHeight w:val="133"/>
        </w:trPr>
        <w:tc>
          <w:tcPr>
            <w:tcW w:w="1820" w:type="dxa"/>
            <w:vAlign w:val="bottom"/>
            <w:tcBorders>
              <w:bottom w:val="single" w:sz="8" w:color="CFF0FC"/>
              <w:right w:val="single" w:sz="8" w:color="CFF0FC"/>
            </w:tcBorders>
            <w:shd w:val="clear" w:color="auto" w:fill="CFF0FC"/>
          </w:tcPr>
          <w:p>
            <w:pPr>
              <w:ind w:left="40"/>
              <w:spacing w:after="0" w:line="133" w:lineRule="exact"/>
              <w:rPr>
                <w:sz w:val="20"/>
                <w:szCs w:val="20"/>
                <w:color w:val="auto"/>
              </w:rPr>
            </w:pPr>
            <w:r>
              <w:rPr>
                <w:rFonts w:ascii="Times New Roman" w:cs="Times New Roman" w:eastAsia="Times New Roman" w:hAnsi="Times New Roman"/>
                <w:sz w:val="13"/>
                <w:szCs w:val="13"/>
                <w:color w:val="auto"/>
              </w:rPr>
              <w:t>interests, net</w:t>
            </w:r>
          </w:p>
        </w:tc>
        <w:tc>
          <w:tcPr>
            <w:tcW w:w="102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580" w:type="dxa"/>
            <w:vAlign w:val="bottom"/>
            <w:tcBorders>
              <w:left w:val="single" w:sz="8" w:color="CFF0FC"/>
              <w:bottom w:val="single" w:sz="8" w:color="CFF0FC"/>
            </w:tcBorders>
            <w:shd w:val="clear" w:color="auto" w:fill="CFF0FC"/>
          </w:tcPr>
          <w:p>
            <w:pPr>
              <w:spacing w:after="0"/>
              <w:rPr>
                <w:sz w:val="11"/>
                <w:szCs w:val="11"/>
                <w:color w:val="auto"/>
              </w:rPr>
            </w:pPr>
          </w:p>
        </w:tc>
        <w:tc>
          <w:tcPr>
            <w:tcW w:w="46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102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right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right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vMerge w:val="continue"/>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vMerge w:val="continue"/>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Dividends declared</w:t>
            </w:r>
          </w:p>
        </w:tc>
        <w:tc>
          <w:tcPr>
            <w:tcW w:w="102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1"/>
                <w:szCs w:val="11"/>
                <w:color w:val="auto"/>
              </w:rPr>
            </w:pPr>
          </w:p>
        </w:tc>
        <w:tc>
          <w:tcPr>
            <w:tcW w:w="46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1"/>
                <w:szCs w:val="11"/>
                <w:color w:val="auto"/>
              </w:rPr>
            </w:pP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1820" w:type="dxa"/>
            <w:vAlign w:val="bottom"/>
            <w:tcBorders>
              <w:bottom w:val="single" w:sz="8" w:color="CFF0FC"/>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Dividends paid per share $0.04</w:t>
            </w:r>
          </w:p>
        </w:tc>
        <w:tc>
          <w:tcPr>
            <w:tcW w:w="1020" w:type="dxa"/>
            <w:vAlign w:val="bottom"/>
            <w:tcBorders>
              <w:bottom w:val="single" w:sz="8" w:color="auto"/>
              <w:right w:val="single" w:sz="8" w:color="CFF0FC"/>
            </w:tcBorders>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left w:val="single" w:sz="8" w:color="CFF0FC"/>
              <w:bottom w:val="single" w:sz="8" w:color="auto"/>
            </w:tcBorders>
            <w:shd w:val="clear" w:color="auto" w:fill="CFF0FC"/>
          </w:tcPr>
          <w:p>
            <w:pPr>
              <w:spacing w:after="0"/>
              <w:rPr>
                <w:sz w:val="11"/>
                <w:szCs w:val="11"/>
                <w:color w:val="auto"/>
              </w:rPr>
            </w:pPr>
          </w:p>
        </w:tc>
        <w:tc>
          <w:tcPr>
            <w:tcW w:w="460" w:type="dxa"/>
            <w:vAlign w:val="bottom"/>
            <w:tcBorders>
              <w:bottom w:val="single" w:sz="8" w:color="auto"/>
              <w:right w:val="single" w:sz="8" w:color="CFF0FC"/>
            </w:tcBorders>
            <w:shd w:val="clear" w:color="auto" w:fill="CFF0FC"/>
          </w:tcPr>
          <w:p>
            <w:pPr>
              <w:jc w:val="right"/>
              <w:ind w:right="2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right w:val="single" w:sz="8" w:color="CFF0FC"/>
            </w:tcBorders>
            <w:shd w:val="clear" w:color="auto" w:fill="CFF0FC"/>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right w:val="single" w:sz="8" w:color="CFF0FC"/>
            </w:tcBorders>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auto"/>
              <w:right w:val="single" w:sz="8" w:color="CFF0FC"/>
            </w:tcBorders>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right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(3,868)</w:t>
            </w:r>
          </w:p>
        </w:tc>
        <w:tc>
          <w:tcPr>
            <w:tcW w:w="1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(3,868)</w:t>
            </w:r>
          </w:p>
        </w:tc>
        <w:tc>
          <w:tcPr>
            <w:tcW w:w="0" w:type="dxa"/>
            <w:vAlign w:val="bottom"/>
          </w:tcPr>
          <w:p>
            <w:pPr>
              <w:spacing w:after="0"/>
              <w:rPr>
                <w:sz w:val="1"/>
                <w:szCs w:val="1"/>
                <w:color w:val="auto"/>
              </w:rPr>
            </w:pPr>
          </w:p>
        </w:tc>
      </w:tr>
      <w:tr>
        <w:trPr>
          <w:trHeight w:val="129"/>
        </w:trPr>
        <w:tc>
          <w:tcPr>
            <w:tcW w:w="18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1020" w:type="dxa"/>
            <w:vAlign w:val="bottom"/>
          </w:tcPr>
          <w:p>
            <w:pPr>
              <w:jc w:val="right"/>
              <w:ind w:right="197"/>
              <w:spacing w:after="0" w:line="129" w:lineRule="exact"/>
              <w:rPr>
                <w:sz w:val="20"/>
                <w:szCs w:val="20"/>
                <w:color w:val="auto"/>
              </w:rPr>
            </w:pPr>
            <w:r>
              <w:rPr>
                <w:rFonts w:ascii="Times New Roman" w:cs="Times New Roman" w:eastAsia="Times New Roman" w:hAnsi="Times New Roman"/>
                <w:sz w:val="13"/>
                <w:szCs w:val="13"/>
                <w:color w:val="auto"/>
              </w:rPr>
              <w:t>75,816</w:t>
            </w:r>
          </w:p>
        </w:tc>
        <w:tc>
          <w:tcPr>
            <w:tcW w:w="580" w:type="dxa"/>
            <w:vAlign w:val="bottom"/>
          </w:tcPr>
          <w:p>
            <w:pPr>
              <w:jc w:val="right"/>
              <w:ind w:right="461"/>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ind w:right="257"/>
              <w:spacing w:after="0" w:line="129" w:lineRule="exact"/>
              <w:rPr>
                <w:sz w:val="20"/>
                <w:szCs w:val="20"/>
                <w:color w:val="auto"/>
              </w:rPr>
            </w:pPr>
            <w:r>
              <w:rPr>
                <w:rFonts w:ascii="Times New Roman" w:cs="Times New Roman" w:eastAsia="Times New Roman" w:hAnsi="Times New Roman"/>
                <w:sz w:val="13"/>
                <w:szCs w:val="13"/>
                <w:color w:val="auto"/>
                <w:w w:val="91"/>
              </w:rPr>
              <w:t>76</w:t>
            </w:r>
          </w:p>
        </w:tc>
        <w:tc>
          <w:tcPr>
            <w:tcW w:w="1020" w:type="dxa"/>
            <w:vAlign w:val="bottom"/>
          </w:tcPr>
          <w:p>
            <w:pPr>
              <w:jc w:val="right"/>
              <w:ind w:right="197"/>
              <w:spacing w:after="0" w:line="129" w:lineRule="exact"/>
              <w:rPr>
                <w:sz w:val="20"/>
                <w:szCs w:val="20"/>
                <w:color w:val="auto"/>
              </w:rPr>
            </w:pPr>
            <w:r>
              <w:rPr>
                <w:rFonts w:ascii="Times New Roman" w:cs="Times New Roman" w:eastAsia="Times New Roman" w:hAnsi="Times New Roman"/>
                <w:sz w:val="13"/>
                <w:szCs w:val="13"/>
                <w:color w:val="auto"/>
              </w:rPr>
              <w:t>34,622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Pr>
          <w:p>
            <w:pPr>
              <w:spacing w:after="0"/>
              <w:rPr>
                <w:sz w:val="11"/>
                <w:szCs w:val="11"/>
                <w:color w:val="auto"/>
              </w:rPr>
            </w:pPr>
          </w:p>
        </w:tc>
        <w:tc>
          <w:tcPr>
            <w:tcW w:w="820" w:type="dxa"/>
            <w:vAlign w:val="bottom"/>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rPr>
              <w:t>35</w:t>
            </w:r>
          </w:p>
        </w:tc>
        <w:tc>
          <w:tcPr>
            <w:tcW w:w="860" w:type="dxa"/>
            <w:vAlign w:val="bottom"/>
            <w:gridSpan w:val="2"/>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9,698</w:t>
            </w:r>
          </w:p>
        </w:tc>
        <w:tc>
          <w:tcPr>
            <w:tcW w:w="200" w:type="dxa"/>
            <w:vAlign w:val="bottom"/>
            <w:gridSpan w:val="2"/>
          </w:tcPr>
          <w:p>
            <w:pPr>
              <w:jc w:val="right"/>
              <w:ind w:right="34"/>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(91,618)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635,625</w:t>
            </w:r>
          </w:p>
        </w:tc>
        <w:tc>
          <w:tcPr>
            <w:tcW w:w="1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(209,790)</w:t>
            </w: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1"/>
                <w:szCs w:val="11"/>
                <w:color w:val="auto"/>
              </w:rPr>
            </w:pPr>
          </w:p>
        </w:tc>
        <w:tc>
          <w:tcPr>
            <w:tcW w:w="72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39,927</w:t>
            </w:r>
          </w:p>
        </w:tc>
        <w:tc>
          <w:tcPr>
            <w:tcW w:w="2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374,255</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-3608070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-3590925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-3608070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-3590925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-3608070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-3590925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-3608070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-3590925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-3608070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-3590925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-2117090</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-2099310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-2117090</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-2099310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-2117090</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-2099310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-2117090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-2099310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-2117090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-2099310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-119380</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-119380</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-119380</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-119380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-119380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110"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3"/>
          <w:szCs w:val="13"/>
          <w:b w:val="1"/>
          <w:bCs w:val="1"/>
          <w:color w:val="auto"/>
        </w:rPr>
        <w:t>For the Three Months</w:t>
      </w:r>
    </w:p>
    <w:p>
      <w:pPr>
        <w:spacing w:after="0" w:line="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3"/>
          <w:szCs w:val="13"/>
          <w:b w:val="1"/>
          <w:bCs w:val="1"/>
          <w:color w:val="auto"/>
        </w:rPr>
        <w:t>Ended March 31,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0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2760" w:type="dxa"/>
            <w:vAlign w:val="bottom"/>
            <w:gridSpan w:val="2"/>
          </w:tcPr>
          <w:p>
            <w:pPr>
              <w:jc w:val="right"/>
              <w:ind w:right="902"/>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4,696</w:t>
            </w:r>
          </w:p>
        </w:tc>
        <w:tc>
          <w:tcPr>
            <w:tcW w:w="140" w:type="dxa"/>
            <w:vAlign w:val="bottom"/>
          </w:tcPr>
          <w:p>
            <w:pPr>
              <w:spacing w:after="0"/>
              <w:rPr>
                <w:sz w:val="11"/>
                <w:szCs w:val="11"/>
                <w:color w:val="auto"/>
              </w:rPr>
            </w:pPr>
          </w:p>
        </w:tc>
        <w:tc>
          <w:tcPr>
            <w:tcW w:w="440" w:type="dxa"/>
            <w:vAlign w:val="bottom"/>
            <w:gridSpan w:val="2"/>
          </w:tcPr>
          <w:p>
            <w:pPr>
              <w:jc w:val="right"/>
              <w:ind w:right="2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5,243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040" w:type="dxa"/>
            <w:vAlign w:val="bottom"/>
            <w:shd w:val="clear" w:color="auto" w:fill="CFF0FC"/>
          </w:tcPr>
          <w:p>
            <w:pPr>
              <w:ind w:left="300"/>
              <w:spacing w:after="0" w:line="117" w:lineRule="exact"/>
              <w:rPr>
                <w:sz w:val="20"/>
                <w:szCs w:val="20"/>
                <w:color w:val="auto"/>
              </w:rPr>
            </w:pPr>
            <w:r>
              <w:rPr>
                <w:rFonts w:ascii="Times New Roman" w:cs="Times New Roman" w:eastAsia="Times New Roman" w:hAnsi="Times New Roman"/>
                <w:sz w:val="13"/>
                <w:szCs w:val="13"/>
                <w:color w:val="auto"/>
              </w:rPr>
              <w:t>Adjustments to reconcile net income to net cash (used in) provided by operating</w:t>
            </w:r>
          </w:p>
        </w:tc>
        <w:tc>
          <w:tcPr>
            <w:tcW w:w="17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activities:</w:t>
            </w:r>
          </w:p>
        </w:tc>
        <w:tc>
          <w:tcPr>
            <w:tcW w:w="17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0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6,565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Depreciation expense</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372</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Amortization of intangibles</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5,318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6,437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Amortization of debt issuance costs and debt discount</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368</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Loss/(Income) from unconsolidated subsidiaries</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(272)</w:t>
            </w: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Deferred tax expense</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1,338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Remeasurement of contra-revenue put option</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Amortization of contingent payment to customers</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Remeasurement of contingent consideration</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Change in operating assets and liabilities:</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10,032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(2,673)</w:t>
            </w: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Due from related parties</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(5,068)</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(5,060)</w:t>
            </w:r>
          </w:p>
        </w:tc>
        <w:tc>
          <w:tcPr>
            <w:tcW w:w="0" w:type="dxa"/>
            <w:vAlign w:val="bottom"/>
          </w:tcPr>
          <w:p>
            <w:pPr>
              <w:spacing w:after="0"/>
              <w:rPr>
                <w:sz w:val="1"/>
                <w:szCs w:val="1"/>
                <w:color w:val="auto"/>
              </w:rPr>
            </w:pPr>
          </w:p>
        </w:tc>
      </w:tr>
      <w:tr>
        <w:trPr>
          <w:trHeight w:val="135"/>
        </w:trPr>
        <w:tc>
          <w:tcPr>
            <w:tcW w:w="604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Prepaid expenses and other assets</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(6,678)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Right-of-use assets</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686</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Accounts payable and accrued expenses</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(2,432)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(881)</w:t>
            </w: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Accrued compensation and benefits</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(15,403)</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(417)</w:t>
            </w:r>
          </w:p>
        </w:tc>
        <w:tc>
          <w:tcPr>
            <w:tcW w:w="0" w:type="dxa"/>
            <w:vAlign w:val="bottom"/>
          </w:tcPr>
          <w:p>
            <w:pPr>
              <w:spacing w:after="0"/>
              <w:rPr>
                <w:sz w:val="1"/>
                <w:szCs w:val="1"/>
                <w:color w:val="auto"/>
              </w:rPr>
            </w:pPr>
          </w:p>
        </w:tc>
      </w:tr>
      <w:tr>
        <w:trPr>
          <w:trHeight w:val="135"/>
        </w:trPr>
        <w:tc>
          <w:tcPr>
            <w:tcW w:w="604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Due to related parties</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(2,952)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(1,658)</w:t>
            </w: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354</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(556)</w:t>
            </w:r>
          </w:p>
        </w:tc>
        <w:tc>
          <w:tcPr>
            <w:tcW w:w="0" w:type="dxa"/>
            <w:vAlign w:val="bottom"/>
          </w:tcPr>
          <w:p>
            <w:pPr>
              <w:spacing w:after="0"/>
              <w:rPr>
                <w:sz w:val="1"/>
                <w:szCs w:val="1"/>
                <w:color w:val="auto"/>
              </w:rPr>
            </w:pPr>
          </w:p>
        </w:tc>
      </w:tr>
      <w:tr>
        <w:trPr>
          <w:trHeight w:val="135"/>
        </w:trPr>
        <w:tc>
          <w:tcPr>
            <w:tcW w:w="604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Contingent consideration</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(2,214)</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Deferred revenues</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550</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Lease liabilities</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(1,549)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40" w:type="dxa"/>
            <w:vAlign w:val="bottom"/>
            <w:shd w:val="clear" w:color="auto" w:fill="CFF0FC"/>
          </w:tcPr>
          <w:p>
            <w:pPr>
              <w:ind w:left="580"/>
              <w:spacing w:after="0" w:line="129" w:lineRule="exact"/>
              <w:rPr>
                <w:sz w:val="20"/>
                <w:szCs w:val="20"/>
                <w:color w:val="auto"/>
              </w:rPr>
            </w:pPr>
            <w:r>
              <w:rPr>
                <w:rFonts w:ascii="Times New Roman" w:cs="Times New Roman" w:eastAsia="Times New Roman" w:hAnsi="Times New Roman"/>
                <w:sz w:val="13"/>
                <w:szCs w:val="13"/>
                <w:color w:val="auto"/>
              </w:rPr>
              <w:t>Net cash (used in) provided by operating activities</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(4,729)</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10,959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USED IN INVESTING ACTIVITIES</w:t>
            </w:r>
          </w:p>
        </w:tc>
        <w:tc>
          <w:tcPr>
            <w:tcW w:w="17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Funding of notes receivable</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35"/>
        </w:trPr>
        <w:tc>
          <w:tcPr>
            <w:tcW w:w="60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Proceeds from notes receivable</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Investments in unconsolidated subsidiaries</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60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Distributions from investments in unconsolidated subsidiaries</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Software capitalization</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0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(1,276)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(258)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40" w:type="dxa"/>
            <w:vAlign w:val="bottom"/>
            <w:shd w:val="clear" w:color="auto" w:fill="CFF0FC"/>
          </w:tcPr>
          <w:p>
            <w:pPr>
              <w:ind w:left="58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(1,268)</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(260)</w:t>
            </w:r>
          </w:p>
        </w:tc>
        <w:tc>
          <w:tcPr>
            <w:tcW w:w="0" w:type="dxa"/>
            <w:vAlign w:val="bottom"/>
          </w:tcPr>
          <w:p>
            <w:pPr>
              <w:spacing w:after="0"/>
              <w:rPr>
                <w:sz w:val="1"/>
                <w:szCs w:val="1"/>
                <w:color w:val="auto"/>
              </w:rPr>
            </w:pPr>
          </w:p>
        </w:tc>
      </w:tr>
      <w:tr>
        <w:trPr>
          <w:trHeight w:val="135"/>
        </w:trPr>
        <w:tc>
          <w:tcPr>
            <w:tcW w:w="60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USED IN FINANCING ACTIVITIES</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Borrowings on debt obligations</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37,000</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47,500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Repayments on debt obligations</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(23,656)</w:t>
            </w: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Repurchase of Class A common stock</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(14,971)</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(30,038)</w:t>
            </w:r>
          </w:p>
        </w:tc>
        <w:tc>
          <w:tcPr>
            <w:tcW w:w="0" w:type="dxa"/>
            <w:vAlign w:val="bottom"/>
          </w:tcPr>
          <w:p>
            <w:pPr>
              <w:spacing w:after="0"/>
              <w:rPr>
                <w:sz w:val="1"/>
                <w:szCs w:val="1"/>
                <w:color w:val="auto"/>
              </w:rPr>
            </w:pPr>
          </w:p>
        </w:tc>
      </w:tr>
      <w:tr>
        <w:trPr>
          <w:trHeight w:val="135"/>
        </w:trPr>
        <w:tc>
          <w:tcPr>
            <w:tcW w:w="60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Repurchase of Class A common stock for employee tax withholding</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(4,693)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(2,207)</w:t>
            </w: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Payment of contingent consideration</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(214)</w:t>
            </w:r>
          </w:p>
        </w:tc>
        <w:tc>
          <w:tcPr>
            <w:tcW w:w="0" w:type="dxa"/>
            <w:vAlign w:val="bottom"/>
          </w:tcPr>
          <w:p>
            <w:pPr>
              <w:spacing w:after="0"/>
              <w:rPr>
                <w:sz w:val="1"/>
                <w:szCs w:val="1"/>
                <w:color w:val="auto"/>
              </w:rPr>
            </w:pPr>
          </w:p>
        </w:tc>
      </w:tr>
      <w:tr>
        <w:trPr>
          <w:trHeight w:val="135"/>
        </w:trPr>
        <w:tc>
          <w:tcPr>
            <w:tcW w:w="60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Dividends paid</w:t>
            </w:r>
          </w:p>
        </w:tc>
        <w:tc>
          <w:tcPr>
            <w:tcW w:w="1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(3,868)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(3,774)</w:t>
            </w:r>
          </w:p>
        </w:tc>
        <w:tc>
          <w:tcPr>
            <w:tcW w:w="0" w:type="dxa"/>
            <w:vAlign w:val="bottom"/>
          </w:tcPr>
          <w:p>
            <w:pPr>
              <w:spacing w:after="0"/>
              <w:rPr>
                <w:sz w:val="1"/>
                <w:szCs w:val="1"/>
                <w:color w:val="auto"/>
              </w:rPr>
            </w:pPr>
          </w:p>
        </w:tc>
      </w:tr>
      <w:tr>
        <w:trPr>
          <w:trHeight w:val="135"/>
        </w:trPr>
        <w:tc>
          <w:tcPr>
            <w:tcW w:w="604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Distributions to non-controlling interests</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(336)</w:t>
            </w:r>
          </w:p>
        </w:tc>
        <w:tc>
          <w:tcPr>
            <w:tcW w:w="0" w:type="dxa"/>
            <w:vAlign w:val="bottom"/>
          </w:tcPr>
          <w:p>
            <w:pPr>
              <w:spacing w:after="0"/>
              <w:rPr>
                <w:sz w:val="1"/>
                <w:szCs w:val="1"/>
                <w:color w:val="auto"/>
              </w:rPr>
            </w:pPr>
          </w:p>
        </w:tc>
      </w:tr>
      <w:tr>
        <w:trPr>
          <w:trHeight w:val="128"/>
        </w:trPr>
        <w:tc>
          <w:tcPr>
            <w:tcW w:w="6040" w:type="dxa"/>
            <w:vAlign w:val="bottom"/>
          </w:tcPr>
          <w:p>
            <w:pPr>
              <w:ind w:left="580"/>
              <w:spacing w:after="0" w:line="129"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1740" w:type="dxa"/>
            <w:vAlign w:val="bottom"/>
          </w:tcPr>
          <w:p>
            <w:pPr>
              <w:spacing w:after="0"/>
              <w:rPr>
                <w:sz w:val="11"/>
                <w:szCs w:val="11"/>
                <w:color w:val="auto"/>
              </w:rPr>
            </w:pPr>
          </w:p>
        </w:tc>
        <w:tc>
          <w:tcPr>
            <w:tcW w:w="10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13,293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(12,725)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040" w:type="dxa"/>
            <w:vAlign w:val="bottom"/>
            <w:shd w:val="clear" w:color="auto" w:fill="CFF0FC"/>
          </w:tcPr>
          <w:p>
            <w:pPr>
              <w:ind w:left="580"/>
              <w:spacing w:after="0" w:line="129" w:lineRule="exact"/>
              <w:rPr>
                <w:sz w:val="20"/>
                <w:szCs w:val="20"/>
                <w:color w:val="auto"/>
              </w:rPr>
            </w:pPr>
            <w:r>
              <w:rPr>
                <w:rFonts w:ascii="Times New Roman" w:cs="Times New Roman" w:eastAsia="Times New Roman" w:hAnsi="Times New Roman"/>
                <w:sz w:val="13"/>
                <w:szCs w:val="13"/>
                <w:color w:val="auto"/>
              </w:rPr>
              <w:t>Net change in cash, cash equivalents and restricted cash</w:t>
            </w:r>
          </w:p>
        </w:tc>
        <w:tc>
          <w:tcPr>
            <w:tcW w:w="17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7,296</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(2,026)</w:t>
            </w:r>
          </w:p>
        </w:tc>
        <w:tc>
          <w:tcPr>
            <w:tcW w:w="0" w:type="dxa"/>
            <w:vAlign w:val="bottom"/>
          </w:tcPr>
          <w:p>
            <w:pPr>
              <w:spacing w:after="0"/>
              <w:rPr>
                <w:sz w:val="1"/>
                <w:szCs w:val="1"/>
                <w:color w:val="auto"/>
              </w:rPr>
            </w:pPr>
          </w:p>
        </w:tc>
      </w:tr>
      <w:tr>
        <w:trPr>
          <w:trHeight w:val="115"/>
        </w:trPr>
        <w:tc>
          <w:tcPr>
            <w:tcW w:w="604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beginning</w:t>
            </w:r>
          </w:p>
        </w:tc>
        <w:tc>
          <w:tcPr>
            <w:tcW w:w="1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68,115</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32,057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04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of period</w:t>
            </w:r>
          </w:p>
        </w:tc>
        <w:tc>
          <w:tcPr>
            <w:tcW w:w="174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604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CASH, CASH EQUIVALENTS AND RESTRICTED CASH, end of</w:t>
            </w:r>
          </w:p>
        </w:tc>
        <w:tc>
          <w:tcPr>
            <w:tcW w:w="1740" w:type="dxa"/>
            <w:vAlign w:val="bottom"/>
            <w:shd w:val="clear" w:color="auto" w:fill="CFF0FC"/>
          </w:tcPr>
          <w:p>
            <w:pPr>
              <w:spacing w:after="0"/>
              <w:rPr>
                <w:sz w:val="9"/>
                <w:szCs w:val="9"/>
                <w:color w:val="auto"/>
              </w:rPr>
            </w:pPr>
          </w:p>
        </w:tc>
        <w:tc>
          <w:tcPr>
            <w:tcW w:w="1020" w:type="dxa"/>
            <w:vAlign w:val="bottom"/>
            <w:vMerge w:val="restart"/>
            <w:shd w:val="clear" w:color="auto" w:fill="CFF0FC"/>
          </w:tcPr>
          <w:p>
            <w:pPr>
              <w:jc w:val="right"/>
              <w:ind w:right="90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75,411</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vMerge w:val="restart"/>
            <w:shd w:val="clear" w:color="auto" w:fill="CFF0FC"/>
          </w:tcPr>
          <w:p>
            <w:pPr>
              <w:jc w:val="right"/>
              <w:ind w:right="228"/>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30,031</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040" w:type="dxa"/>
            <w:vAlign w:val="bottom"/>
            <w:tcBorders>
              <w:bottom w:val="single" w:sz="8" w:color="CFF0FC"/>
            </w:tcBorders>
            <w:shd w:val="clear" w:color="auto" w:fill="CFF0FC"/>
          </w:tcPr>
          <w:p>
            <w:pPr>
              <w:ind w:left="100"/>
              <w:spacing w:after="0" w:line="109" w:lineRule="exact"/>
              <w:rPr>
                <w:sz w:val="20"/>
                <w:szCs w:val="20"/>
                <w:color w:val="auto"/>
              </w:rPr>
            </w:pPr>
            <w:r>
              <w:rPr>
                <w:rFonts w:ascii="Times New Roman" w:cs="Times New Roman" w:eastAsia="Times New Roman" w:hAnsi="Times New Roman"/>
                <w:sz w:val="12"/>
                <w:szCs w:val="12"/>
                <w:b w:val="1"/>
                <w:bCs w:val="1"/>
                <w:color w:val="auto"/>
              </w:rPr>
              <w:t>period</w:t>
            </w:r>
          </w:p>
        </w:tc>
        <w:tc>
          <w:tcPr>
            <w:tcW w:w="174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auto"/>
            </w:tcBorders>
            <w:vMerge w:val="continue"/>
            <w:shd w:val="clear" w:color="auto" w:fill="CFF0FC"/>
          </w:tcPr>
          <w:p>
            <w:pPr>
              <w:spacing w:after="0"/>
              <w:rPr>
                <w:sz w:val="13"/>
                <w:szCs w:val="13"/>
                <w:color w:val="auto"/>
              </w:rPr>
            </w:pPr>
          </w:p>
        </w:tc>
        <w:tc>
          <w:tcPr>
            <w:tcW w:w="52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vMerge w:val="continue"/>
            <w:shd w:val="clear" w:color="auto" w:fill="CFF0FC"/>
          </w:tcPr>
          <w:p>
            <w:pPr>
              <w:spacing w:after="0"/>
              <w:rPr>
                <w:sz w:val="13"/>
                <w:szCs w:val="13"/>
                <w:color w:val="auto"/>
              </w:rPr>
            </w:pPr>
          </w:p>
        </w:tc>
        <w:tc>
          <w:tcPr>
            <w:tcW w:w="12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-543560</wp:posOffset>
            </wp:positionV>
            <wp:extent cx="93980" cy="128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-543560</wp:posOffset>
            </wp:positionV>
            <wp:extent cx="102870" cy="128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2827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05"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3"/>
          <w:szCs w:val="13"/>
          <w:b w:val="1"/>
          <w:bCs w:val="1"/>
          <w:color w:val="auto"/>
        </w:rPr>
        <w:t>For the Three Months</w:t>
      </w:r>
    </w:p>
    <w:p>
      <w:pPr>
        <w:spacing w:after="0" w:line="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3"/>
          <w:szCs w:val="13"/>
          <w:b w:val="1"/>
          <w:bCs w:val="1"/>
          <w:color w:val="auto"/>
        </w:rPr>
        <w:t>Ended March 31,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2"/>
                <w:szCs w:val="12"/>
                <w:color w:val="auto"/>
              </w:rPr>
            </w:pPr>
          </w:p>
        </w:tc>
      </w:tr>
      <w:tr>
        <w:trPr>
          <w:trHeight w:val="128"/>
        </w:trPr>
        <w:tc>
          <w:tcPr>
            <w:tcW w:w="77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77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1040" w:type="dxa"/>
            <w:vAlign w:val="bottom"/>
            <w:gridSpan w:val="2"/>
          </w:tcPr>
          <w:p>
            <w:pPr>
              <w:jc w:val="right"/>
              <w:ind w:right="917"/>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6,696</w:t>
            </w:r>
          </w:p>
        </w:tc>
        <w:tc>
          <w:tcPr>
            <w:tcW w:w="5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5,406</w:t>
            </w:r>
          </w:p>
        </w:tc>
        <w:tc>
          <w:tcPr>
            <w:tcW w:w="120" w:type="dxa"/>
            <w:vAlign w:val="bottom"/>
          </w:tcPr>
          <w:p>
            <w:pPr>
              <w:spacing w:after="0"/>
              <w:rPr>
                <w:sz w:val="11"/>
                <w:szCs w:val="11"/>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5"/>
        </w:trPr>
        <w:tc>
          <w:tcPr>
            <w:tcW w:w="7780" w:type="dxa"/>
            <w:vAlign w:val="bottom"/>
            <w:shd w:val="clear" w:color="auto" w:fill="CFF0FC"/>
          </w:tcPr>
          <w:p>
            <w:pPr>
              <w:ind w:left="140"/>
              <w:spacing w:after="0" w:line="116" w:lineRule="exact"/>
              <w:rPr>
                <w:sz w:val="20"/>
                <w:szCs w:val="20"/>
                <w:color w:val="auto"/>
              </w:rPr>
            </w:pPr>
            <w:r>
              <w:rPr>
                <w:rFonts w:ascii="Times New Roman" w:cs="Times New Roman" w:eastAsia="Times New Roman" w:hAnsi="Times New Roman"/>
                <w:sz w:val="13"/>
                <w:szCs w:val="13"/>
                <w:color w:val="auto"/>
              </w:rPr>
              <w:t>Net cash paid for income taxes</w:t>
            </w:r>
          </w:p>
        </w:tc>
        <w:tc>
          <w:tcPr>
            <w:tcW w:w="1040" w:type="dxa"/>
            <w:vAlign w:val="bottom"/>
            <w:gridSpan w:val="2"/>
            <w:shd w:val="clear" w:color="auto" w:fill="CFF0FC"/>
          </w:tcPr>
          <w:p>
            <w:pPr>
              <w:jc w:val="right"/>
              <w:ind w:right="917"/>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570</w:t>
            </w:r>
          </w:p>
        </w:tc>
        <w:tc>
          <w:tcPr>
            <w:tcW w:w="580" w:type="dxa"/>
            <w:vAlign w:val="bottom"/>
            <w:gridSpan w:val="2"/>
            <w:shd w:val="clear" w:color="auto" w:fill="CFF0FC"/>
          </w:tcPr>
          <w:p>
            <w:pPr>
              <w:jc w:val="right"/>
              <w:ind w:right="2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FF0FC"/>
          </w:tcPr>
          <w:p>
            <w:pPr>
              <w:spacing w:after="0"/>
              <w:rPr>
                <w:sz w:val="13"/>
                <w:szCs w:val="13"/>
                <w:color w:val="auto"/>
              </w:rPr>
            </w:pPr>
          </w:p>
        </w:tc>
      </w:tr>
      <w:tr>
        <w:trPr>
          <w:trHeight w:val="251"/>
        </w:trPr>
        <w:tc>
          <w:tcPr>
            <w:tcW w:w="7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20" w:type="dxa"/>
            <w:vAlign w:val="bottom"/>
            <w:tcBorders>
              <w:top w:val="single" w:sz="8" w:color="CFF0FC"/>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r>
      <w:tr>
        <w:trPr>
          <w:trHeight w:val="135"/>
        </w:trPr>
        <w:tc>
          <w:tcPr>
            <w:tcW w:w="778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Additions to right-of-use assets</w:t>
            </w:r>
          </w:p>
        </w:tc>
        <w:tc>
          <w:tcPr>
            <w:tcW w:w="1040" w:type="dxa"/>
            <w:vAlign w:val="bottom"/>
            <w:gridSpan w:val="2"/>
            <w:shd w:val="clear" w:color="auto" w:fill="CFF0FC"/>
          </w:tcPr>
          <w:p>
            <w:pPr>
              <w:jc w:val="right"/>
              <w:ind w:right="917"/>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4,395</w:t>
            </w:r>
          </w:p>
        </w:tc>
        <w:tc>
          <w:tcPr>
            <w:tcW w:w="580" w:type="dxa"/>
            <w:vAlign w:val="bottom"/>
            <w:gridSpan w:val="2"/>
            <w:shd w:val="clear" w:color="auto" w:fill="CFF0FC"/>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3,947</w:t>
            </w:r>
          </w:p>
        </w:tc>
        <w:tc>
          <w:tcPr>
            <w:tcW w:w="120" w:type="dxa"/>
            <w:vAlign w:val="bottom"/>
            <w:shd w:val="clear" w:color="auto" w:fill="CFF0FC"/>
          </w:tcPr>
          <w:p>
            <w:pPr>
              <w:spacing w:after="0"/>
              <w:rPr>
                <w:sz w:val="11"/>
                <w:szCs w:val="11"/>
                <w:color w:val="auto"/>
              </w:rPr>
            </w:pPr>
          </w:p>
        </w:tc>
      </w:tr>
      <w:tr>
        <w:trPr>
          <w:trHeight w:val="164"/>
        </w:trPr>
        <w:tc>
          <w:tcPr>
            <w:tcW w:w="7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Additions to lease liabilities</w:t>
            </w: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4,395</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3,947</w:t>
            </w:r>
          </w:p>
        </w:tc>
        <w:tc>
          <w:tcPr>
            <w:tcW w:w="120" w:type="dxa"/>
            <w:vAlign w:val="bottom"/>
          </w:tcPr>
          <w:p>
            <w:pPr>
              <w:spacing w:after="0"/>
              <w:rPr>
                <w:sz w:val="14"/>
                <w:szCs w:val="14"/>
                <w:color w:val="auto"/>
              </w:rPr>
            </w:pPr>
          </w:p>
        </w:tc>
      </w:tr>
      <w:tr>
        <w:trPr>
          <w:trHeight w:val="106"/>
        </w:trPr>
        <w:tc>
          <w:tcPr>
            <w:tcW w:w="7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5"/>
        </w:trPr>
        <w:tc>
          <w:tcPr>
            <w:tcW w:w="77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RECONCILIATION OF CASH, CASH EQUIVALENTS AND</w:t>
            </w:r>
          </w:p>
        </w:tc>
        <w:tc>
          <w:tcPr>
            <w:tcW w:w="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55"/>
        </w:trPr>
        <w:tc>
          <w:tcPr>
            <w:tcW w:w="7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35"/>
        </w:trPr>
        <w:tc>
          <w:tcPr>
            <w:tcW w:w="77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040" w:type="dxa"/>
            <w:vAlign w:val="bottom"/>
            <w:gridSpan w:val="2"/>
          </w:tcPr>
          <w:p>
            <w:pPr>
              <w:jc w:val="right"/>
              <w:ind w:right="917"/>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74,393</w:t>
            </w:r>
          </w:p>
        </w:tc>
        <w:tc>
          <w:tcPr>
            <w:tcW w:w="5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28,996</w:t>
            </w:r>
          </w:p>
        </w:tc>
        <w:tc>
          <w:tcPr>
            <w:tcW w:w="120" w:type="dxa"/>
            <w:vAlign w:val="bottom"/>
          </w:tcPr>
          <w:p>
            <w:pPr>
              <w:spacing w:after="0"/>
              <w:rPr>
                <w:sz w:val="11"/>
                <w:szCs w:val="11"/>
                <w:color w:val="auto"/>
              </w:rPr>
            </w:pPr>
          </w:p>
        </w:tc>
      </w:tr>
      <w:tr>
        <w:trPr>
          <w:trHeight w:val="135"/>
        </w:trPr>
        <w:tc>
          <w:tcPr>
            <w:tcW w:w="7780" w:type="dxa"/>
            <w:vAlign w:val="bottom"/>
            <w:tcBorders>
              <w:bottom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2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1,018</w:t>
            </w:r>
          </w:p>
        </w:tc>
        <w:tc>
          <w:tcPr>
            <w:tcW w:w="24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1,035</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778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1040" w:type="dxa"/>
            <w:vAlign w:val="bottom"/>
            <w:gridSpan w:val="2"/>
          </w:tcPr>
          <w:p>
            <w:pPr>
              <w:jc w:val="right"/>
              <w:ind w:right="917"/>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75,411</w:t>
            </w:r>
          </w:p>
        </w:tc>
        <w:tc>
          <w:tcPr>
            <w:tcW w:w="58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30,031</w:t>
            </w:r>
          </w:p>
        </w:tc>
        <w:tc>
          <w:tcPr>
            <w:tcW w:w="120" w:type="dxa"/>
            <w:vAlign w:val="bottom"/>
          </w:tcPr>
          <w:p>
            <w:pPr>
              <w:spacing w:after="0"/>
              <w:rPr>
                <w:sz w:val="11"/>
                <w:szCs w:val="11"/>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-916940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-899795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-899795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-119380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The offering and reorganization included a reverse stock split of P10 Holdings common stock on a 0.7-for-1 basis pursuant to which every outstanding share of common stock decreased to 0.7 shares.</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and Western Technology Investment Advisors LLC ("WTI").</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w:t>
      </w:r>
    </w:p>
    <w:p>
      <w:pPr>
        <w:spacing w:after="0" w:line="18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On December 1, 2017, the Company changed its name from P10 Industries, Inc. to P10 Holdings, Inc. We were founded as a Texas corporation in 1992 and reincorporated in Delaware in 2000. Our headquarters are in Dallas, Texas.</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October 5, 2017, we closed on the acquisition of RCP Advisors 2, LLC ("RCP 2") and entered into a purchase agreement to acquire RCP Advisors 3, LLC ("RCP 3", and collectively with RCP 2, "RCP") in January 2018. On January 3, 2018, we closed on the acquisition of RCP 3. RCP 2 and RCP 3 are registered investment advisors with the United States Securities and Exchange Commission.</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In 2022, Five Points established the Reynolda brand that specializes in direct equity funds. Five Points is a registered investment advisor with the United States Securities and Exchange Commission.</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17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On December 14, 2020, the Company completed the acquisition of 100% of the equity interest in ECG, and a noncontrolling interest in Enhanced Capital Partners, LLC (“ECP”, and collectively with ECG, “Enhanced”). Enhanced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17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June 2022, the Company formed P10 Advisors, a wholly-owned consolidated subsidiary, to manage investment opportunities that are sourced across the P10 platform but do not fit within an existing investment mandate.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As of March 31, 2025, no units have been exchanged into shares of P10 Class A common stock.</w:t>
      </w:r>
    </w:p>
    <w:p>
      <w:pPr>
        <w:spacing w:after="0" w:line="13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Board approved a program to repurchase shares of our Class A and Class B common stock. As of March 31, 2025, and December 31, 2024, the Board has approved $132.0 million and $92.0 million, respectively, for share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As of March 31, 2025, $103.5 million has been spent to buy back shares under this program and there is $28.5 million remaining for authorized repurchases under this program.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The results for the three months ended March 31, 2025 are not necessarily indicative of the results to be expected for the full year ended December 31,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 that could potentially be significant to the VIE. The primary beneficiary is required to consolidate the VIE for financial reporting purposes.</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6 for further information.</w:t>
      </w:r>
    </w:p>
    <w:p>
      <w:pPr>
        <w:spacing w:after="0" w:line="183"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The assets and liabilities of the consolidated VIEs are presented on a gross basis in the Consolidated Balance Sheets. See Note 6 for more information on both consolidated and unconsolidated VIEs.</w:t>
      </w:r>
    </w:p>
    <w:p>
      <w:pPr>
        <w:spacing w:after="0" w:line="1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to be cash equivalents. As of March 31, 2025, and December 31, 2024, cash equivalents include money market funds of $57.3 million and $41.3 million, respectively, which approximates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 worthiness in conjunction with balances on deposit to minimize risk. The Company from time to time may have amounts on deposit in excess of the insured limits.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Restricted cash as of March 31, 2025 and December 31, 2024 was primarily cash on deposit related to RCP's lease and cash on deposit from third parties related to pending tax credit projects. There are deposit liabilities associated with restricted cash related to the pending tax credit projects reported in other liabilities on the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Due from Related Parties</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Notes receivable is primarily related to contractual amounts owed from signed, secured promissory notes with BCP Partners Holdings, LP ("BCP") as well as certain employees. In addition to contractual amounts, borrowers are obligated to pay interest on outstanding amounts. Refer to Note 5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Expected Credit Losses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that accounts receivable, due from related parties, and notes receivable are fully collectible; based on actual historical losses, current conditions, and reasonable and supportable forecasts; accordingly, no allowances have been established as of March 31, 2025 and December 31, 2024. If accounts are subsequently determined to be uncollectible, they will be expensed in the period that determination is made.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March 31, 2025 and December 31, 2024, respectively, there is $6.5 million and $0 within prepaid expenses and other assets on the Consolidated Balance Sheets associated with allocable state tax credits purchases.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Unconsolidated Subsidiaries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 accounts for its investment in ECP, Enhanced PC, and the ECG's asset management businesses using the equity method of accounting.</w:t>
      </w:r>
    </w:p>
    <w:p>
      <w:pPr>
        <w:spacing w:after="0" w:line="18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All other investments in unconsolidated subsidiaries are accounted for under the measurement alternative.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purchased software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4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7 - 10 years</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Long-lived assets including property and equipment, lease right-of-use assets, and definite lived intangibles are evaluated for impairment under FASB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which is when the Company obtains control of the asset,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19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does not recognize a lease liability or right-of-use asset on our Consolidated Balance Sheets for short-term leases. Instead, the Company recognizes short-term lease payments as an expense when incurred.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and Repurchase Arrangement</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recognizes accrued contingent liabilities and contingent payments to customers asset in our Consolidated Balance Sheets for an agreement between ECG and various third parties. The agreement requires ECG to share in certain revenues earned with the third parties and also includes an option for the third parties to sell back the revenue share to ECG at a set multiple. Additionally, ECG holds the option to buy back 50% of the revenue share at a set multiple. The options to repurchase the revenue share are exercisable starting in July 2025. The Company believes it is probable that the third parties will exercise its option to sell back the revenue share and has recognized a liability on the Consolidated Balance Sheets. The Company has also recognized a contingent payment to customers associated with the agreement and will amortize the asset against revenue over the estimated term of the management contract. The amortization is reported in management and advisory fees on the Consolidated Statements of Operations. On December 23, 2024, the Company became a guarantor for a related party on a related put option and call option with the same third party customers and terms. The Company would be required to settle either the put or call options if either are exercised and the related party does not have the means to settle themselves. The Company's accrued contingent liabilities are recognized once determined that it is probable the Company would need to settle as guarantor and estimable and would record a loss at the same time. The Company will reassess at each reporting period. Refer to Note 13 for further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Goodwill is initially measured as the excess of the cost of the acquired business over the sum of the amounts assigned to identifiable assets acquired, less the liabilities assumed. As of March 31, 2025, goodwill recorded on our Consolidated Balance Sheets relates to prior acquisitions. As of March 31, 2025, the intangible assets are comprised of indefinite-lived intangible assets and finite-lived intangible assets related to prior acquisitions.</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18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Goodwill and indefinite lived intangibles are reviewed for impairment at least annually as of September 30 utilizing a qualitative or quantitative approach and more frequently if circumstances indicate impairment may have occurred. The impairment testing for goodwill and indefinite 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 lived intangibles. If it is determined that it is more likely than not that an asset's or reporting unit’s fair value is less than its carrying value, then the Company will determine the fair value of the reporting unit or asset and record an impairment charge for the difference between fair value and carrying value (not to exceed the carrying amount of goodwill or indefinite lived intangible).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December 31, 2024, the contingent consideration on the Consolidated Balance Sheets is related to the acquisition of Bonaccord.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 and Benefits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Accrued compensation and benefits consists of employee salaries, bonuses, management profit shares, benefits, severance, and acquisition-related earnouts (contingent on employment) that has not yet been paid. Refer to Note 13 for further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Noncontrolling interests ("NCI") reflect the portion of income or loss and the corresponding equity attributable to third-party equity holders and certain WTI employees that are not 100% owned by the Company. Noncontrolling interests is presented as a separate component in our Consolidated Balance Sheets to clearly distinguish between our interests and the economic interests of third parties in those entities. Net income attributable to P10, as reported in the Consolidated Statements of Operations, is presented net of the portion of net income attributable to holders of non-controlling interest. NCI is allocated a share of income or loss in the respective consolidated subsidiaries in proportion to their relative ownership interest.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we used the following valuation techniques to measure fair value for assets and there were no changes to these methodologies during the periods presented: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1—Assets were valued using the closing price reported in the active market in which the individual security was traded.</w:t>
      </w:r>
    </w:p>
    <w:p>
      <w:pPr>
        <w:spacing w:after="0" w:line="117" w:lineRule="exact"/>
        <w:rPr>
          <w:sz w:val="20"/>
          <w:szCs w:val="20"/>
          <w:color w:val="auto"/>
        </w:rPr>
      </w:pPr>
    </w:p>
    <w:p>
      <w:pPr>
        <w:ind w:left="520" w:right="820"/>
        <w:spacing w:after="0" w:line="282" w:lineRule="auto"/>
        <w:rPr>
          <w:sz w:val="20"/>
          <w:szCs w:val="20"/>
          <w:color w:val="auto"/>
        </w:rPr>
      </w:pPr>
      <w:r>
        <w:rPr>
          <w:rFonts w:ascii="Times New Roman" w:cs="Times New Roman" w:eastAsia="Times New Roman" w:hAnsi="Times New Roman"/>
          <w:sz w:val="18"/>
          <w:szCs w:val="18"/>
          <w:color w:val="auto"/>
        </w:rPr>
        <w:t>Level 2—Assets were valued using quoted prices in markets that are not active, broker dealer quotations, and other methods by which all significant inputs were observable at the measurement date.</w:t>
      </w:r>
    </w:p>
    <w:p>
      <w:pPr>
        <w:spacing w:after="0" w:line="54" w:lineRule="exact"/>
        <w:rPr>
          <w:sz w:val="20"/>
          <w:szCs w:val="20"/>
          <w:color w:val="auto"/>
        </w:rPr>
      </w:pPr>
    </w:p>
    <w:p>
      <w:pPr>
        <w:ind w:left="520" w:right="740"/>
        <w:spacing w:after="0" w:line="282" w:lineRule="auto"/>
        <w:rPr>
          <w:sz w:val="20"/>
          <w:szCs w:val="20"/>
          <w:color w:val="auto"/>
        </w:rPr>
      </w:pPr>
      <w:r>
        <w:rPr>
          <w:rFonts w:ascii="Times New Roman" w:cs="Times New Roman" w:eastAsia="Times New Roman" w:hAnsi="Times New Roman"/>
          <w:sz w:val="18"/>
          <w:szCs w:val="18"/>
          <w:color w:val="auto"/>
        </w:rPr>
        <w:t>Level 3—Assets were valued using unobservable inputs in which little or no market data exists as reported by the respective institutions at the measurement date.</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carrying values of financial instruments comprising cash and cash equivalents, restricted cash, prepaid assets, accounts payable, accounts receivable, and due from related parties receivables excluding the receivables from the Advisory Agreements approximate fair values due to the short-term maturities of these instruments. The Company estimates the fair value of the credit facility using level two inputs. The Company discounts the future cash flows using current interest rates which the Company could obtain similar borrowings. The Company estimates the fair value of the due from related parties associated with the Advisory Agreements based on the current expectation of payments. If the payments are not expected to be made on a short-term basis, the fair value is estimated using level three inputs and a discounted cash flow model. See Note 12 for further details on the Advisory Agreements. The Company had a contingent consideration liability related to the acquisition of Bonaccord that was measured at fair value using level three inputs and a discounted cash flow model. The contingent consideration was considered fully earned and was paid on January 24, 2025. As of December 31, 2024, the value was carried at the full balance of unpaid contingent consideration and is no longer subject to fair value measurements. See Note 10 for additional information.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investment fund for the Company’s significant management and advisory contracts.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and Advisory Fees</w:t>
      </w:r>
    </w:p>
    <w:p>
      <w:pPr>
        <w:spacing w:after="0" w:line="11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spacing w:after="0" w:line="183"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and advisory service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Other advisory services include transaction and management fees associated with managing the origination and ongoing compliance of certain investments.</w:t>
      </w:r>
    </w:p>
    <w:p>
      <w:pPr>
        <w:spacing w:after="0" w:line="16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189"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1 -10 years as services are provided to the customer.</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Catch-up fees are earned from investors that make commitments to a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Other revenue on our Consolidated Statements of Operations primarily consists of subscriptions, consulting agreements, interest income, and referral fees. Interest income is from interest bearing fund bank accounts managed by the Company and is additional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Current income tax expense represents our estimated taxes to be paid or refunded for the current period.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file various federal and state and local tax returns based on federal and state local consolidation and stand-alone tax rules as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16 for additional information.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Also included in the diluted EPS denominator are the units of P10 Intermediate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or both a service condition and a performance condition that is likely to be met is recorded ratably over the vesting period at the fair market value on the grant date. For awards with graded vesting, and vesting only requires a service condition, the Company elected,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Forfeitures are recognized as they occur. Refer to Note 15 for further discussion.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According to ASC 280, S</w:t>
      </w:r>
      <w:r>
        <w:rPr>
          <w:rFonts w:ascii="Times New Roman" w:cs="Times New Roman" w:eastAsia="Times New Roman" w:hAnsi="Times New Roman"/>
          <w:sz w:val="18"/>
          <w:szCs w:val="18"/>
          <w:i w:val="1"/>
          <w:iCs w:val="1"/>
          <w:color w:val="auto"/>
        </w:rPr>
        <w:t>egment Reporting</w:t>
      </w:r>
      <w:r>
        <w:rPr>
          <w:rFonts w:ascii="Times New Roman" w:cs="Times New Roman" w:eastAsia="Times New Roman" w:hAnsi="Times New Roman"/>
          <w:sz w:val="18"/>
          <w:szCs w:val="18"/>
          <w:color w:val="auto"/>
        </w:rPr>
        <w:t>, operating segments are defined as components of a company that engage in business activities from which they may earn revenues and incur expenses, and for which discrete financial information is available and is evaluated regularly by the chief operating decision maker ("CODM") in deciding how to allocate resources and in assessing performance. The Company operates our business as a single operating segment, which is how our CODM evaluates financial performance and makes decisions regarding the allocation of resources.</w:t>
      </w:r>
    </w:p>
    <w:p>
      <w:pPr>
        <w:spacing w:after="0" w:line="18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CODM, who is responsible for allocating resources and assessing performance of the reportable segment, has been identified as the Chief Executive Officer. The CODM assesses performance for the single segment and decides how to allocate resources based on consolidated net income that also is reported on the Consolidated Statements of Operations as net income. The measure of segment assets is reported on the Consolidated Balance Sheets as total assets. The CODM uses these metrics for purposes of making operating decisions and assessing financial performance. The CODM considers forecast to actual variances when making decisions about allocation capital and personnel.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8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83" w:lineRule="exact"/>
        <w:rPr>
          <w:sz w:val="20"/>
          <w:szCs w:val="20"/>
          <w:color w:val="auto"/>
        </w:rPr>
      </w:pPr>
    </w:p>
    <w:p>
      <w:pPr>
        <w:jc w:val="both"/>
        <w:ind w:right="360" w:firstLine="509"/>
        <w:spacing w:after="0" w:line="282" w:lineRule="auto"/>
        <w:rPr>
          <w:sz w:val="20"/>
          <w:szCs w:val="20"/>
          <w:color w:val="auto"/>
        </w:rPr>
      </w:pPr>
      <w:r>
        <w:rPr>
          <w:rFonts w:ascii="Times New Roman" w:cs="Times New Roman" w:eastAsia="Times New Roman" w:hAnsi="Times New Roman"/>
          <w:sz w:val="18"/>
          <w:szCs w:val="18"/>
          <w:color w:val="auto"/>
        </w:rPr>
        <w:t>For business acquisitions, the Company recognizes the fair value of goodwill and other acquired intangible assets, and estimated contingent consideration at the acquisition date as part of purchase price. These non-recurring fair value measurement are based on unobservable (Level 3) inputs.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Dividends are reflected in the consolidated financial statements when declared.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Recently Adopted</w:t>
      </w:r>
    </w:p>
    <w:p>
      <w:pPr>
        <w:spacing w:after="0" w:line="117" w:lineRule="exact"/>
        <w:rPr>
          <w:sz w:val="20"/>
          <w:szCs w:val="20"/>
          <w:color w:val="auto"/>
        </w:rPr>
      </w:pPr>
    </w:p>
    <w:p>
      <w:pPr>
        <w:jc w:val="both"/>
        <w:ind w:right="3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Effective January 1, 2024, the Company adopted ASU 2024-01, </w:t>
      </w:r>
      <w:r>
        <w:rPr>
          <w:rFonts w:ascii="Times New Roman" w:cs="Times New Roman" w:eastAsia="Times New Roman" w:hAnsi="Times New Roman"/>
          <w:sz w:val="18"/>
          <w:szCs w:val="18"/>
          <w:i w:val="1"/>
          <w:iCs w:val="1"/>
          <w:color w:val="auto"/>
        </w:rPr>
        <w:t>Compensation - Stock Compensation (Topic 718)- Scope Application of Profits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 and Similar Awards </w:t>
      </w:r>
      <w:r>
        <w:rPr>
          <w:rFonts w:ascii="Times New Roman" w:cs="Times New Roman" w:eastAsia="Times New Roman" w:hAnsi="Times New Roman"/>
          <w:sz w:val="18"/>
          <w:szCs w:val="18"/>
          <w:color w:val="auto"/>
        </w:rPr>
        <w:t>("ASU 2024-01"), which is intended to reduce the complexity in determining whether a profits interest award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718. The adoption of the update did not have an impact on the Company's consolidated financial statements.</w:t>
      </w:r>
    </w:p>
    <w:p>
      <w:pPr>
        <w:spacing w:after="0" w:line="6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Effective January 1, 2024, the Company adopted ASU 2023-07, </w:t>
      </w:r>
      <w:r>
        <w:rPr>
          <w:rFonts w:ascii="Times New Roman" w:cs="Times New Roman" w:eastAsia="Times New Roman" w:hAnsi="Times New Roman"/>
          <w:sz w:val="18"/>
          <w:szCs w:val="18"/>
          <w:i w:val="1"/>
          <w:iCs w:val="1"/>
          <w:color w:val="auto"/>
        </w:rPr>
        <w:t>Improvements to Reportable Segment Disclosure</w:t>
      </w:r>
      <w:r>
        <w:rPr>
          <w:rFonts w:ascii="Times New Roman" w:cs="Times New Roman" w:eastAsia="Times New Roman" w:hAnsi="Times New Roman"/>
          <w:sz w:val="18"/>
          <w:szCs w:val="18"/>
          <w:color w:val="auto"/>
        </w:rPr>
        <w:t xml:space="preserve"> ("ASU 2023-07"), which requires incremental disclosures related to a public entity’s reportable segments. Required disclosures include, on an 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The Company included the additional required disclosures above in the consolidated financial statements. Refer to Note 17.</w:t>
      </w:r>
    </w:p>
    <w:p>
      <w:pPr>
        <w:spacing w:after="0" w:line="183" w:lineRule="exact"/>
        <w:rPr>
          <w:sz w:val="20"/>
          <w:szCs w:val="20"/>
          <w:color w:val="auto"/>
        </w:rPr>
      </w:pPr>
    </w:p>
    <w:p>
      <w:pPr>
        <w:ind w:right="5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to expand the disclosure requirements for income taxes, specifically related to the rate reconciliation and income taxes paid. ASU 2023-09 is effective for our annual periods beginning January 1, 2025. The Company plans to include expanded disclosures beginning with its annual report on Form 10-K for the year ending December 31, 2025.</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225"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On November 4,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("DISE") ("ASU 2024-03"), which requires additional disclosure of the nature of expenses included in the Consolidated Statements of Operations. The standard requires disclosures about specific type of expenses included in the expense captions presented on the face of the Consolidated Statements of Operations as well as disclosures about selling expenses. ASU 2024-03 is effective for our fiscal year beginning on January 1, 2027, and interim periods beginning on January 1, 2028. Entities should apply the guidance prospectively although retrospective application is permitted. The Company is evaluating the effects of these amendments on our financial reporting.</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presents revenues disaggregated by nature:</w:t>
      </w:r>
    </w:p>
    <w:p>
      <w:pPr>
        <w:spacing w:after="0" w:line="232"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r>
      <w:tr>
        <w:trPr>
          <w:trHeight w:val="21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65,237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63,844</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Advisory fees</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1,278</w:t>
            </w: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20"/>
        </w:trPr>
        <w:tc>
          <w:tcPr>
            <w:tcW w:w="7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67,667</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66,115</w:t>
            </w:r>
          </w:p>
        </w:tc>
      </w:tr>
      <w:tr>
        <w:trPr>
          <w:trHeight w:val="20"/>
        </w:trPr>
        <w:tc>
          <w:tcPr>
            <w:tcW w:w="7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contract liabilities represent deferred revenue. We record contract liabilities when cash payments are received in advance of our performance. We recognized $11.5 million of revenue for the three months ended March 31, 2025 that was included in the contract liabilities balance as of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Strategic Alliance Expense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Bonaccord acquisition, Bonaccord entered into a Strategic Alliance Agreement ("SAA") with a third-party investor. This SAA provides the third-party the right to receive 15% of the net management fee earnings, which includes the management fees minus applicable expenses, for Bonaccord Fund I and subsequent funds, paid quarterly, in exchange for funding certain amounts of capital commitments to the fund. Net management fee earnings the third-party has the right to receive is based on the total capital committed. For the three months ended March 31, 2025 and 2024, the strategic alliance expense reported was $0.7 million and $0.6 million, respectively. This is reported on the Consolidated Statements of Operations as strategic alliance expense in operating expenses.</w:t>
      </w:r>
    </w:p>
    <w:p>
      <w:pPr>
        <w:spacing w:after="0" w:line="187"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After the final closing of Bonaccord Fund II ("Fund II"), the third-party had the opportunity to acquire, at the price at the time of the original acquisition, equity interests in Bonaccord based on the amount of commitment made. For each $5.0 million, up to a maximum of $250.0 million in irrevocable capital commitments to Fund II, the third-party could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and Fund II reached the final close on December 24, 2024. Effective April 1, 2025, the third-party exercised their option to acquire equity in Bonaccord which entitles them to receive the distributions of net management fee earnings by the percentage acquired.</w:t>
      </w:r>
    </w:p>
    <w:p>
      <w:pPr>
        <w:spacing w:after="0" w:line="18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Similar terms apply for Bonaccord Fund III ("Fund III") with the exception that the third-party can acquire 9.8 basis points for every $5.0 million committed up to 4.9%. This commitment has not yet been met as of March 31, 2025 as Fund III has not yet started raising capital and as such, there is no impact to the consolidated financial statements.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Notes Receivable</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has three significant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 As of March 31, 2025, the full</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has been drawn and the balance outstanding is $5.1 million, which includes unpaid accrued interest added to the outstanding principal balance.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 of the note receivable is September 30, 2031.</w:t>
      </w:r>
    </w:p>
    <w:p>
      <w:pPr>
        <w:spacing w:after="0" w:line="207"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auto"/>
        </w:rPr>
        <w:t>The second consists of Secured Promissory Notes that were executed on October 13, 2023 between the Company and certain employees of Bonaccord to lend funds to be used to pay general partner commitments to certain funds managed by Bonaccord. The notes provided $1.0 million of cash, in aggregate, to certain employees and are collateralized by such employees' privately owned shares of the Company. The term of the additional notes is five years, maturing on October 13, 2028 with all principal due at maturity. The notes accrue interest at SOFR plus 2.10% and are payable annually on October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in arrears, with any unpaid accrued interest being capitalized and added to the outstanding principal balance. As of March 31, 2025, the balance outstanding is $1.1 million, which includes unpaid accrued interest added to the outstanding principal balance.</w:t>
      </w:r>
    </w:p>
    <w:p>
      <w:pPr>
        <w:spacing w:after="0" w:line="198" w:lineRule="exact"/>
        <w:rPr>
          <w:sz w:val="20"/>
          <w:szCs w:val="20"/>
          <w:color w:val="auto"/>
        </w:rPr>
      </w:pPr>
    </w:p>
    <w:p>
      <w:pPr>
        <w:jc w:val="both"/>
        <w:ind w:right="160" w:firstLine="509"/>
        <w:spacing w:after="0" w:line="270" w:lineRule="auto"/>
        <w:rPr>
          <w:sz w:val="20"/>
          <w:szCs w:val="20"/>
          <w:color w:val="auto"/>
        </w:rPr>
      </w:pPr>
      <w:r>
        <w:rPr>
          <w:rFonts w:ascii="Times New Roman" w:cs="Times New Roman" w:eastAsia="Times New Roman" w:hAnsi="Times New Roman"/>
          <w:sz w:val="17"/>
          <w:szCs w:val="17"/>
          <w:color w:val="auto"/>
        </w:rPr>
        <w:t>The third consists of a Loan Agreement and Secured Promissory Notes that were executed on September 26, 2024 between Bonaccord and certain general partners to lend funds to pay general partners commitments to certain funds managed by Bonaccord. The notes provides an aggregate maximum facility of $4.0 million and are collateralized by such general partners' interest in the funds with a maturity date of September 26, 2034. The notes accrue interest at SOFR plus 2.10% and are payable quarterly, with any unpaid accrued interest being capitalized and added to the outstanding principal balance.</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SOFR is determined on the first day of each quarter. As of March 31, 2025, the balance outstanding is $1.2 million, which includes unpaid accrued interest added to the outstanding principal balance.</w:t>
      </w:r>
    </w:p>
    <w:p>
      <w:pPr>
        <w:spacing w:after="0" w:line="18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total notes receivable balance associated with these notes was $7.4 million and $7.5 million, respectively. The Company recognized interest income of $0.1 million and $0.1 million for the three months ended March 31, 2025 and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Variable Interest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consolidates certain VIEs for which it is the primary beneficiary. VIEs consist of certain operating entities not wholly owned by the Company as listed in Note 1. The assets of the consolidated VIEs totaled $598.9 million and $587.9 million as of March 31, 2025 and December 31, 2024, respectively. The liabilities of the consolidated VIEs totaled $488.5 million and $463.3 million as of March 31, 2025 and December 31, 2024, respectively. The assets of our consolidated VIEs are owned by those entities and not generally available to satisfy P10’s obligations. With the exception of the Company's credit facilities, the liabilities of our consolidated VIEs are obligations of those entities and their creditors do not generally have recourse to the assets of P10.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Unconsolidated VIEs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relating to these unconsolidated entities. These variable interests are included in investment in unconsolidated subsidiaries on the accompanying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Unconsolidated Subsidiaries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investment in unconsolidated subsidiaries consist of unconsolidated equity method investments primarily related to ECG’s tax credit finance and asset management activities. Additionally, the investment in Enhanced Capital Partners and Enhanced PC is recorded at zero. The Company, therefore, suspended the use of the equity method of accounting because the Company has no guaranteed obligations or commitments to provide financial support to the investee.</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2025, investment in unconsolidated subsidiaries totaled $2.7 million, of which $0.8 million related to RCP's investment in a privately held investment manager, $1.8 million related to ECG’s asset management businesses, and $0.1 million related to ECG’s tax credit finance businesses. As of December 31, 2024, investment in unconsolidated subsidiaries totaled $2.8 million, of which $0.8 million related to RCP's investment in a privately held investment manager, $1.9 million related to ECG’s asset management businesses, and $0.1 million related to ECG’s tax credit finance businesses.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200" w:type="dxa"/>
            <w:vAlign w:val="bottom"/>
          </w:tcPr>
          <w:p>
            <w:pPr>
              <w:spacing w:after="0"/>
              <w:rPr>
                <w:sz w:val="24"/>
                <w:szCs w:val="24"/>
                <w:color w:val="auto"/>
              </w:rPr>
            </w:pPr>
          </w:p>
        </w:tc>
        <w:tc>
          <w:tcPr>
            <w:tcW w:w="2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6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purchased software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1,945</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2,229</w:t>
            </w:r>
          </w:p>
        </w:tc>
      </w:tr>
      <w:tr>
        <w:trPr>
          <w:trHeight w:val="216"/>
        </w:trPr>
        <w:tc>
          <w:tcPr>
            <w:tcW w:w="6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11,591</w:t>
            </w:r>
          </w:p>
        </w:tc>
        <w:tc>
          <w:tcPr>
            <w:tcW w:w="2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10,391</w:t>
            </w:r>
          </w:p>
        </w:tc>
      </w:tr>
      <w:tr>
        <w:trPr>
          <w:trHeight w:val="21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(3,927)</w:t>
            </w:r>
          </w:p>
        </w:tc>
        <w:tc>
          <w:tcPr>
            <w:tcW w:w="20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(3,631)</w:t>
            </w:r>
          </w:p>
        </w:tc>
      </w:tr>
      <w:tr>
        <w:trPr>
          <w:trHeight w:val="209"/>
        </w:trPr>
        <w:tc>
          <w:tcPr>
            <w:tcW w:w="64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00" w:type="dxa"/>
            <w:vAlign w:val="bottom"/>
            <w:tcBorders>
              <w:top w:val="single" w:sz="8" w:color="CFF0FC"/>
            </w:tcBorders>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-454025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Intangibles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goodwill for the three months ended March 31,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128905</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3" w:lineRule="exact"/>
        <w:rPr>
          <w:sz w:val="20"/>
          <w:szCs w:val="20"/>
          <w:color w:val="auto"/>
        </w:rPr>
      </w:pPr>
    </w:p>
    <w:tbl>
      <w:tblPr>
        <w:tblLayout w:type="fixed"/>
        <w:tblInd w:w="22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8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506,038</w:t>
            </w:r>
          </w:p>
        </w:tc>
      </w:tr>
      <w:tr>
        <w:trPr>
          <w:trHeight w:val="196"/>
        </w:trPr>
        <w:tc>
          <w:tcPr>
            <w:tcW w:w="20" w:type="dxa"/>
            <w:vAlign w:val="bottom"/>
          </w:tcPr>
          <w:p>
            <w:pPr>
              <w:spacing w:after="0"/>
              <w:rPr>
                <w:sz w:val="17"/>
                <w:szCs w:val="17"/>
                <w:color w:val="auto"/>
              </w:rPr>
            </w:pPr>
          </w:p>
        </w:tc>
        <w:tc>
          <w:tcPr>
            <w:tcW w:w="38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Increase from acquisitions</w:t>
            </w:r>
          </w:p>
        </w:tc>
        <w:tc>
          <w:tcPr>
            <w:tcW w:w="16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506,038</w:t>
            </w: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-333375</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-316230</wp:posOffset>
            </wp:positionV>
            <wp:extent cx="431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Intangibles consists of the following:</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1140" w:type="dxa"/>
            <w:vAlign w:val="bottom"/>
          </w:tcPr>
          <w:p>
            <w:pPr>
              <w:jc w:val="center"/>
              <w:ind w:right="74"/>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FF0FC"/>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(8,958)</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Management and advisory contracts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194,666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(139,164)</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223,092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(148,226)</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240,497</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(148,226)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1140" w:type="dxa"/>
            <w:vAlign w:val="bottom"/>
          </w:tcPr>
          <w:p>
            <w:pPr>
              <w:jc w:val="center"/>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FF0FC"/>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(8,322)</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Management and advisory contracts</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194,666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(134,494)</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(2,292)</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225,292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(145,108)</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242,697</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(145,108)</w:t>
            </w: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-3110865</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-3110865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-3110865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-2236470</wp:posOffset>
            </wp:positionV>
            <wp:extent cx="5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-2236470</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-2236470</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-1190625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-1190625</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-1190625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-170815</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Management and advisory contracts and finite lived trade names are amortized over 7 - 16 years and are being amortized in line with the economic benefits that are expected to occur. Technology is generally amortized on a straight-line basis over 4 years. The amortization expense for each of the next five years and thereafter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2320" w:type="dxa"/>
        <w:tblCellMar>
          <w:top w:w="0" w:type="dxa"/>
          <w:left w:w="0" w:type="dxa"/>
          <w:bottom w:w="0" w:type="dxa"/>
          <w:right w:w="0" w:type="dxa"/>
        </w:tblCellMar>
      </w:tblP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8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16,642</w:t>
            </w:r>
          </w:p>
        </w:tc>
        <w:tc>
          <w:tcPr>
            <w:tcW w:w="8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13,309</w:t>
            </w:r>
          </w:p>
        </w:tc>
        <w:tc>
          <w:tcPr>
            <w:tcW w:w="8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8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8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80" w:type="dxa"/>
            <w:vAlign w:val="bottom"/>
          </w:tcPr>
          <w:p>
            <w:pPr>
              <w:spacing w:after="0"/>
              <w:rPr>
                <w:sz w:val="18"/>
                <w:szCs w:val="18"/>
                <w:color w:val="auto"/>
              </w:rPr>
            </w:pPr>
          </w:p>
        </w:tc>
      </w:tr>
      <w:tr>
        <w:trPr>
          <w:trHeight w:val="223"/>
        </w:trPr>
        <w:tc>
          <w:tcPr>
            <w:tcW w:w="5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6"/>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54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74,866</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-25400</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recognized at Fair Value</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which are discussed below. Our financial instruments not recognized at fair value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0" w:type="dxa"/>
            <w:vAlign w:val="bottom"/>
          </w:tcPr>
          <w:p>
            <w:pPr>
              <w:spacing w:after="0"/>
              <w:rPr>
                <w:sz w:val="20"/>
                <w:szCs w:val="20"/>
                <w:color w:val="auto"/>
              </w:rPr>
            </w:pP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20" w:type="dxa"/>
            <w:vAlign w:val="bottom"/>
          </w:tcPr>
          <w:p>
            <w:pPr>
              <w:spacing w:after="0"/>
              <w:rPr>
                <w:sz w:val="20"/>
                <w:szCs w:val="20"/>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0" w:type="dxa"/>
            <w:vAlign w:val="bottom"/>
          </w:tcPr>
          <w:p>
            <w:pPr>
              <w:spacing w:after="0"/>
              <w:rPr>
                <w:sz w:val="1"/>
                <w:szCs w:val="1"/>
                <w:color w:val="auto"/>
              </w:rPr>
            </w:pPr>
          </w:p>
        </w:tc>
      </w:tr>
      <w:tr>
        <w:trPr>
          <w:trHeight w:val="210"/>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Due from related party - Advisory</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Agreements</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46,404</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Note 12</w:t>
            </w: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 11</w:t>
            </w:r>
          </w:p>
        </w:tc>
        <w:tc>
          <w:tcPr>
            <w:tcW w:w="0" w:type="dxa"/>
            <w:vAlign w:val="bottom"/>
          </w:tcPr>
          <w:p>
            <w:pPr>
              <w:spacing w:after="0"/>
              <w:rPr>
                <w:sz w:val="1"/>
                <w:szCs w:val="1"/>
                <w:color w:val="auto"/>
              </w:rPr>
            </w:pPr>
          </w:p>
        </w:tc>
      </w:tr>
      <w:tr>
        <w:trPr>
          <w:trHeight w:val="234"/>
        </w:trPr>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 Obligations</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357,151</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357,151</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319,783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319,783</w:t>
            </w: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and December 31, 2025, debt obligations' carrying value approximates fair value.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Earnouts associated with the acquisitions of Bonaccord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Included in total consideration of the acquisition of Bonaccord was an earnout payment not to exceed $20 million. The amount ultimately owed to the sellers is based on achieving specific fundraising targets and any amounts paid to the sellers was required to be paid by October 2027, at which point the earnout expires. Payments were made after each fund close. As of March 31, 2025, the full $20.0 million earnout payment had been earned and paid, of which $2.2 million was paid in the three months ended March 31, 2025. Total remeasurement expense recognized for both the three months ended March 31, 2025 and March 31, 2024 was $0. As of December 31, 2024, with all contingent consideration for the acquisition of Bonaccord considered fully earned, the liability transferred out of Level 3 fair value measurement as the liability is recorded at cost at the known payment amount. Until considered fully earned, the Company's contingent consideration was considered to be a Level 3 fair value measurement as the significant inputs are unobservable and require significant judgment or estimation. As of March 31, 2025, there were no remaining liabilities.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fair value of Level III financial instruments are set forth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Contingent Consideration Liability</w:t>
            </w:r>
          </w:p>
        </w:tc>
        <w:tc>
          <w:tcPr>
            <w:tcW w:w="4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6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r>
      <w:tr>
        <w:trPr>
          <w:trHeight w:val="128"/>
        </w:trPr>
        <w:tc>
          <w:tcPr>
            <w:tcW w:w="37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57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r>
      <w:tr>
        <w:trPr>
          <w:trHeight w:val="129"/>
        </w:trPr>
        <w:tc>
          <w:tcPr>
            <w:tcW w:w="37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beginning of year:</w:t>
            </w:r>
          </w:p>
        </w:tc>
        <w:tc>
          <w:tcPr>
            <w:tcW w:w="4400" w:type="dxa"/>
            <w:vAlign w:val="bottom"/>
            <w:gridSpan w:val="2"/>
            <w:shd w:val="clear" w:color="auto" w:fill="CFF0FC"/>
          </w:tcPr>
          <w:p>
            <w:pPr>
              <w:jc w:val="right"/>
              <w:ind w:right="20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FF0FC"/>
          </w:tcPr>
          <w:p>
            <w:pPr>
              <w:jc w:val="right"/>
              <w:ind w:right="2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6,693</w:t>
            </w:r>
          </w:p>
        </w:tc>
        <w:tc>
          <w:tcPr>
            <w:tcW w:w="100" w:type="dxa"/>
            <w:vAlign w:val="bottom"/>
            <w:shd w:val="clear" w:color="auto" w:fill="CFF0FC"/>
          </w:tcPr>
          <w:p>
            <w:pPr>
              <w:spacing w:after="0"/>
              <w:rPr>
                <w:sz w:val="11"/>
                <w:szCs w:val="11"/>
                <w:color w:val="auto"/>
              </w:rPr>
            </w:pPr>
          </w:p>
        </w:tc>
      </w:tr>
      <w:tr>
        <w:trPr>
          <w:trHeight w:val="135"/>
        </w:trPr>
        <w:tc>
          <w:tcPr>
            <w:tcW w:w="37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Change in fair value</w:t>
            </w:r>
          </w:p>
        </w:tc>
        <w:tc>
          <w:tcPr>
            <w:tcW w:w="4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1"/>
                <w:szCs w:val="11"/>
                <w:color w:val="auto"/>
              </w:rPr>
            </w:pPr>
          </w:p>
        </w:tc>
      </w:tr>
      <w:tr>
        <w:trPr>
          <w:trHeight w:val="135"/>
        </w:trPr>
        <w:tc>
          <w:tcPr>
            <w:tcW w:w="378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Settlements</w:t>
            </w:r>
          </w:p>
        </w:tc>
        <w:tc>
          <w:tcPr>
            <w:tcW w:w="40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FF0FC"/>
          </w:tcPr>
          <w:p>
            <w:pPr>
              <w:spacing w:after="0"/>
              <w:rPr>
                <w:sz w:val="11"/>
                <w:szCs w:val="11"/>
                <w:color w:val="auto"/>
              </w:rPr>
            </w:pPr>
          </w:p>
        </w:tc>
      </w:tr>
      <w:tr>
        <w:trPr>
          <w:trHeight w:val="135"/>
        </w:trPr>
        <w:tc>
          <w:tcPr>
            <w:tcW w:w="37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Transfers out of level 3 measurement</w:t>
            </w:r>
          </w:p>
        </w:tc>
        <w:tc>
          <w:tcPr>
            <w:tcW w:w="40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r>
      <w:tr>
        <w:trPr>
          <w:trHeight w:val="169"/>
        </w:trPr>
        <w:tc>
          <w:tcPr>
            <w:tcW w:w="37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end of period:</w:t>
            </w:r>
          </w:p>
        </w:tc>
        <w:tc>
          <w:tcPr>
            <w:tcW w:w="408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6,509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520"/>
        </w:trPr>
        <w:tc>
          <w:tcPr>
            <w:tcW w:w="3780" w:type="dxa"/>
            <w:vAlign w:val="bottom"/>
          </w:tcPr>
          <w:p>
            <w:pPr>
              <w:spacing w:after="0"/>
              <w:rPr>
                <w:sz w:val="24"/>
                <w:szCs w:val="24"/>
                <w:color w:val="auto"/>
              </w:rPr>
            </w:pPr>
          </w:p>
        </w:tc>
        <w:tc>
          <w:tcPr>
            <w:tcW w:w="4080" w:type="dxa"/>
            <w:vAlign w:val="bottom"/>
          </w:tcPr>
          <w:p>
            <w:pPr>
              <w:jc w:val="right"/>
              <w:ind w:right="2064"/>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78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-864870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-847725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Until transferred out of Level 3 fair value measurement, 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Debt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obligations consists of the following:</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 net</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33,920</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17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323,231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323,091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obligations, net</w:t>
            </w: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357,151</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319,783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-736600</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-736600</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-316230</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-316230</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431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The principal balance consists of the following tranches: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45"/>
        </w:trPr>
        <w:tc>
          <w:tcPr>
            <w:tcW w:w="2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ind w:left="122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209"/>
        </w:trPr>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220" w:type="dxa"/>
            <w:vAlign w:val="bottom"/>
          </w:tcPr>
          <w:p>
            <w:pPr>
              <w:spacing w:after="0"/>
              <w:rPr>
                <w:sz w:val="18"/>
                <w:szCs w:val="18"/>
                <w:color w:val="auto"/>
              </w:rPr>
            </w:pPr>
          </w:p>
        </w:tc>
        <w:tc>
          <w:tcPr>
            <w:tcW w:w="13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Base Rate</w:t>
            </w:r>
          </w:p>
        </w:tc>
        <w:tc>
          <w:tcPr>
            <w:tcW w:w="4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SOFR Rate</w:t>
            </w:r>
          </w:p>
        </w:tc>
        <w:tc>
          <w:tcPr>
            <w:tcW w:w="3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Rate Expiration Date</w:t>
            </w:r>
          </w:p>
        </w:tc>
      </w:tr>
      <w:tr>
        <w:trPr>
          <w:trHeight w:val="210"/>
        </w:trPr>
        <w:tc>
          <w:tcPr>
            <w:tcW w:w="2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5/5/2025</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Revolver - Tranche 1</w:t>
            </w: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4/28/2025</w:t>
            </w:r>
          </w:p>
        </w:tc>
      </w:tr>
      <w:tr>
        <w:trPr>
          <w:trHeight w:val="230"/>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362,000</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20"/>
        </w:trPr>
        <w:tc>
          <w:tcPr>
            <w:tcW w:w="24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 and Term Loan</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On December 22, 2021, the Company entered into a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 In October 2022, the accordion feature was exercised split into $87.5 million worth of term loan and $37.5 million of revolver. On August 1, 2024, the Company entered into a restatement agreement, which amends and restates the Credit Agreement (the "Amended and Restated Credit Agreement"). The Amended and Restated Credit Agreement provides for a new senior secured revolving credit facility in the amount of $175 million, with a $10 million sublimit for the issuance of letters of credit (the "New Revolving Facility), and a new senior term loan facility in the amount of $325 million (the "New Term Loan" and, together with the New Revolving Facility, the "New Credit Facilities"). The New Credit Facilities were used to refinance and replace the credit facilities under the Credit Agreement and for general corporate purposes, including acquisitions.</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New Credit Facilities are "Term SOFR Loans" meaning loans bearing interest based upon the "Adjusted Term SOFR Rate". The Adjusted Term SOFR Rate is the Secured Overnight Financing Rate ("SOFR") at the date of election, plus 2.60%. The Company can elect one or three months for the New Revolving Facility and one, three, or six months for the New Term Loan. Principal for the New Term Loan is contractually repaid at a rate of 1.25% on the term loan quarterly effective December 31, 2025. The New Revolving Credit Facility has no contractual principal repayments until maturity, which is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August 1, 2028 for both facilities. The New Credit Facilities are guaranteed by the Company's subsidiaries, subject to customary exceptions, and are secured by liens on substantially all assets of the Company, P10 Intermediate and the Company's guarantor subsidiaries, subject to customary exceptions.</w:t>
      </w:r>
    </w:p>
    <w:p>
      <w:pPr>
        <w:spacing w:after="0" w:line="14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Amended and Restated Credit Agreement contains affirmative and negative covenants typical of such financing transactions, and specific financial covenants which require P10 to maintain a minimum leverage ratio. As of March 31, 2025, P10 was in compliance with its financial and other covenants required under the facility. For the three months ended March 31, 2025 and March 31, 2024, $6.0 million and $5.4 million of interest expense was incurred,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Payable</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24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w w:val="99"/>
              </w:rPr>
              <w:t>Future principal maturities of debt as of March 31, 2025 are as follows: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40" w:type="dxa"/>
            <w:vAlign w:val="bottom"/>
            <w:vMerge w:val="restart"/>
          </w:tcPr>
          <w:p>
            <w:pPr>
              <w:spacing w:after="0"/>
              <w:rPr>
                <w:sz w:val="19"/>
                <w:szCs w:val="19"/>
                <w:color w:val="auto"/>
              </w:rPr>
            </w:pPr>
          </w:p>
        </w:tc>
        <w:tc>
          <w:tcPr>
            <w:tcW w:w="4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4500" w:type="dxa"/>
            <w:vAlign w:val="bottom"/>
            <w:shd w:val="clear" w:color="auto" w:fill="CFF0FC"/>
          </w:tcPr>
          <w:p>
            <w:pPr>
              <w:jc w:val="right"/>
              <w:ind w:right="4050"/>
              <w:spacing w:after="0"/>
              <w:rPr>
                <w:sz w:val="20"/>
                <w:szCs w:val="20"/>
                <w:color w:val="auto"/>
              </w:rPr>
            </w:pPr>
            <w:r>
              <w:rPr>
                <w:rFonts w:ascii="Times New Roman" w:cs="Times New Roman" w:eastAsia="Times New Roman" w:hAnsi="Times New Roman"/>
                <w:sz w:val="18"/>
                <w:szCs w:val="18"/>
                <w:color w:val="auto"/>
                <w:w w:val="94"/>
              </w:rPr>
              <w:t>2025</w:t>
            </w:r>
          </w:p>
        </w:tc>
        <w:tc>
          <w:tcPr>
            <w:tcW w:w="840" w:type="dxa"/>
            <w:vAlign w:val="bottom"/>
            <w:gridSpan w:val="2"/>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500" w:type="dxa"/>
            <w:vAlign w:val="bottom"/>
          </w:tcPr>
          <w:p>
            <w:pPr>
              <w:jc w:val="right"/>
              <w:ind w:right="4050"/>
              <w:spacing w:after="0"/>
              <w:rPr>
                <w:sz w:val="20"/>
                <w:szCs w:val="20"/>
                <w:color w:val="auto"/>
              </w:rPr>
            </w:pPr>
            <w:r>
              <w:rPr>
                <w:rFonts w:ascii="Times New Roman" w:cs="Times New Roman" w:eastAsia="Times New Roman" w:hAnsi="Times New Roman"/>
                <w:sz w:val="18"/>
                <w:szCs w:val="18"/>
                <w:color w:val="auto"/>
                <w:w w:val="94"/>
              </w:rPr>
              <w:t>2026</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500" w:type="dxa"/>
            <w:vAlign w:val="bottom"/>
            <w:shd w:val="clear" w:color="auto" w:fill="CFF0FC"/>
          </w:tcPr>
          <w:p>
            <w:pPr>
              <w:jc w:val="right"/>
              <w:ind w:right="4050"/>
              <w:spacing w:after="0"/>
              <w:rPr>
                <w:sz w:val="20"/>
                <w:szCs w:val="20"/>
                <w:color w:val="auto"/>
              </w:rPr>
            </w:pPr>
            <w:r>
              <w:rPr>
                <w:rFonts w:ascii="Times New Roman" w:cs="Times New Roman" w:eastAsia="Times New Roman" w:hAnsi="Times New Roman"/>
                <w:sz w:val="18"/>
                <w:szCs w:val="18"/>
                <w:color w:val="auto"/>
                <w:w w:val="94"/>
              </w:rPr>
              <w:t>2027</w:t>
            </w: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4500" w:type="dxa"/>
            <w:vAlign w:val="bottom"/>
          </w:tcPr>
          <w:p>
            <w:pPr>
              <w:jc w:val="right"/>
              <w:ind w:right="4050"/>
              <w:spacing w:after="0"/>
              <w:rPr>
                <w:sz w:val="20"/>
                <w:szCs w:val="20"/>
                <w:color w:val="auto"/>
              </w:rPr>
            </w:pPr>
            <w:r>
              <w:rPr>
                <w:rFonts w:ascii="Times New Roman" w:cs="Times New Roman" w:eastAsia="Times New Roman" w:hAnsi="Times New Roman"/>
                <w:sz w:val="18"/>
                <w:szCs w:val="18"/>
                <w:color w:val="auto"/>
                <w:w w:val="94"/>
              </w:rPr>
              <w:t>2028</w:t>
            </w:r>
          </w:p>
        </w:tc>
        <w:tc>
          <w:tcPr>
            <w:tcW w:w="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121" w:lineRule="exact"/>
        <w:rPr>
          <w:sz w:val="20"/>
          <w:szCs w:val="20"/>
          <w:color w:val="auto"/>
        </w:rPr>
      </w:pPr>
    </w:p>
    <w:p>
      <w:pPr>
        <w:ind w:right="100" w:firstLine="554"/>
        <w:spacing w:after="0" w:line="258" w:lineRule="auto"/>
        <w:rPr>
          <w:sz w:val="20"/>
          <w:szCs w:val="20"/>
          <w:color w:val="auto"/>
        </w:rPr>
      </w:pPr>
      <w:r>
        <w:rPr>
          <w:rFonts w:ascii="Times New Roman" w:cs="Times New Roman" w:eastAsia="Times New Roman" w:hAnsi="Times New Roman"/>
          <w:sz w:val="18"/>
          <w:szCs w:val="18"/>
          <w:color w:val="auto"/>
        </w:rPr>
        <w:t>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 contributed an additional $3.4 thousand monthly. P10 has paid $0.1 million and $0.1 million in rent to 210 Capital, LLC for the three months ended March 31, 2025 and March 31, 2024, respectively. As of both December 31, 2024 and March 31, 2025, this is no longer a related party transaction.</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described in Note 1, through its subsidiaries, the Company serves as the investment manager to the Funds. Certain expenses incurred by the Funds are paid upfront and are reimbursed from the Funds as permissible per fund agreements. As of March 31, 2025, the total accounts receivable from the Funds totaled $33.1 million, of which $18.1 million related to fees earned but not yet received and $15.0 million related to reimbursable expenses. As of December 31, 2024, the total accounts receivable from the Funds totaled $42.5 million, of which $30.4 million related to fees earned but not yet received and $12.1 million related to reimbursable expenses. Reimbursable expenses and fees earned but not yet received are included in due from related parties and accounts receivable on the Consolidated Balance Sheets, respectively. In certain instances, the Company may incur expenses related to specific products that never materialize and therefore would not be reimbursed and expensed at that time.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the closing of the Company’s acquisition of ECG, the Advisory Agreement between ECG and Enhanced PC immediately became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agreement, ECG provides advisory services to Enhanced PC related to the assets and operations of the permanent capital subsidiaries owned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Enhanced PC. ECG provides advisory services relating to new projects undertaken by Enhanced PC under additional arrangements governed by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Advisory Agreement. In exchange for those services, which commenced on January 1, 2021, ECG receives advisory fees from Enhanced PC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declining fixed fee schedule, that is commensurate with the level of services being performed. The Company allocates a portion of the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under this arrangement to a financing component when it determines that a significant financing component exists. As of March 31, 2025,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contracts with Enhanced PC contained a significant financing component, as a result of the Company's expectation that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services being provided and cash collection will exceed one year. Interest income related to the identified significant financing component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thousand for the three months ended March 31, 2025. No significant financing components were identified for the three months ended March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total contractual advisory fees are $119.6 million over eleven years inclusive of new projects added since inception.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are subject to customary termination provisions. Since inception, $82.8 million of the total $119.6 million advisory fees have been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revenue. There was $36.8 million in remaining performance obligations related to these agreements, which will be recognized between April 1, 2025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2032. For the three months ended March 31, 2025 and March 31, 2024, advisory fees earned or recognized under this agreement were $3.4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$4.2 million, respectively, and is reported in management and advisory fees on the Consolidated Statements of Operations. As of 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December 31, 2024</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firstLine="8"/>
        <w:spacing w:after="0" w:line="256" w:lineRule="auto"/>
        <w:tabs>
          <w:tab w:leader="none" w:pos="9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associated receivable was $69.2 million and $65.8 million and is included in due from related parties on the Consolidated Balance Sheets. The Company invoices Enhanced PC quarterly in arrears and earns interest on balances not paid within 30 days. Revenues from interest were $0.3 million and $0.2 million for the three months ended March 31, 2025 and March 31, 2024, respectively, which is included in management and advisory fees on the Consolidated Statements of Operations. As of March 31, 2025 and December 31, 2024, the associated interest receivable was $2.6 million and $2.2 million and is included in due from related parties on the Consolidated Balance Sheets. Payment is expected to be collected as the permanent capital subsidiaries complete and liquidate multi-year projects covered under this agreement.</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Upon the closing of the Company’s acquisition of ECG, the Administrative Services Agreement between ECG and Enhanced Capital Holdings, Inc. (“ECH”), immediately became effective. Under this agreement, ECG pays ECH for the use of their employees to provide services at the direction of ECG. The Company recognized $2.5 million and $3.2 million for the three months ended March 31, 2025 and March 31, 2024, respectively, related to this agreement within compensation and benefits in our Consolidated Statements of Operations. As of March 31, 2025 and December 31, 2024, the associated accrual was $0.4 million and $3.4 million, respectively, and is included in due to related parties on the Consolidated Balance Sheets.</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September 10, 2021, Enhanced entered into a strategic partnership with Crossroads Impact Corp. ("Crossroads"), the parent company of Capital Plus Financial ("CPF"), a leading certified development financial institution. Under the terms of the agreement, Enhanced was to originate and manage loans across its diverse lines of business including small business loans to women and minority owned businesses, and loans to renewable energy and community development projects. The loans were to be held by CPF and CPF will pay an advisory fee to Enhanced.</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July 6, 2022, Crossroads entered into the Advisory Agreement (the "Crossroads Advisory Agreement") with ECG. The Crossroads Advisory Agreement provides for ECG to receive a services fee of approximately 1.5% per year of the capital deployed by Crossroads under the Crossroads Advisory Agreement (0.375% quarterly) and an incentive fee of 15% over a 7% hurdle rate. In relation to the strategic partnership with Crossroads effective September 10, 2021 and the Crossroads Advisory Agreement, the Company recognized $0 and $2.2 million for the three months ended March 31, 2025 and March 31, 2024, respectively, which is included in management and advisory fees on the Consolidated Statements of Operations.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July 6, 2022, certain funds managed by the Company purchased 4,646,840 shares of Crossroads common stock at $10.76 per share, for an aggregate amount of approximately $50 million. On August 1, 2022, an additional purchase of 1,394,052 shares of Crossroads common stock at $10.76 per share occurred. The funds managed by the Company do not have the ability to change the investment strategy of Crossroads. Two former members of the Board of Directors of the Company were directors of Crossroads and had recused themselves from any decisions related to Crossroads or CPF. The Company recognizes an annual fee from the funds of $20 thousand of which $5 thousand and $5 thousand have been recognized for the three months ended March 31, 2025 and March 31, 2024, which is included in management and advisory fees on the Consolidated Statements of Operations.</w:t>
      </w:r>
    </w:p>
    <w:p>
      <w:pPr>
        <w:spacing w:after="0" w:line="18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December 23, 2024, Crossroads and ECG terminated the Crossroads Advisory Agreement. Additionally, the impact credit asset portfolio managed by the Company was contributed to two new limited liability companies ("Clifford") and the funds managed by the Company redeemed their interest in Crossroads in exchange for membership interests in Clifford in proportion to the fair value of the net assets contributed. At the same time, ECG entered into an Advisory Agreement with Clifford ("Clifford Advisory Agreement") to manage the impact credit asset portfolio, which has a term ending on the disposal date for all of Clifford's underlying investments. The Clifford Advisory Agreement provides for ECG to receive a services fee of approximately 1.5% per year of the capital deployed by Clifford under the Clifford Advisory Agreement. Clifford is not considered a related party to the Company.</w:t>
      </w:r>
    </w:p>
    <w:p>
      <w:pPr>
        <w:spacing w:after="0" w:line="18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As part of the Clifford arrangement, Enhanced Clifford (GP) LLC ("Clifford GP"), a direct subsidiary of ECH, was formed. Clifford GP receives incremental fees from Clifford as part of the Clifford Advisory Agreement. The Company is a guarantor on a put option and call option with third party customers. Refer to Note 13 for further details.</w:t>
      </w:r>
    </w:p>
    <w:p>
      <w:pPr>
        <w:spacing w:after="0" w:line="176" w:lineRule="exact"/>
        <w:rPr>
          <w:sz w:val="20"/>
          <w:szCs w:val="20"/>
          <w:color w:val="auto"/>
        </w:rPr>
      </w:pPr>
    </w:p>
    <w:p>
      <w:pPr>
        <w:jc w:val="both"/>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has Advance Agreements and Secured Promissory Notes with BCP, an entity that was formed by employees of the Company, and certain Bonaccord employees. For details, see Note 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leases office space and various equipment under non-cancelable operating leases, with the longest lease expiring in 2036. These lease agreements provide for various renewal options. Rent expense for the various leased office space and equipment was approximately $1.3 million for the three months ended March 31, 2025 and $1.0 million for the three months ended March 31, 2024.</w:t>
      </w:r>
    </w:p>
    <w:p>
      <w:pPr>
        <w:spacing w:after="0" w:line="176"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an insignificant amount of office equipment under non-cancelable financing leases, with the longest lease expiring in 2028. The finance lease right-of-use asset is included in right-of-use assets and the finance lease liability is included in lease liabilities in the Consolidated Balance Sheets. Amortization and interest expense for the finance leased equipment is included in general, administrative and other in the Consolidated Statements of Operations.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Company’s operating leases as of March 31, 2025:</w:t>
      </w:r>
    </w:p>
    <w:p>
      <w:pPr>
        <w:spacing w:after="0" w:line="203"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21,139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54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cash paid during the three months ended March 31, 2025 for operating</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432"/>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contractual lease payments as of March 31, 2025 are as follows: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(6,672)</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74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Payment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With the acquisition of WTI,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March 31, 2025, the Company has determined that only the first two EBITDA hurdles are probable of being achieved. For the three months ended March 31, 2025 and March 31, 2024, $3.0 million and $3.0 million of expense was recognized, respectively, which is included in compensation and benefits in the Consolidated Statements of Operations. As of March 31, 2025 and December 31, 2024, the balance was $41.5 million and $38.5 million, respectively, which is included in accrued compensation and benefits in the Consolidated Balance Sheets. No payments have been made on the earnout.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Payment</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 or greater than $20.0 million. Payment can be made in cash or stock of P10, provided that no more than $5.0 million will be payable in cash. Total payment will not exceed $10.0 million and any amounts will be paid in October 2027, the fifth anniversary of the effective date. For the three months ended March 31, 2025 and March 31, 2024, the Company recognized $0.5 million and $0.5 million of expense, respectively, which is included in compensation and benefits in the Consolidated Statements of Operations. As of March 31, 2025 and December 31, 2024, the balance was $4.9 million and $4.4 million, respectively, and is included in accrued compensation and benefits in the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Arrangement</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recognizes accrued contingent liabilities and contingent payments to customers assets in the Consolidated Balance Sheets for agreements that exist between ECG and third party customers.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Both options are not exercisable until a certain period of time has lapsed per the agreements.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estimated term of the revenue share agreements. As of March 31, 2025, the Company has determined that the put options are probable of being exercised and have accrued estimated contingent liabilities and contingent payments to customers. As of March 31, 2025 and December 31, 2024, the associated liabilities were $13.8 million and $13.8 million, respectively, and are included in accrued contingent liabilities on the Consolidated Balance Sheets. The associated contingent payments to customers assets were $9.9 million and $10.0 million as of March 31, 2025 and December 31, 2024, respectively. The Company recognized $0.1 million and $0.4 million of amortization of contingent payments to customers for the three months ended March 31, 2025 and March 31, 2024, respectively, which is included in management and advisory fees on the Consolidated Statements of Operations. The Company will reassess each period and recognize all changes.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December 23, 2024, the Company became a guarantor for Clifford GP on a related put option and call option with the same third party customers and terms. The Company would be required to settle either the put or call options if either are exercised and Clifford GP does not have the means to settle themselves. The Company's accrued contingent liabilities are recognized once determined that it is probable the Company would need to settle as guarantor and estimable and would record a loss at the same time. As of March 31, 2025 and December 31, 2024, the associated liabilities were $10.4 million and $10.1 million, respectively, and are included in accrued contingent liabilities on the Consolidated Balance Sheets. There was $0.3 million and no expense recognized for the three months ended March 31, 2025 and March 31, 2024, respectively, which was included in other income on the Consolidated Statements of Operations. The Company will reassess each period and recognize all changes.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if any are applicable. We do not believe that any of these matters, individually or in the aggregate, will result in losses that are materially in excess of amounts already recognized,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Based on these methodologies, the Company’s effective income tax rate was 5.34% and 25.11% for the three months ended March 31, 2025 and 2024, respectively. The effective tax rate differs from the federal statutory rate of 21% due to executive compensation subject to Section 162(m) limitation, state taxes, and a discrete period recognition of windfall tax adjustments related to options exercised year-to-date.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in management's view, is more likely than not to be realized in the foreseeable future. This level will be estimated based on a number of factors, especially the amount of net deferred tax assets of the Company that are actually expected to be realized, for tax purposes, in the foreseeable future. As of March 31, 2025, the Company has recorded a $12.8 million valuation allowance against deferred tax assets, primarily related to a note impairment. There was no change to the valuation allowance during the period.</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Starting with options granted in 2024 under the Plan, vesting generally occurs on a graded schedule with 25% vesting on each of the second, third, fourth, and fifth anniversary of the grant date, but only if the grantee is continuously employed by the Company or a subsidiary through each such date. Options granted prior to 2024 under both the Plan and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18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June 17, 2022, at the Annual Meeting of Stockholders, the shareholders authorized an increase of 5,000,000 shares that may be issued under the Plan. On December 9, 2022, a special meeting of stockholders was held to increase the number of shares issuable under the Plan by 4,000,000 shares. On June 14, 2024, at the Annual Meeting of Stockholders, the shareholders authorized an increase of 11,000,000 shares available under the Plan, resulting in a total of 29,300,000 shares available for grant under the Plan and the 2018 Plan. As of March 31, 2025, there are 7,890,978 shares available for grant under the Plan.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for the three months ended March 31, 2025 is as follows: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3"/>
                <w:szCs w:val="13"/>
                <w:color w:val="auto"/>
              </w:rPr>
            </w:pPr>
          </w:p>
        </w:tc>
        <w:tc>
          <w:tcPr>
            <w:tcW w:w="13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6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3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(whole dollars)</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12,965,897</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8.58</w:t>
            </w:r>
          </w:p>
        </w:tc>
        <w:tc>
          <w:tcPr>
            <w:tcW w:w="1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52,343,412</w:t>
            </w:r>
          </w:p>
        </w:tc>
        <w:tc>
          <w:tcPr>
            <w:tcW w:w="0" w:type="dxa"/>
            <w:vAlign w:val="bottom"/>
          </w:tcPr>
          <w:p>
            <w:pPr>
              <w:spacing w:after="0"/>
              <w:rPr>
                <w:sz w:val="1"/>
                <w:szCs w:val="1"/>
                <w:color w:val="auto"/>
              </w:rPr>
            </w:pPr>
          </w:p>
        </w:tc>
      </w:tr>
      <w:tr>
        <w:trPr>
          <w:trHeight w:val="229"/>
        </w:trPr>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2,271,044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12.61</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(247,664)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3.87</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Expired/Forfeited</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(249,298)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10.47</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14,739,979</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9.25</w:t>
            </w:r>
          </w:p>
        </w:tc>
        <w:tc>
          <w:tcPr>
            <w:tcW w:w="1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39,551,620</w:t>
            </w: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March 31, 2025</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2,532,438</w:t>
            </w:r>
          </w:p>
        </w:tc>
        <w:tc>
          <w:tcPr>
            <w:tcW w:w="140" w:type="dxa"/>
            <w:vAlign w:val="bottom"/>
          </w:tcPr>
          <w:p>
            <w:pPr>
              <w:spacing w:after="0"/>
              <w:rPr>
                <w:sz w:val="17"/>
                <w:szCs w:val="17"/>
                <w:color w:val="auto"/>
              </w:rPr>
            </w:pPr>
          </w:p>
        </w:tc>
        <w:tc>
          <w:tcPr>
            <w:tcW w:w="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5.43</w:t>
            </w:r>
          </w:p>
        </w:tc>
        <w:tc>
          <w:tcPr>
            <w:tcW w:w="19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4.94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16,025,907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-187960</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-170815</wp:posOffset>
            </wp:positionV>
            <wp:extent cx="59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-187960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-170815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-187960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59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-187960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Compensation expense equal to the grant date fair value is recognized for these awards over the vesting period and is included in compensation and benefits in the Consolidated Statements of Operations. When stock options exercise, the awards are generally settled in equity net of employee tax withholdings and strike price.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Stock price volatility is estimated using a weighted average of P10 and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the quarterly dividend as of the grant date. The stock-based compensation expense for stock options was $2.3 million and $2.8 million for the three months ended March 31, 2025 and March 31, 2024, respectively. The total associated income tax benefit was $2.4 million and $2.3 million for the three months ended March 31, 2025 and 2024, respectively. Unrecognized stock-based compensation expense related to outstanding unvested stock options as of March 31, 2025 was $31.4 million and is expected to be recognized over a weighted average period of 2.96 years. Any future forfeitures will impact this amount.</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assumptions used in calculating the fair value of stock options granted during the three months ended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were as follows:</w:t>
      </w:r>
    </w:p>
    <w:p>
      <w:pPr>
        <w:spacing w:after="0" w:line="173"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31,</w:t>
      </w:r>
    </w:p>
    <w:tbl>
      <w:tblPr>
        <w:tblLayout w:type="fixed"/>
        <w:tblInd w:w="1820" w:type="dxa"/>
        <w:tblCellMar>
          <w:top w:w="0" w:type="dxa"/>
          <w:left w:w="0" w:type="dxa"/>
          <w:bottom w:w="0" w:type="dxa"/>
          <w:right w:w="0" w:type="dxa"/>
        </w:tblCellMar>
      </w:tblPr>
      <w:tr>
        <w:trPr>
          <w:trHeight w:val="142"/>
        </w:trPr>
        <w:tc>
          <w:tcPr>
            <w:tcW w:w="510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r>
    </w:tbl>
    <w:p>
      <w:pPr>
        <w:spacing w:after="0" w:line="179"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The Company has granted restricted stock awards ("RSAs") to certain non-employee directors. Holders of RSAs have no voting rights and accrue dividends until vesting with payment being made once they vest. When RSAs vest, the awards are generally settled in equity. All of the shares currently vest one year from the grant date. Compensation expense equal to the grant date fair value is recognized for these awards over the vesting period and is included in compensation and benefits in the Consolidated Statements of Operations. RSA compensation cost is estimated at the grant date based on the fair value of the award, which is based on the closing market price on the day of grant, and is recognized as expense ratably over the requisite service period of the awards. The stock-based compensation expense for RSAs was $0.2 million and $0.1 million for the three months ended March 31, 2025 and 2024, respectively, which is included in compensation and benefits on the Consolidated Statements of Operations. There was no associated income tax benefit for the three months ended March 31, 2025 and 2024, respectively. Unrecognized stock-based compensation expense related to outstanding unvested RSAs as of March 31, 2025 was $0.2 million and is expected to be recognized over a weighted average period of 0.21 years. Any future forfeitures will impact this amount.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90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73"/>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90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RSAs</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Date Fair Value Per RSA</w:t>
            </w:r>
          </w:p>
        </w:tc>
        <w:tc>
          <w:tcPr>
            <w:tcW w:w="0" w:type="dxa"/>
            <w:vAlign w:val="bottom"/>
          </w:tcPr>
          <w:p>
            <w:pPr>
              <w:spacing w:after="0"/>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93,473</w:t>
            </w:r>
          </w:p>
        </w:tc>
        <w:tc>
          <w:tcPr>
            <w:tcW w:w="6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Company has granted restricted stock units ("RSUs") to certain employees. Holders of RSUs have no voting rights and generally are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to receive dividends or other distributions paid with respect to any RSUs that have not vested. When RSUs vest, the awards are generally settled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net of employee tax withholdings. Compensation expense equal to the grant date fair value is recognized for these awards over the vesting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is included in compensation and benefits in the Consolidated Statements of Operations. RSU compensation cost is estimated at the grant date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award, which is based on one of the following methods: (1) the closing market price on the day of the grant, (2) the closing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on the day prior to grant, or (3) a 30-day volume weighted average price ("VWAP") is recognized as expense ratably over the requisite service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awards. Most of the shares currently vest one year from the grant date excluding certain executive RSUs, the Bonaccord, and Executive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which are discussed in more detail below. The stock-based compensation expense for RSUs excluding the Bonaccord, Executive Transition,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Market Units, which are discussed in more detail below, was $3.4 million and $2.5 million for the three months ended March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which is included in compensation and benefits on the Consolidated Statements of Operations. The total associated income tax benefit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 million and $5.0 million for the three months ended March 31, 2025 and 2024, respectively. Unrecognized stock-based compensation expense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outstanding unvested RSUs as of March 31, 2025 was $15.3 million and is expected to be recognized over a weighted average period of 1.03 years.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forfeitures will impact this amount.</w:t>
      </w:r>
    </w:p>
    <w:p>
      <w:pPr>
        <w:spacing w:after="0" w:line="207"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On August 16, 2022, allocations were finalized pursuant to which an aggregate value of $17.5 million of units may vest at each future achievement of performance metrics. The Company evaluates whether it is probable that the Bonaccord Units will vest and applies the tranche method to determine the amount of expense to recognize during the period. As of March 31, 2025, certain performance metrics have been met and specific employees have earned and been paid $17.5 million in value, of which $6.6 million was settled in shares and $10.9 million was settled in cash. An expense of $0 and $0.4 million has been recorded for the three months ended March 31, 2025 and March 31, 2024, respectively, on the Consolidated Statements of Operations. The income tax benefit associated with the Bonaccord Units was $4.0 million and $0.8 million for the three months ended March 31, 2025 and 2024, respectively.</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October 23, 2023, the Company transitioned from their former co-CEOs to our current CEO ("Executive Transition"), the Company entered into an Executive Transition Agreement with a certain former executive, which granted Restricted Stock Units ("Executive Transition Units") for meeting a service requirement. The award has a stated value of $4.0 million and will be issued in $1.0 million increments quarterly beginning on October 20, 2023 and at the start of each of the following three quarters. Each $1.0 million increment will vest one year following issuance. Attributes of this award include graded vesting and service conditions, therefore, the expense recognition of this award is recognized on straight-line basis over the requisite service period of the award in line with the policy election discussed in Note 2. As of December 31, 2024, all Executive Transition Units have vested and been issued. No stock compensation expense for these units was incurred for the three months ended March 31, 2025. For the three months ended March 31, 2024, $0.6 million of stock compensation was recognized on the Consolidated Statements of Operations. There was no associated income tax benefit for the Executive Transition Units for the three months ended March 31, 2025 and 2024.</w:t>
      </w:r>
    </w:p>
    <w:p>
      <w:pPr>
        <w:spacing w:after="0" w:line="18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VWAP. The executive is entitled to receive RSUs upon the thirty-day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 dividing $8.0 million by the applicable stock price performance hurdle, for a total of up to $40.0 million of units or approximately 2 million shares. The Executive Market Units may not be transferred, sold, pledged, exchanged, assigned or otherwise encumbered or disposed of</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March 31, 2025, none of the Executive Market Units have vested. For the three months ended March 31, 2025 and March 31, 2024, respectively, $0.7 million and $0.7 million of stock compensation was recognized on the Consolidated Statements of Operations. There was no associated income tax benefit for the three months ended March 31, 2025 and 2024. The unrecognized expense associated with the Executive Market Units was $6.9 million as of March 31, 2025.</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table shows the assumptions used in the Monte Carlo simulation for the Executive Market Units' fair value.</w:t>
      </w:r>
    </w:p>
    <w:p>
      <w:pPr>
        <w:spacing w:after="0" w:line="181" w:lineRule="exact"/>
        <w:rPr>
          <w:sz w:val="20"/>
          <w:szCs w:val="20"/>
          <w:color w:val="auto"/>
        </w:rPr>
      </w:pPr>
    </w:p>
    <w:tbl>
      <w:tblPr>
        <w:tblLayout w:type="fixed"/>
        <w:tblInd w:w="182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09"/>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October 23, 2023</w:t>
            </w:r>
          </w:p>
        </w:tc>
        <w:tc>
          <w:tcPr>
            <w:tcW w:w="0" w:type="dxa"/>
            <w:vAlign w:val="bottom"/>
          </w:tcPr>
          <w:p>
            <w:pPr>
              <w:spacing w:after="0"/>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4.81%</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table excludes Executive Market Units that the market conditions have not been satisfied.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78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73"/>
        </w:trPr>
        <w:tc>
          <w:tcPr>
            <w:tcW w:w="5540" w:type="dxa"/>
            <w:vAlign w:val="bottom"/>
          </w:tcPr>
          <w:p>
            <w:pPr>
              <w:spacing w:after="0"/>
              <w:rPr>
                <w:sz w:val="15"/>
                <w:szCs w:val="15"/>
                <w:color w:val="auto"/>
              </w:rPr>
            </w:pPr>
          </w:p>
        </w:tc>
        <w:tc>
          <w:tcPr>
            <w:tcW w:w="1780" w:type="dxa"/>
            <w:vAlign w:val="bottom"/>
            <w:tcBorders>
              <w:bottom w:val="single" w:sz="8" w:color="auto"/>
            </w:tcBorders>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RSUs</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c>
          <w:tcPr>
            <w:tcW w:w="100" w:type="dxa"/>
            <w:vAlign w:val="bottom"/>
          </w:tcPr>
          <w:p>
            <w:pPr>
              <w:spacing w:after="0"/>
              <w:rPr>
                <w:sz w:val="15"/>
                <w:szCs w:val="15"/>
                <w:color w:val="auto"/>
              </w:rPr>
            </w:pPr>
          </w:p>
        </w:tc>
      </w:tr>
      <w:tr>
        <w:trPr>
          <w:trHeight w:val="209"/>
        </w:trPr>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1,422,269</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8.68</w:t>
            </w:r>
          </w:p>
        </w:tc>
      </w:tr>
      <w:tr>
        <w:trPr>
          <w:trHeight w:val="216"/>
        </w:trPr>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907,419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w:t>
            </w:r>
          </w:p>
        </w:tc>
      </w:tr>
      <w:tr>
        <w:trPr>
          <w:trHeight w:val="216"/>
        </w:trPr>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(720,237)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7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1,609,451</w:t>
            </w:r>
          </w:p>
        </w:tc>
        <w:tc>
          <w:tcPr>
            <w:tcW w:w="2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11.20</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Earnings Per Share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For the three months ended March 31, 2025 and March 31, 2024, diluted EPS also reflects the potential dilution that could occur assuming that all units in P10 Intermediate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spacing w:after="0" w:line="18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has Class A and Class B shares outstanding, therefore follows the two-class method. However the shares are entitled to the same amount of the Company's earnings therefore the earnings per share calculation for Class A and Class B shares will always be equivalent.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numerators and denominators used in the computation of basic and diluted EPS:</w:t>
      </w:r>
    </w:p>
    <w:p>
      <w:pPr>
        <w:spacing w:after="0" w:line="232"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123"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Numerator for basic calculation—Net income</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Numerator for basic calculation—Net income</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attributable to P10</w:t>
            </w:r>
          </w:p>
        </w:tc>
        <w:tc>
          <w:tcPr>
            <w:tcW w:w="92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 for:</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 in P10 Intermediate</w:t>
            </w: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earnings per share</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Numerator for earnings per share assuming dilution</w:t>
            </w:r>
          </w:p>
        </w:tc>
        <w:tc>
          <w:tcPr>
            <w:tcW w:w="92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9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Denominator for basic calculation—Weighted-</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average shares outstanding, basic attributable to P10</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110,907</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shares assumed upon exercise of partnership units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 shares assumed upon exercise of stock</w:t>
            </w:r>
          </w:p>
        </w:tc>
        <w:tc>
          <w:tcPr>
            <w:tcW w:w="92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options and vesting of restricted stock units</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for earnings per share assuming dilution</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119,352</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Earnings per Class A share—basic</w:t>
            </w:r>
          </w:p>
        </w:tc>
        <w:tc>
          <w:tcPr>
            <w:tcW w:w="92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62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Earnings per Class A share—diluted</w:t>
            </w: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Earnings per Class B share—basic</w:t>
            </w:r>
          </w:p>
        </w:tc>
        <w:tc>
          <w:tcPr>
            <w:tcW w:w="92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Earnings per Class B share—diluted</w:t>
            </w: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-1854200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-1854200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-1570990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-1553845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-1570990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-1553845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-730885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-730885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computations of diluted earnings per share on a weighted average basis would exclude 4.7 million options for the three months ended March 31, 2025, and 12.0 million options for the three months ended March 31, 2024, respectively, because the options were anti-dilutive.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Reporting</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accounting policies of the Company's single operating segment are the same as those described in the summary of significant accounting policies in Note 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Information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No individual client constituted more than 10% of the Company's total revenues for the three months ended March 31, 2025 and 2024. Refer to Note 3 for further details provided on the Company's source of revenues. From time to time, a fund managed by the Company will constitute more than 10% of the Company's total revenue due to catch-up fees, which are described in Note 2. Catch-up fees are non-recurring in nature and as such these funds do not represent a concentration risk for the Company's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primary geographic region in which the Company invests is in the United States and the majority of its revenues are generated in the United States. For the three months ended March 31, 2025 and 2024, most of the Company's revenues were generated in the United States. No individual foreign country constituted more than 10% of the Company's revenues for the three months ended March 31, 2025 and 2024.</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long-lived assets consist of property and equipment, lease right-of-use assets, and finite-lived intangibles. As of March 31, 2025 and December 31, 2024, most of the Company's long-lived assets were in the United States. No individual foreign country constituted more than 10% of the Company's long-lived assets as of March 31, 2025 and December 31, 2024.</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Segment Expense</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 revenue, segment profit or loss, and significant segment expenses for the three months ended March 31, 2025 and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0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140" w:type="dxa"/>
            <w:vAlign w:val="bottom"/>
            <w:gridSpan w:val="2"/>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67,667</w:t>
            </w:r>
          </w:p>
        </w:tc>
        <w:tc>
          <w:tcPr>
            <w:tcW w:w="3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14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66,115</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cash compensation and benefits, net of one-time expenses</w:t>
            </w: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(25,633)</w:t>
            </w:r>
          </w:p>
        </w:tc>
        <w:tc>
          <w:tcPr>
            <w:tcW w:w="16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(25,999)</w:t>
            </w:r>
          </w:p>
        </w:tc>
      </w:tr>
      <w:tr>
        <w:trPr>
          <w:trHeight w:val="216"/>
        </w:trPr>
        <w:tc>
          <w:tcPr>
            <w:tcW w:w="5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stock based compensation</w:t>
            </w:r>
          </w:p>
        </w:tc>
        <w:tc>
          <w:tcPr>
            <w:tcW w:w="4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(6,565)</w:t>
            </w:r>
          </w:p>
        </w:tc>
        <w:tc>
          <w:tcPr>
            <w:tcW w:w="16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(6,715)</w:t>
            </w:r>
          </w:p>
        </w:tc>
      </w:tr>
      <w:tr>
        <w:trPr>
          <w:trHeight w:val="216"/>
        </w:trPr>
        <w:tc>
          <w:tcPr>
            <w:tcW w:w="534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Less: management profit share</w:t>
            </w:r>
            <w:r>
              <w:rPr>
                <w:rFonts w:ascii="Times New Roman" w:cs="Times New Roman" w:eastAsia="Times New Roman" w:hAnsi="Times New Roman"/>
                <w:sz w:val="24"/>
                <w:szCs w:val="24"/>
                <w:color w:val="auto"/>
                <w:vertAlign w:val="superscript"/>
              </w:rPr>
              <w:t>(2)</w:t>
            </w: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(1,162)</w:t>
            </w:r>
          </w:p>
        </w:tc>
        <w:tc>
          <w:tcPr>
            <w:tcW w:w="16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5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professional fees, net of one-time expenses</w:t>
            </w:r>
          </w:p>
        </w:tc>
        <w:tc>
          <w:tcPr>
            <w:tcW w:w="4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(3,450)</w:t>
            </w:r>
          </w:p>
        </w:tc>
        <w:tc>
          <w:tcPr>
            <w:tcW w:w="16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(3,164)</w:t>
            </w:r>
          </w:p>
        </w:tc>
      </w:t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general, administrative and other, net of one-time expenses</w:t>
            </w: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(5,745)</w:t>
            </w:r>
          </w:p>
        </w:tc>
        <w:tc>
          <w:tcPr>
            <w:tcW w:w="16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(4,850)</w:t>
            </w:r>
          </w:p>
        </w:tc>
      </w:tr>
      <w:tr>
        <w:trPr>
          <w:trHeight w:val="216"/>
        </w:trPr>
        <w:tc>
          <w:tcPr>
            <w:tcW w:w="5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placement agent expenses</w:t>
            </w:r>
          </w:p>
        </w:tc>
        <w:tc>
          <w:tcPr>
            <w:tcW w:w="4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(724)</w:t>
            </w:r>
          </w:p>
        </w:tc>
        <w:tc>
          <w:tcPr>
            <w:tcW w:w="16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(991)</w:t>
            </w:r>
          </w:p>
        </w:tc>
      </w:tr>
      <w:tr>
        <w:trPr>
          <w:trHeight w:val="216"/>
        </w:trPr>
        <w:tc>
          <w:tcPr>
            <w:tcW w:w="534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other segment items </w:t>
            </w:r>
            <w:r>
              <w:rPr>
                <w:rFonts w:ascii="Times New Roman" w:cs="Times New Roman" w:eastAsia="Times New Roman" w:hAnsi="Times New Roman"/>
                <w:sz w:val="24"/>
                <w:szCs w:val="24"/>
                <w:color w:val="auto"/>
                <w:vertAlign w:val="superscript"/>
              </w:rPr>
              <w:t>(1)</w:t>
            </w: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(19,692)</w:t>
            </w:r>
          </w:p>
        </w:tc>
        <w:tc>
          <w:tcPr>
            <w:tcW w:w="16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(18,393)</w:t>
            </w:r>
          </w:p>
        </w:tc>
      </w:tr>
      <w:tr>
        <w:trPr>
          <w:trHeight w:val="249"/>
        </w:trPr>
        <w:tc>
          <w:tcPr>
            <w:tcW w:w="53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top w:val="single" w:sz="8" w:color="auto"/>
              <w:bottom w:val="single" w:sz="8" w:color="auto"/>
            </w:tcBorders>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38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top w:val="single" w:sz="8" w:color="auto"/>
              <w:bottom w:val="single" w:sz="8" w:color="auto"/>
            </w:tcBorders>
            <w:shd w:val="clear" w:color="auto" w:fill="CFF0FC"/>
          </w:tcPr>
          <w:p>
            <w:pPr>
              <w:jc w:val="right"/>
              <w:ind w:right="14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ind w:left="520" w:right="500" w:hanging="3"/>
        <w:spacing w:after="0" w:line="266" w:lineRule="auto"/>
        <w:tabs>
          <w:tab w:leader="none" w:pos="7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net income includes (i) contingent consideration expense, amortization of intangibles, strategic alliance expense, income tax expense, interest expense, net, as well as other income, and (ii) one-time expenses excluded from the significant segment expenses.</w:t>
      </w:r>
    </w:p>
    <w:p>
      <w:pPr>
        <w:spacing w:after="0" w:line="13" w:lineRule="exact"/>
        <w:rPr>
          <w:rFonts w:ascii="Times New Roman" w:cs="Times New Roman" w:eastAsia="Times New Roman" w:hAnsi="Times New Roman"/>
          <w:sz w:val="18"/>
          <w:szCs w:val="18"/>
          <w:color w:val="auto"/>
        </w:rPr>
      </w:pPr>
    </w:p>
    <w:p>
      <w:pPr>
        <w:ind w:left="520" w:right="600" w:hanging="3"/>
        <w:spacing w:after="0" w:line="282" w:lineRule="auto"/>
        <w:tabs>
          <w:tab w:leader="none" w:pos="7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profit share represents compensation expense attributable to variable compensation structures tied to the profitability of our business, paid to senior employees.</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components of cash compensation and benefits, net of one-time expenses to their equivalent GAAP measures, reported in the Consolidated Statement of Operations for the three months ended March 31, 2025 and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452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8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80" w:type="dxa"/>
            <w:vAlign w:val="bottom"/>
            <w:shd w:val="clear" w:color="auto" w:fill="CFF0FC"/>
          </w:tcPr>
          <w:p>
            <w:pPr>
              <w:jc w:val="right"/>
              <w:ind w:right="15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37,080</w:t>
            </w:r>
          </w:p>
        </w:tc>
        <w:tc>
          <w:tcPr>
            <w:tcW w:w="38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15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37,109</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(6,565)</w:t>
            </w:r>
          </w:p>
        </w:tc>
        <w:tc>
          <w:tcPr>
            <w:tcW w:w="16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(6,715)</w:t>
            </w:r>
          </w:p>
        </w:tc>
      </w:tr>
      <w:tr>
        <w:trPr>
          <w:trHeight w:val="216"/>
        </w:trPr>
        <w:tc>
          <w:tcPr>
            <w:tcW w:w="584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Management profit share</w:t>
            </w:r>
            <w:r>
              <w:rPr>
                <w:rFonts w:ascii="Times New Roman" w:cs="Times New Roman" w:eastAsia="Times New Roman" w:hAnsi="Times New Roman"/>
                <w:sz w:val="24"/>
                <w:szCs w:val="24"/>
                <w:color w:val="auto"/>
                <w:vertAlign w:val="superscript"/>
              </w:rPr>
              <w:t>(2)</w:t>
            </w:r>
          </w:p>
        </w:tc>
        <w:tc>
          <w:tcPr>
            <w:tcW w:w="16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(1,162)</w:t>
            </w:r>
          </w:p>
        </w:tc>
        <w:tc>
          <w:tcPr>
            <w:tcW w:w="1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5840" w:type="dxa"/>
            <w:vAlign w:val="bottom"/>
            <w:tcBorders>
              <w:right w:val="single" w:sz="8" w:color="CFF0FC"/>
            </w:tcBorders>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One-time expenses </w:t>
            </w:r>
            <w:r>
              <w:rPr>
                <w:rFonts w:ascii="Times New Roman" w:cs="Times New Roman" w:eastAsia="Times New Roman" w:hAnsi="Times New Roman"/>
                <w:sz w:val="24"/>
                <w:szCs w:val="24"/>
                <w:color w:val="auto"/>
                <w:vertAlign w:val="superscript"/>
              </w:rPr>
              <w:t>(1)</w:t>
            </w:r>
          </w:p>
        </w:tc>
        <w:tc>
          <w:tcPr>
            <w:tcW w:w="16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(3,720)</w:t>
            </w:r>
          </w:p>
        </w:tc>
        <w:tc>
          <w:tcPr>
            <w:tcW w:w="16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(3,635)</w:t>
            </w:r>
          </w:p>
        </w:tc>
      </w:tr>
      <w:tr>
        <w:trPr>
          <w:trHeight w:val="20"/>
        </w:trPr>
        <w:tc>
          <w:tcPr>
            <w:tcW w:w="5840" w:type="dxa"/>
            <w:vAlign w:val="bottom"/>
            <w:tcBorders>
              <w:right w:val="single" w:sz="8" w:color="CFF0FC"/>
            </w:tcBorders>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Cash compensation and benefits, net of one-time expenses</w:t>
            </w:r>
          </w:p>
        </w:tc>
        <w:tc>
          <w:tcPr>
            <w:tcW w:w="1680" w:type="dxa"/>
            <w:vAlign w:val="bottom"/>
            <w:tcBorders>
              <w:bottom w:val="single" w:sz="8" w:color="auto"/>
            </w:tcBorders>
          </w:tcPr>
          <w:p>
            <w:pPr>
              <w:jc w:val="right"/>
              <w:ind w:right="15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25,633</w:t>
            </w:r>
          </w:p>
        </w:tc>
        <w:tc>
          <w:tcPr>
            <w:tcW w:w="380" w:type="dxa"/>
            <w:vAlign w:val="bottom"/>
          </w:tcPr>
          <w:p>
            <w:pPr>
              <w:spacing w:after="0"/>
              <w:rPr>
                <w:sz w:val="18"/>
                <w:szCs w:val="18"/>
                <w:color w:val="auto"/>
              </w:rPr>
            </w:pPr>
          </w:p>
        </w:tc>
        <w:tc>
          <w:tcPr>
            <w:tcW w:w="1680" w:type="dxa"/>
            <w:vAlign w:val="bottom"/>
            <w:tcBorders>
              <w:bottom w:val="single" w:sz="8" w:color="auto"/>
            </w:tcBorders>
          </w:tcPr>
          <w:p>
            <w:pPr>
              <w:jc w:val="right"/>
              <w:ind w:right="15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10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520" w:right="120" w:hanging="3"/>
        <w:spacing w:after="0" w:line="266" w:lineRule="auto"/>
        <w:tabs>
          <w:tab w:leader="none" w:pos="7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for one-time expenses relate primarily to (i) restructuring of the management team including signing bonus and severance; and (ii) acquisition-related expenses which reflects the actual costs incurred during the period for the acquisition of new businesses, which primarily consists of bonuses not paid to employees directly related to the WTI acquisition.</w:t>
      </w:r>
    </w:p>
    <w:p>
      <w:pPr>
        <w:spacing w:after="0" w:line="13" w:lineRule="exact"/>
        <w:rPr>
          <w:rFonts w:ascii="Times New Roman" w:cs="Times New Roman" w:eastAsia="Times New Roman" w:hAnsi="Times New Roman"/>
          <w:sz w:val="18"/>
          <w:szCs w:val="18"/>
          <w:color w:val="auto"/>
        </w:rPr>
      </w:pPr>
    </w:p>
    <w:p>
      <w:pPr>
        <w:ind w:left="520" w:right="600" w:hanging="3"/>
        <w:spacing w:after="0" w:line="282" w:lineRule="auto"/>
        <w:tabs>
          <w:tab w:leader="none" w:pos="7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profit share represents compensation expense attributable to variable compensation structures tied to the profitability of our business, paid to senior employees.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the components of professional fees, net of one-time expenses to their equivalent GAAP measures, reported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Operations for the three months ended March 31, 2025 and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58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500" w:type="dxa"/>
            <w:vAlign w:val="bottom"/>
          </w:tcPr>
          <w:p>
            <w:pPr>
              <w:spacing w:after="0"/>
              <w:rPr>
                <w:sz w:val="18"/>
                <w:szCs w:val="18"/>
                <w:color w:val="auto"/>
              </w:rPr>
            </w:pPr>
          </w:p>
        </w:tc>
        <w:tc>
          <w:tcPr>
            <w:tcW w:w="1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380" w:type="dxa"/>
            <w:vAlign w:val="bottom"/>
          </w:tcPr>
          <w:p>
            <w:pPr>
              <w:spacing w:after="0"/>
              <w:rPr>
                <w:sz w:val="18"/>
                <w:szCs w:val="18"/>
                <w:color w:val="auto"/>
              </w:rPr>
            </w:pPr>
          </w:p>
        </w:tc>
        <w:tc>
          <w:tcPr>
            <w:tcW w:w="1720" w:type="dxa"/>
            <w:vAlign w:val="bottom"/>
          </w:tcPr>
          <w:p>
            <w:pPr>
              <w:jc w:val="right"/>
              <w:ind w:right="155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5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One-time expenses </w:t>
            </w:r>
            <w:r>
              <w:rPr>
                <w:rFonts w:ascii="Times New Roman" w:cs="Times New Roman" w:eastAsia="Times New Roman" w:hAnsi="Times New Roman"/>
                <w:sz w:val="24"/>
                <w:szCs w:val="24"/>
                <w:color w:val="auto"/>
                <w:vertAlign w:val="superscript"/>
              </w:rPr>
              <w:t>(1)</w:t>
            </w:r>
          </w:p>
        </w:tc>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(3,065)</w:t>
            </w:r>
          </w:p>
        </w:tc>
        <w:tc>
          <w:tcPr>
            <w:tcW w:w="17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49"/>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 net of one-time expenses</w:t>
            </w:r>
          </w:p>
        </w:tc>
        <w:tc>
          <w:tcPr>
            <w:tcW w:w="150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top w:val="single" w:sz="8" w:color="auto"/>
              <w:bottom w:val="single" w:sz="8" w:color="auto"/>
            </w:tcBorders>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38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top w:val="single" w:sz="8" w:color="auto"/>
              <w:bottom w:val="single" w:sz="8" w:color="auto"/>
            </w:tcBorders>
            <w:shd w:val="clear" w:color="auto" w:fill="CFF0FC"/>
          </w:tcPr>
          <w:p>
            <w:pPr>
              <w:jc w:val="right"/>
              <w:ind w:right="155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32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-865505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-847725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hanging="3"/>
        <w:spacing w:after="0" w:line="261" w:lineRule="auto"/>
        <w:tabs>
          <w:tab w:leader="none" w:pos="7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for one-time expenses relate primarily to (i) restructuring of the management team including placement/search fees; (ii) acquisition-related expenses which reflects the actual costs incurred during the period for the acquisition of new businesses, which primarily consists of fees for professional services including legal, accounting, and advisory related to the acquisition; (iii) the cost of financing our business; and (iv) one-time advisory services related to technical accounting matters.</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components of general, administrative and other, net of one-time expenses to their equivalent GAAP measures, reported in the Consolidated Statement of Operations for the three months ended March 31, 2025 and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58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500" w:type="dxa"/>
            <w:vAlign w:val="bottom"/>
            <w:gridSpan w:val="2"/>
            <w:shd w:val="clear" w:color="auto" w:fill="CFF0FC"/>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38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55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Placement agent expenses</w:t>
            </w:r>
          </w:p>
        </w:tc>
        <w:tc>
          <w:tcPr>
            <w:tcW w:w="7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(724)</w:t>
            </w:r>
          </w:p>
        </w:tc>
        <w:tc>
          <w:tcPr>
            <w:tcW w:w="17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(991)</w:t>
            </w:r>
          </w:p>
        </w:tc>
      </w:tr>
      <w:tr>
        <w:trPr>
          <w:trHeight w:val="216"/>
        </w:trPr>
        <w:tc>
          <w:tcPr>
            <w:tcW w:w="50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One-time expenses </w:t>
            </w:r>
            <w:r>
              <w:rPr>
                <w:rFonts w:ascii="Times New Roman" w:cs="Times New Roman" w:eastAsia="Times New Roman" w:hAnsi="Times New Roman"/>
                <w:sz w:val="24"/>
                <w:szCs w:val="24"/>
                <w:color w:val="auto"/>
                <w:vertAlign w:val="superscript"/>
              </w:rPr>
              <w:t>(1)</w:t>
            </w:r>
          </w:p>
        </w:tc>
        <w:tc>
          <w:tcPr>
            <w:tcW w:w="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(356)</w:t>
            </w:r>
          </w:p>
        </w:tc>
        <w:tc>
          <w:tcPr>
            <w:tcW w:w="17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r>
      <w:tr>
        <w:trPr>
          <w:trHeight w:val="249"/>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administrative and other, net of one-time expenses</w:t>
            </w:r>
          </w:p>
        </w:tc>
        <w:tc>
          <w:tcPr>
            <w:tcW w:w="76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top w:val="single" w:sz="8" w:color="auto"/>
              <w:bottom w:val="single" w:sz="8" w:color="auto"/>
            </w:tcBorders>
            <w:shd w:val="clear" w:color="auto" w:fill="CFF0FC"/>
          </w:tcPr>
          <w:p>
            <w:pPr>
              <w:jc w:val="right"/>
              <w:ind w:right="15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38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top w:val="single" w:sz="8" w:color="auto"/>
              <w:bottom w:val="single" w:sz="8" w:color="auto"/>
            </w:tcBorders>
            <w:shd w:val="clear" w:color="auto" w:fill="CFF0FC"/>
          </w:tcPr>
          <w:p>
            <w:pPr>
              <w:jc w:val="right"/>
              <w:ind w:right="155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both"/>
        <w:ind w:left="520" w:right="160" w:hanging="3"/>
        <w:spacing w:after="0" w:line="266" w:lineRule="auto"/>
        <w:tabs>
          <w:tab w:leader="none" w:pos="7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for one-time expenses relate primarily to (i) expenses that typically do not require us to pay them in cash in the current period (such as depreciation and amortization); (ii) the cost of financing our business; and (iii) acquisition-related expenses which reflects the actual costs incurred during the period for the acquisition of new businesses.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Segment Information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Interest expense is reported on the Consolidated Statements of Operations as interest expense, net. Interest income is reported on the Consolidated Statements of Operations within other income and was $0.4 million an $0.2 million for the three months ended March 31, 2025 and 2024, respectively.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May 8, 2025, the Board of Directors of the Company declared a quarterly cash dividend of $0.0375 per share of Class A and Class B common stock, payable on June 20, 2025, to the holders of record as of the close of business on May 30, 2025.</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April 4, 2025 (the "Closing Date"), the Company completed the previously announced acquisition of all of the issued and outstanding equity interests of Qualitas Equity Funds SGEIC, S.A. ("Qualitas") in accordance with the terms and conditions of the previously announced equity purchase agreement between the Company, Qualitas, Qualitas Funds Holdco, S.L. ("Seller"), Sergio Garcia Huertas and Eric Todd Halverson. The purchase price for Qualitas consisted of $42.3 million in cash, 2,068,794 shares of Class A Common Stock, of which 1,669,990 shares were delivered on the Closing Date and up to an additional 398,804 shares potentially delivered upon the lapse of the holdback period, and up to an additional €31.7 million in consideration based on a run-rate net revenue as of December 31, 2027 from new funds for Qualitas raised after the acquisition. Any Earn-Out Payment will be paid in a mix of cash and Class A Common Stock at the Seller's election, with no more than 65% payable in cash.</w:t>
      </w:r>
    </w:p>
    <w:p>
      <w:pPr>
        <w:spacing w:after="0" w:line="189" w:lineRule="exact"/>
        <w:rPr>
          <w:sz w:val="20"/>
          <w:szCs w:val="20"/>
          <w:color w:val="auto"/>
        </w:rPr>
      </w:pPr>
    </w:p>
    <w:p>
      <w:pPr>
        <w:jc w:val="both"/>
        <w:ind w:right="280" w:firstLine="509"/>
        <w:spacing w:after="0" w:line="257" w:lineRule="auto"/>
        <w:rPr>
          <w:sz w:val="20"/>
          <w:szCs w:val="20"/>
          <w:color w:val="auto"/>
        </w:rPr>
      </w:pPr>
      <w:r>
        <w:rPr>
          <w:rFonts w:ascii="Times New Roman" w:cs="Times New Roman" w:eastAsia="Times New Roman" w:hAnsi="Times New Roman"/>
          <w:sz w:val="18"/>
          <w:szCs w:val="18"/>
          <w:color w:val="auto"/>
        </w:rPr>
        <w:t>Effective April 1, 2025, Bonaccord and RCP 2 entered into an Unit Purchase Agreement with the third-party investor with whom Bonaccord had entered into a SAA in connection with the Bonaccord acquisition. Through the Unit Purchase Agreement, the third party investor exercised its option to acquire 5% of the equity interests in Bonaccord related to the final closing of Fund II described in Note 4 at a net cash purchase price of $1.2 million.</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Additionally, the third-party investor exchanged its existing right to receive 15% of the net management fee earnings as described in Note 4 into 15% of the equity interests in Bonaccord.</w:t>
      </w:r>
    </w:p>
    <w:p>
      <w:pPr>
        <w:spacing w:after="0" w:line="18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accordance with ASC 855, Subsequent Events, the Company evaluated all material events or transactions that occurred after March 31, 2025, the Consolidated Balance Sheets date, through the date the Consolidated Financial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jc w:val="center"/>
        <w:spacing w:after="0" w:line="407" w:lineRule="auto"/>
        <w:rPr>
          <w:sz w:val="20"/>
          <w:szCs w:val="20"/>
          <w:color w:val="auto"/>
        </w:rPr>
      </w:pPr>
      <w:r>
        <w:rPr>
          <w:rFonts w:ascii="Times New Roman" w:cs="Times New Roman" w:eastAsia="Times New Roman" w:hAnsi="Times New Roman"/>
          <w:sz w:val="18"/>
          <w:szCs w:val="18"/>
          <w:color w:val="auto"/>
        </w:rPr>
        <w:t>were issued, and determined there have been no additional events or transactions that would materially impact the Consolidated Financial Statements.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5" w:right="7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2024, particularly in "Risk Factors" and the "Forward-Looking Information." Unless otherwise indicated, references in this Quarterly Report on Form 10-Q to fiscal 2025 and 2024 are to our fiscal years ended December 31, 2025 and 2024, respectively.</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funds,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our private market solutions were comprised of the following:</w:t>
      </w:r>
    </w:p>
    <w:p>
      <w:pPr>
        <w:spacing w:after="0" w:line="115" w:lineRule="exact"/>
        <w:rPr>
          <w:sz w:val="20"/>
          <w:szCs w:val="20"/>
          <w:color w:val="auto"/>
        </w:rPr>
      </w:pPr>
    </w:p>
    <w:p>
      <w:pPr>
        <w:ind w:left="1020" w:right="280" w:hanging="503"/>
        <w:spacing w:after="0" w:line="273"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Private Equity Solutions (PES)</w:t>
      </w:r>
      <w:r>
        <w:rPr>
          <w:rFonts w:ascii="Times New Roman" w:cs="Times New Roman" w:eastAsia="Times New Roman" w:hAnsi="Times New Roman"/>
          <w:sz w:val="17"/>
          <w:szCs w:val="17"/>
          <w:color w:val="auto"/>
        </w:rPr>
        <w:t>. Under PES, we make direct and indirect investments in middle and lower- middle market private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across North America. PES also makes minority equity investments in a diversified portfolio of mid-sized managers across private equity, private credit, real estate and real assets. The PES investment team, which is comprised of 45 investment professionals with an average of</w:t>
      </w:r>
    </w:p>
    <w:p>
      <w:pPr>
        <w:spacing w:after="0" w:line="1" w:lineRule="exact"/>
        <w:rPr>
          <w:rFonts w:ascii="Times New Roman" w:cs="Times New Roman" w:eastAsia="Times New Roman" w:hAnsi="Times New Roman"/>
          <w:sz w:val="17"/>
          <w:szCs w:val="17"/>
          <w:color w:val="auto"/>
        </w:rPr>
      </w:pPr>
    </w:p>
    <w:p>
      <w:pPr>
        <w:ind w:left="1020"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26+ years of experience, has deep and long-standing investor and fund manager relationships in the middle and lower-middle market which it has cultivated over the past 20 years, including over 2,390+ investors, 295+ fund managers, 560+ private market funds and 5,200+ portfolio companies. We have 58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6,000 investment firms, 11,200 funds, 49,700 individual transactions, 33,000 private companies and 462,000 financial metrics. As of March 31, 2025, PES has raised a total of $21.7 billion assets under management ("AUM"), of which $15.0 billion are Fee-Paying Assets Under Management ("FPAUM"). AUM reflects the assets that we manage, and is calculated as the sum of: (i) net asset value (“NAV”) of our clients’ and funds’ underlying investments as of the most recently available date; (ii) drawn and undrawn debt (excluding capital call lines); (iii) uncalled capital commitments (net of deferred purchase price and not in excess of total capital commitments, as applicable) as of the NAV record date; (iv) incremental commitments raised since NAV record date. In situations where NAV data is not available, such as with certain advisory relationships, we use FPAUM.</w:t>
      </w:r>
    </w:p>
    <w:p>
      <w:pPr>
        <w:spacing w:after="0" w:line="82" w:lineRule="exact"/>
        <w:rPr>
          <w:rFonts w:ascii="Times New Roman" w:cs="Times New Roman" w:eastAsia="Times New Roman" w:hAnsi="Times New Roman"/>
          <w:sz w:val="17"/>
          <w:szCs w:val="17"/>
          <w:color w:val="auto"/>
        </w:rPr>
      </w:pPr>
    </w:p>
    <w:p>
      <w:pPr>
        <w:ind w:left="1020" w:hanging="503"/>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Venture Capital Solutions (VCS). </w:t>
      </w:r>
      <w:r>
        <w:rPr>
          <w:rFonts w:ascii="Times New Roman" w:cs="Times New Roman" w:eastAsia="Times New Roman" w:hAnsi="Times New Roman"/>
          <w:sz w:val="18"/>
          <w:szCs w:val="18"/>
          <w:color w:val="auto"/>
        </w:rPr>
        <w:t>Under VCS, we make investments in venture capital funds across North America and specialize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targeting high-performing, access-constrained opportunities. The VCS investment team, which is comprised of 15 investment professionals with an average of 24+ years of experience, has deep and long-standing investor and fund manager relationships in the venture market which it has cultivated over the past 17+ years, including over 1,980+ investors, 110+ fund managers, 110+ direct investments, 420+ private market funds and 15,000+ portfolio companies. We have 21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March 31, 2025, VCS has raised a total of $9.8 billion AUM, of which $6.5 billion are FPAUM.</w:t>
      </w:r>
    </w:p>
    <w:p>
      <w:pPr>
        <w:spacing w:after="0" w:line="76" w:lineRule="exact"/>
        <w:rPr>
          <w:rFonts w:ascii="Times New Roman" w:cs="Times New Roman" w:eastAsia="Times New Roman" w:hAnsi="Times New Roman"/>
          <w:sz w:val="18"/>
          <w:szCs w:val="18"/>
          <w:color w:val="auto"/>
        </w:rPr>
      </w:pPr>
    </w:p>
    <w:p>
      <w:pPr>
        <w:ind w:left="1020" w:right="220" w:hanging="503"/>
        <w:spacing w:after="0" w:line="26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Credit Solutions (PCS). </w:t>
      </w:r>
      <w:r>
        <w:rPr>
          <w:rFonts w:ascii="Times New Roman" w:cs="Times New Roman" w:eastAsia="Times New Roman" w:hAnsi="Times New Roman"/>
          <w:sz w:val="18"/>
          <w:szCs w:val="18"/>
          <w:color w:val="auto"/>
        </w:rPr>
        <w:t>Under PCS, we primarily make debt investments across North America, targeting lower middle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owned by leading financial sponsors and also offer certain private equity solutions. PCS also provides loans to mid-life, growth equity, venture and other funds backed by the</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ind w:left="1020"/>
        <w:spacing w:after="0" w:line="253" w:lineRule="auto"/>
        <w:rPr>
          <w:sz w:val="20"/>
          <w:szCs w:val="20"/>
          <w:color w:val="auto"/>
        </w:rPr>
      </w:pPr>
      <w:r>
        <w:rPr>
          <w:rFonts w:ascii="Times New Roman" w:cs="Times New Roman" w:eastAsia="Times New Roman" w:hAnsi="Times New Roman"/>
          <w:sz w:val="18"/>
          <w:szCs w:val="18"/>
          <w:color w:val="auto"/>
        </w:rPr>
        <w:t>unrealized investments at the fund level and provide financing for companies that would otherwise require equity. The PCS investment team, which is comprised of 51 investment professionals with an average of 25+ years of experience, has deep and long-standing relationships in the private credit market which it has cultivated over the past 22 years, including 440+ investors across 48 active investment vehicles and 1,800+ portfolio companies with $9.9+ billion capital deployed. Our PCS is differentiated by our relationship-driven sourcing approach providing capital solutions for growth-oriented companies. We are further synergistically strengthened by our PES network of fund managers, characterized by more than 630 credit opportunities annually. We currently maintain 80+ active sponsor relationships and have 125+ platform investments. Within PCS, the Company has investments that target renewable energy development and historic building renovation projects, as well as provide capital to small businesses that are woman or minority owned or operated in underserved communities. These investments are differentiated in both the breadth of impact areas served, the type of capital deployed and the duration of the impact investing track record. As of March 31, 2025, PCS has raised a total of $6.8 billion AUM, of which $4.8 billion are FPAUM. Of the total AUM, impact assets represent $4.3 billion supporting investments in over 1,000 projects and businesses across 40 states, Washington DC, and Puerto Rico, not including investments made by non-impact affiliates. Investments in clean energy have generated an estimate of over 2,900 GWh of renewable energy from inception to December 31, 2024.</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2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66" w:lineRule="exact"/>
        <w:rPr>
          <w:sz w:val="20"/>
          <w:szCs w:val="20"/>
          <w:color w:val="auto"/>
        </w:rPr>
      </w:pPr>
    </w:p>
    <w:p>
      <w:pPr>
        <w:ind w:left="1020" w:right="120" w:hanging="503"/>
        <w:spacing w:after="0" w:line="25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Primary Investment Funds. </w:t>
      </w:r>
      <w:r>
        <w:rPr>
          <w:rFonts w:ascii="Times New Roman" w:cs="Times New Roman" w:eastAsia="Times New Roman" w:hAnsi="Times New Roman"/>
          <w:sz w:val="18"/>
          <w:szCs w:val="18"/>
          <w:color w:val="auto"/>
        </w:rPr>
        <w:t>Primary investment funds refer to investment vehicles which target investments in new private markets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$14.6 billion of our FPAUM as of March 31, 2025.</w:t>
      </w:r>
    </w:p>
    <w:p>
      <w:pPr>
        <w:spacing w:after="0" w:line="76" w:lineRule="exact"/>
        <w:rPr>
          <w:rFonts w:ascii="Times New Roman" w:cs="Times New Roman" w:eastAsia="Times New Roman" w:hAnsi="Times New Roman"/>
          <w:sz w:val="18"/>
          <w:szCs w:val="18"/>
          <w:color w:val="auto"/>
        </w:rPr>
      </w:pPr>
    </w:p>
    <w:p>
      <w:pPr>
        <w:ind w:left="1020" w:right="20" w:hanging="503"/>
        <w:spacing w:after="0" w:line="25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 and Co-Investment Funds. </w:t>
      </w:r>
      <w:r>
        <w:rPr>
          <w:rFonts w:ascii="Times New Roman" w:cs="Times New Roman" w:eastAsia="Times New Roman" w:hAnsi="Times New Roman"/>
          <w:sz w:val="18"/>
          <w:szCs w:val="18"/>
          <w:color w:val="auto"/>
        </w:rPr>
        <w:t>Direct and co-investments involve acquiring an equity interest in or making a loan to an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project, property, alternative asset manager, or asset, typically by co-investing 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from investors typically average ten to fifteen years, though they may vary by fund. We offer direct and co-investment funds across our private equity, venture capital, and private credit solutions. Often, the fees are structured such that they step down, or decrease, over the life of the fund. Our direct investing platform comprises approximately $10.1 billion of our FPAUM as of March 31, 2025.</w:t>
      </w:r>
    </w:p>
    <w:p>
      <w:pPr>
        <w:spacing w:after="0" w:line="80"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Secondary Investment Funds. </w:t>
      </w:r>
      <w:r>
        <w:rPr>
          <w:rFonts w:ascii="Times New Roman" w:cs="Times New Roman" w:eastAsia="Times New Roman" w:hAnsi="Times New Roman"/>
          <w:sz w:val="18"/>
          <w:szCs w:val="18"/>
          <w:color w:val="auto"/>
        </w:rPr>
        <w:t>Secondary investment funds refer to investments in existing private markets funds through the acquisition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interest in a private markets fund by one investor from another in a negotiated transaction. In so doing, the buyer agrees to take on future funding obligations in exchange for future returns and distributions. Because secondary investment funds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secondary investment funds across our private equity solutions. Often, the fees are structured such that they step down, or decrease, over the life of the fund. Our secondary funds comprise approximately $1.6 billion of our FPAUM as of March 31, 2025.</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operate our business as a single operating segment, which is how our chief operating decision maker evaluates financial performance and makes decisions regarding the allocation of resources.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higher interest rates and the global economy outlook remaining uncertain, we continue to see investors turning towards alternative investments to achieve asset class diversification, superior investment returns, and participation in access constrained investment opportunities.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continued growth of our business may be influenced by several factors, including the following market trends:</w:t>
      </w:r>
    </w:p>
    <w:p>
      <w:pPr>
        <w:spacing w:after="0" w:line="115" w:lineRule="exact"/>
        <w:rPr>
          <w:sz w:val="20"/>
          <w:szCs w:val="20"/>
          <w:color w:val="auto"/>
        </w:rPr>
      </w:pPr>
    </w:p>
    <w:p>
      <w:pPr>
        <w:ind w:left="1020" w:right="20" w:hanging="503"/>
        <w:spacing w:after="0" w:line="25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Accelerating demand for private markets solutions. </w:t>
      </w:r>
      <w:r>
        <w:rPr>
          <w:rFonts w:ascii="Times New Roman" w:cs="Times New Roman" w:eastAsia="Times New Roman" w:hAnsi="Times New Roman"/>
          <w:sz w:val="18"/>
          <w:szCs w:val="18"/>
          <w:color w:val="auto"/>
        </w:rPr>
        <w:t>Our ability to attract new capital is dependent on investor demand for private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We believe the continued move away from active public market strategies into passive strategies will support growth in private market solutions as investors seek higher risk-adjusted returns. Additional trends driving investor demand are (a) increasing long-term investor allocations towards private market asset classes and (b) legislation that allows retirement plans to add private equity vehicles as an investment option and impact investing by the institutional and high net worth investor community, and demand from high-net-worth individuals, also known as retail investors.</w:t>
      </w:r>
    </w:p>
    <w:p>
      <w:pPr>
        <w:spacing w:after="0" w:line="80" w:lineRule="exact"/>
        <w:rPr>
          <w:rFonts w:ascii="Times New Roman" w:cs="Times New Roman" w:eastAsia="Times New Roman" w:hAnsi="Times New Roman"/>
          <w:sz w:val="18"/>
          <w:szCs w:val="18"/>
          <w:color w:val="auto"/>
        </w:rPr>
      </w:pPr>
    </w:p>
    <w:p>
      <w:pPr>
        <w:ind w:left="1020" w:right="60" w:hanging="503"/>
        <w:spacing w:after="0" w:line="253"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lower and lower-middle market dynamics, and data driven sourcing. </w:t>
      </w:r>
      <w:r>
        <w:rPr>
          <w:rFonts w:ascii="Times New Roman" w:cs="Times New Roman" w:eastAsia="Times New Roman" w:hAnsi="Times New Roman"/>
          <w:sz w:val="18"/>
          <w:szCs w:val="18"/>
          <w:color w:val="auto"/>
        </w:rPr>
        <w:t>We attribute our strong investment performance track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construction, management, and monitoring and enable a portfolio grading system, as well as repository of investment evaluation scorecards. Our ability to maintain our data advantage is dependent on several factors, including our continued access to a broad set of private market information on an on-going basis.</w:t>
      </w:r>
    </w:p>
    <w:p>
      <w:pPr>
        <w:spacing w:after="0" w:line="81" w:lineRule="exact"/>
        <w:rPr>
          <w:rFonts w:ascii="Times New Roman" w:cs="Times New Roman" w:eastAsia="Times New Roman" w:hAnsi="Times New Roman"/>
          <w:sz w:val="18"/>
          <w:szCs w:val="18"/>
          <w:color w:val="auto"/>
        </w:rPr>
      </w:pPr>
    </w:p>
    <w:p>
      <w:pPr>
        <w:ind w:left="1020" w:right="80" w:hanging="503"/>
        <w:spacing w:after="0" w:line="253"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asset class solutions, broaden geographic reach and grow private markets network effect. </w:t>
      </w:r>
      <w:r>
        <w:rPr>
          <w:rFonts w:ascii="Times New Roman" w:cs="Times New Roman" w:eastAsia="Times New Roman" w:hAnsi="Times New Roman"/>
          <w:sz w:val="18"/>
          <w:szCs w:val="18"/>
          <w:color w:val="auto"/>
        </w:rPr>
        <w:t>Our ability to continue growing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81"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regulatory requirements and political uncertainty. </w:t>
      </w:r>
      <w:r>
        <w:rPr>
          <w:rFonts w:ascii="Times New Roman" w:cs="Times New Roman" w:eastAsia="Times New Roman" w:hAnsi="Times New Roman"/>
          <w:sz w:val="18"/>
          <w:szCs w:val="18"/>
          <w:color w:val="auto"/>
        </w:rPr>
        <w:t>The complex regulatory and tax environment carries the potential to restrict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our business activities, as well as subject us to increased compliance and administrative burdens. In addition, there is additional uncertainty around potential legal,</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7" w:name="page38"/>
    <w:bookmarkEnd w:id="37"/>
    <w:p>
      <w:pPr>
        <w:ind w:left="1020"/>
        <w:spacing w:after="0"/>
        <w:rPr>
          <w:sz w:val="20"/>
          <w:szCs w:val="20"/>
          <w:color w:val="auto"/>
        </w:rPr>
      </w:pPr>
      <w:r>
        <w:rPr>
          <w:rFonts w:ascii="Times New Roman" w:cs="Times New Roman" w:eastAsia="Times New Roman" w:hAnsi="Times New Roman"/>
          <w:sz w:val="18"/>
          <w:szCs w:val="18"/>
          <w:color w:val="auto"/>
        </w:rPr>
        <w:t>regulatory, and tax changes, which may impact our profitability or impact our ability to operate and grow our business.</w:t>
      </w:r>
    </w:p>
    <w:p>
      <w:pPr>
        <w:spacing w:after="0" w:line="115" w:lineRule="exact"/>
        <w:rPr>
          <w:sz w:val="20"/>
          <w:szCs w:val="20"/>
          <w:color w:val="auto"/>
        </w:rPr>
      </w:pPr>
    </w:p>
    <w:p>
      <w:pPr>
        <w:ind w:left="1020" w:right="10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raise capital in order to fund acquisitions and strategic growth initiatives. </w:t>
      </w:r>
      <w:r>
        <w:rPr>
          <w:rFonts w:ascii="Times New Roman" w:cs="Times New Roman" w:eastAsia="Times New Roman" w:hAnsi="Times New Roman"/>
          <w:sz w:val="18"/>
          <w:szCs w:val="18"/>
          <w:color w:val="auto"/>
        </w:rPr>
        <w:t>In addition to organic growth of our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and 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74"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competition to work with top private equity fund managers. </w:t>
      </w:r>
      <w:r>
        <w:rPr>
          <w:rFonts w:ascii="Times New Roman" w:cs="Times New Roman" w:eastAsia="Times New Roman" w:hAnsi="Times New Roman"/>
          <w:sz w:val="18"/>
          <w:szCs w:val="18"/>
          <w:color w:val="auto"/>
        </w:rPr>
        <w:t>There has been a trend amongst larger private markets investors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75"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advantage relative to competitors. </w:t>
      </w:r>
      <w:r>
        <w:rPr>
          <w:rFonts w:ascii="Times New Roman" w:cs="Times New Roman" w:eastAsia="Times New Roman" w:hAnsi="Times New Roman"/>
          <w:sz w:val="18"/>
          <w:szCs w:val="18"/>
          <w:color w:val="auto"/>
        </w:rPr>
        <w:t>We believe that the general trend towards transparency and consistency in private markets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74"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Consolidation of Manager relationships and flight to quality. </w:t>
      </w:r>
      <w:r>
        <w:rPr>
          <w:rFonts w:ascii="Times New Roman" w:cs="Times New Roman" w:eastAsia="Times New Roman" w:hAnsi="Times New Roman"/>
          <w:sz w:val="18"/>
          <w:szCs w:val="18"/>
          <w:color w:val="auto"/>
        </w:rPr>
        <w:t>As global financial markets continue to remain uncertain and private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w:t>
      </w:r>
    </w:p>
    <w:p>
      <w:pPr>
        <w:spacing w:after="0" w:line="74"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All-weather strategies can thrive in a myriad of environments. </w:t>
      </w:r>
      <w:r>
        <w:rPr>
          <w:rFonts w:ascii="Times New Roman" w:cs="Times New Roman" w:eastAsia="Times New Roman" w:hAnsi="Times New Roman"/>
          <w:sz w:val="18"/>
          <w:szCs w:val="18"/>
          <w:color w:val="auto"/>
        </w:rPr>
        <w:t>Some strategies are counter-cyclical in nature and can take advantage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Financial &amp; Operating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7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earn management and advisory fees based on a percentage of investors’ capital commitments, in or, in select cases, capital deployed to our investment funds.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significant component of our overall revenue stream, they may result in a temporary increase in our revenues in the period in which they are recognized.</w:t>
      </w:r>
    </w:p>
    <w:p>
      <w:pPr>
        <w:spacing w:after="0" w:line="225"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 Incentive fees consists of carried interest income from an uncommon pre-acquisition legacy managed fund and incremental incentive revenues earned as a part of an advisory agreement between ECG and Crossroads Impact Corp.</w:t>
      </w:r>
    </w:p>
    <w:p>
      <w:pPr>
        <w:spacing w:after="0" w:line="189"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The Company recognizes an accrued contingent liability and contingent payments to customers in our Consolidated Balance Sheets for agreements between ECG and third parties. The agreements require ECG to share in certain revenues earned with the third parties and also includes an option for the third parties to sell back the revenue share to ECG at a set multiple. Additionally, ECG holds the option to buy back 50% of the revenue share at a set multiple. The options are exercisable starting in July 2025. The Company believes it is probable that the third parties will exercise their options to sell back the revenue share and has recognized liabilities on the Consolidated Balance Sheets. The Company has also recognized contingent payments to customers assets associated with the agreements and will amortize the assets against revenue over the estimated length of the management contracts. The amortization is reported in management and advisory fees on the Consolidated Statements of Operations, which was terminated by the parties on December 23, 2024.</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Compensation and benefits are our largest expense and consists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It allows our investment professionals to receive additional benefit and provides an economic incentive for them to outperform on behalf of our investors. This structure differs from that of most of our competitors, which we believe better aligns the objectives of our stockholders, investors and investment professionals.</w:t>
      </w:r>
    </w:p>
    <w:p>
      <w:pPr>
        <w:spacing w:after="0" w:line="19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primarily consist of legal, advisory, accounting and tax fees which may include services related to our strategic development opportunities such as due diligence performed in connection with potential acquisitions. As our Company is an SEC registrant, our professional fees will fluctuate commensurate with our strategic objectives and potential acquisitions, and certain recurring accounting advisory, audit and tax expenses will increase to comply with additional regulatory requirements.</w:t>
      </w:r>
    </w:p>
    <w:p>
      <w:pPr>
        <w:spacing w:after="0" w:line="1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General, administrative and other includes rent, travel and entertainment, technology, insurance and other general costs associated with operating our business.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Strategic alliance expense is included in operating expenses. This expense is driven by the Strategic Alliance Agreement that Bonaccord entered into with an investor at the time Bonaccord was acquired in exchange for a portion of net management fee earnings.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21"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Interest expense, net, includes interest paid and accrued on our outstanding debt, along with the amortization of deferred financing costs. Other income includes any (loss)/income from unconsolidated subsidiaries, interest income earned from bank accounts across management companies, remeasurement of the contingent loss related to the Clifford guarantee, and accrued expenses related to litigation and regulatory activity as necessary, which would be discussed in Note 13 of our Consolidated Financial Statements.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Income tax expense is comprised of current and deferred tax expense. Current income tax 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Fee-Paying Assets Under Management, or FPAUM</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or deployed capital are not affected by market appreciation or depreciation.</w:t>
      </w:r>
    </w:p>
    <w:p>
      <w:pPr>
        <w:spacing w:after="0" w:line="1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2025 and March 31, 2024.</w:t>
      </w:r>
    </w:p>
    <w:p>
      <w:pPr>
        <w:spacing w:after="0" w:line="2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bl>
      <w:tblPr>
        <w:tblLayout w:type="fixed"/>
        <w:tblInd w:w="0" w:type="dxa"/>
        <w:tblCellMar>
          <w:top w:w="0" w:type="dxa"/>
          <w:left w:w="0" w:type="dxa"/>
          <w:bottom w:w="0" w:type="dxa"/>
          <w:right w:w="0" w:type="dxa"/>
        </w:tblCellMar>
      </w:tblPr>
      <w:tr>
        <w:trPr>
          <w:trHeight w:val="147"/>
        </w:trPr>
        <w:tc>
          <w:tcPr>
            <w:tcW w:w="3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560" w:type="dxa"/>
            <w:vAlign w:val="bottom"/>
          </w:tcPr>
          <w:p>
            <w:pPr>
              <w:spacing w:after="0"/>
              <w:rPr>
                <w:sz w:val="12"/>
                <w:szCs w:val="12"/>
                <w:color w:val="auto"/>
              </w:rPr>
            </w:pPr>
          </w:p>
        </w:tc>
        <w:tc>
          <w:tcPr>
            <w:tcW w:w="900" w:type="dxa"/>
            <w:vAlign w:val="bottom"/>
            <w:tcBorders>
              <w:bottom w:val="single" w:sz="8" w:color="auto"/>
            </w:tcBorders>
          </w:tcPr>
          <w:p>
            <w:pPr>
              <w:jc w:val="right"/>
              <w:ind w:right="42"/>
              <w:spacing w:after="0" w:line="147" w:lineRule="exact"/>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97"/>
              <w:spacing w:after="0" w:line="147"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77"/>
              <w:spacing w:after="0" w:line="147" w:lineRule="exact"/>
              <w:rPr>
                <w:sz w:val="20"/>
                <w:szCs w:val="20"/>
                <w:color w:val="auto"/>
              </w:rPr>
            </w:pPr>
            <w:r>
              <w:rPr>
                <w:rFonts w:ascii="Times New Roman" w:cs="Times New Roman" w:eastAsia="Times New Roman" w:hAnsi="Times New Roman"/>
                <w:sz w:val="13"/>
                <w:szCs w:val="13"/>
                <w:b w:val="1"/>
                <w:bCs w:val="1"/>
                <w:color w:val="auto"/>
              </w:rPr>
              <w:t>$ Change</w:t>
            </w:r>
          </w:p>
        </w:tc>
        <w:tc>
          <w:tcPr>
            <w:tcW w:w="240" w:type="dxa"/>
            <w:vAlign w:val="bottom"/>
          </w:tcPr>
          <w:p>
            <w:pPr>
              <w:spacing w:after="0"/>
              <w:rPr>
                <w:sz w:val="12"/>
                <w:szCs w:val="12"/>
                <w:color w:val="auto"/>
              </w:rPr>
            </w:pPr>
          </w:p>
        </w:tc>
        <w:tc>
          <w:tcPr>
            <w:tcW w:w="1480" w:type="dxa"/>
            <w:vAlign w:val="bottom"/>
            <w:tcBorders>
              <w:bottom w:val="single" w:sz="8" w:color="auto"/>
            </w:tcBorders>
          </w:tcPr>
          <w:p>
            <w:pPr>
              <w:ind w:left="460"/>
              <w:spacing w:after="0" w:line="147" w:lineRule="exact"/>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28"/>
        </w:trPr>
        <w:tc>
          <w:tcPr>
            <w:tcW w:w="340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640" w:type="dxa"/>
            <w:vAlign w:val="bottom"/>
            <w:gridSpan w:val="3"/>
          </w:tcPr>
          <w:p>
            <w:pPr>
              <w:jc w:val="right"/>
              <w:ind w:right="88"/>
              <w:spacing w:after="0" w:line="129"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Management and advisory fees</w:t>
            </w:r>
          </w:p>
        </w:tc>
        <w:tc>
          <w:tcPr>
            <w:tcW w:w="2460" w:type="dxa"/>
            <w:vAlign w:val="bottom"/>
            <w:gridSpan w:val="2"/>
            <w:shd w:val="clear" w:color="auto" w:fill="CFF0FC"/>
          </w:tcPr>
          <w:p>
            <w:pPr>
              <w:jc w:val="right"/>
              <w:ind w:right="782"/>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66,735</w:t>
            </w:r>
          </w:p>
        </w:tc>
        <w:tc>
          <w:tcPr>
            <w:tcW w:w="14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2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65,122</w:t>
            </w:r>
          </w:p>
        </w:tc>
        <w:tc>
          <w:tcPr>
            <w:tcW w:w="14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1,613</w:t>
            </w:r>
          </w:p>
        </w:tc>
        <w:tc>
          <w:tcPr>
            <w:tcW w:w="240" w:type="dxa"/>
            <w:vAlign w:val="bottom"/>
            <w:shd w:val="clear" w:color="auto" w:fill="CFF0FC"/>
          </w:tcPr>
          <w:p>
            <w:pPr>
              <w:spacing w:after="0"/>
              <w:rPr>
                <w:sz w:val="11"/>
                <w:szCs w:val="11"/>
                <w:color w:val="auto"/>
              </w:rPr>
            </w:pPr>
          </w:p>
        </w:tc>
        <w:tc>
          <w:tcPr>
            <w:tcW w:w="14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135"/>
        </w:trPr>
        <w:tc>
          <w:tcPr>
            <w:tcW w:w="34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Other revenue</w:t>
            </w:r>
          </w:p>
        </w:tc>
        <w:tc>
          <w:tcPr>
            <w:tcW w:w="1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(6)%</w:t>
            </w:r>
          </w:p>
        </w:tc>
        <w:tc>
          <w:tcPr>
            <w:tcW w:w="0" w:type="dxa"/>
            <w:vAlign w:val="bottom"/>
          </w:tcPr>
          <w:p>
            <w:pPr>
              <w:spacing w:after="0"/>
              <w:rPr>
                <w:sz w:val="1"/>
                <w:szCs w:val="1"/>
                <w:color w:val="auto"/>
              </w:rPr>
            </w:pPr>
          </w:p>
        </w:tc>
      </w:tr>
      <w:tr>
        <w:trPr>
          <w:trHeight w:val="128"/>
        </w:trPr>
        <w:tc>
          <w:tcPr>
            <w:tcW w:w="3400" w:type="dxa"/>
            <w:vAlign w:val="bottom"/>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Total revenues</w:t>
            </w:r>
          </w:p>
        </w:tc>
        <w:tc>
          <w:tcPr>
            <w:tcW w:w="1560" w:type="dxa"/>
            <w:vAlign w:val="bottom"/>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67,667</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66,115</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1,552</w:t>
            </w:r>
          </w:p>
        </w:tc>
        <w:tc>
          <w:tcPr>
            <w:tcW w:w="240" w:type="dxa"/>
            <w:vAlign w:val="bottom"/>
            <w:shd w:val="clear" w:color="auto" w:fill="CFF0FC"/>
          </w:tcPr>
          <w:p>
            <w:pPr>
              <w:spacing w:after="0"/>
              <w:rPr>
                <w:sz w:val="11"/>
                <w:szCs w:val="11"/>
                <w:color w:val="auto"/>
              </w:rPr>
            </w:pPr>
          </w:p>
        </w:tc>
        <w:tc>
          <w:tcPr>
            <w:tcW w:w="148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Compensation and benefits</w:t>
            </w:r>
          </w:p>
        </w:tc>
        <w:tc>
          <w:tcPr>
            <w:tcW w:w="15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37,080</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37,109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4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(0)%</w:t>
            </w:r>
          </w:p>
        </w:tc>
        <w:tc>
          <w:tcPr>
            <w:tcW w:w="0" w:type="dxa"/>
            <w:vAlign w:val="bottom"/>
          </w:tcPr>
          <w:p>
            <w:pPr>
              <w:spacing w:after="0"/>
              <w:rPr>
                <w:sz w:val="1"/>
                <w:szCs w:val="1"/>
                <w:color w:val="auto"/>
              </w:rPr>
            </w:pPr>
          </w:p>
        </w:tc>
      </w:tr>
      <w:tr>
        <w:trPr>
          <w:trHeight w:val="135"/>
        </w:trPr>
        <w:tc>
          <w:tcPr>
            <w:tcW w:w="34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Professional fees</w:t>
            </w:r>
          </w:p>
        </w:tc>
        <w:tc>
          <w:tcPr>
            <w:tcW w:w="1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6,515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3,768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2,747</w:t>
            </w:r>
          </w:p>
        </w:tc>
        <w:tc>
          <w:tcPr>
            <w:tcW w:w="24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35"/>
        </w:trPr>
        <w:tc>
          <w:tcPr>
            <w:tcW w:w="34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General, administrative and other</w:t>
            </w:r>
          </w:p>
        </w:tc>
        <w:tc>
          <w:tcPr>
            <w:tcW w:w="15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6,825</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6,057</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768</w:t>
            </w:r>
          </w:p>
        </w:tc>
        <w:tc>
          <w:tcPr>
            <w:tcW w:w="240" w:type="dxa"/>
            <w:vAlign w:val="bottom"/>
            <w:shd w:val="clear" w:color="auto" w:fill="CFF0FC"/>
          </w:tcPr>
          <w:p>
            <w:pPr>
              <w:spacing w:after="0"/>
              <w:rPr>
                <w:sz w:val="11"/>
                <w:szCs w:val="11"/>
                <w:color w:val="auto"/>
              </w:rPr>
            </w:pPr>
          </w:p>
        </w:tc>
        <w:tc>
          <w:tcPr>
            <w:tcW w:w="14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35"/>
        </w:trPr>
        <w:tc>
          <w:tcPr>
            <w:tcW w:w="34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Contingent consideration expense</w:t>
            </w:r>
          </w:p>
        </w:tc>
        <w:tc>
          <w:tcPr>
            <w:tcW w:w="1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(100)%</w:t>
            </w:r>
          </w:p>
        </w:tc>
        <w:tc>
          <w:tcPr>
            <w:tcW w:w="0" w:type="dxa"/>
            <w:vAlign w:val="bottom"/>
          </w:tcPr>
          <w:p>
            <w:pPr>
              <w:spacing w:after="0"/>
              <w:rPr>
                <w:sz w:val="1"/>
                <w:szCs w:val="1"/>
                <w:color w:val="auto"/>
              </w:rPr>
            </w:pPr>
          </w:p>
        </w:tc>
      </w:tr>
      <w:tr>
        <w:trPr>
          <w:trHeight w:val="135"/>
        </w:trPr>
        <w:tc>
          <w:tcPr>
            <w:tcW w:w="34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Amortization of intangibles</w:t>
            </w:r>
          </w:p>
        </w:tc>
        <w:tc>
          <w:tcPr>
            <w:tcW w:w="15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5,318</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6,437</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(1,119)</w:t>
            </w:r>
          </w:p>
        </w:tc>
        <w:tc>
          <w:tcPr>
            <w:tcW w:w="14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(17)%</w:t>
            </w:r>
          </w:p>
        </w:tc>
        <w:tc>
          <w:tcPr>
            <w:tcW w:w="0" w:type="dxa"/>
            <w:vAlign w:val="bottom"/>
          </w:tcPr>
          <w:p>
            <w:pPr>
              <w:spacing w:after="0"/>
              <w:rPr>
                <w:sz w:val="1"/>
                <w:szCs w:val="1"/>
                <w:color w:val="auto"/>
              </w:rPr>
            </w:pPr>
          </w:p>
        </w:tc>
      </w:tr>
      <w:tr>
        <w:trPr>
          <w:trHeight w:val="135"/>
        </w:trPr>
        <w:tc>
          <w:tcPr>
            <w:tcW w:w="34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Strategic alliance expense</w:t>
            </w:r>
          </w:p>
        </w:tc>
        <w:tc>
          <w:tcPr>
            <w:tcW w:w="15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703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615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24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29"/>
        </w:trPr>
        <w:tc>
          <w:tcPr>
            <w:tcW w:w="3400" w:type="dxa"/>
            <w:vAlign w:val="bottom"/>
            <w:tcBorders>
              <w:bottom w:val="single" w:sz="8" w:color="CFF0FC"/>
            </w:tcBorders>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Total operating expenses</w:t>
            </w:r>
          </w:p>
        </w:tc>
        <w:tc>
          <w:tcPr>
            <w:tcW w:w="156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56,441</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54,016</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2,425</w:t>
            </w:r>
          </w:p>
        </w:tc>
        <w:tc>
          <w:tcPr>
            <w:tcW w:w="240" w:type="dxa"/>
            <w:vAlign w:val="bottom"/>
            <w:tcBorders>
              <w:bottom w:val="single" w:sz="8" w:color="CFF0FC"/>
            </w:tcBorders>
            <w:shd w:val="clear" w:color="auto" w:fill="CFF0FC"/>
          </w:tcPr>
          <w:p>
            <w:pPr>
              <w:spacing w:after="0"/>
              <w:rPr>
                <w:sz w:val="11"/>
                <w:szCs w:val="11"/>
                <w:color w:val="auto"/>
              </w:rPr>
            </w:pPr>
          </w:p>
        </w:tc>
        <w:tc>
          <w:tcPr>
            <w:tcW w:w="1480" w:type="dxa"/>
            <w:vAlign w:val="bottom"/>
            <w:tcBorders>
              <w:bottom w:val="single" w:sz="8" w:color="CFF0FC"/>
            </w:tcBorders>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4%</w:t>
            </w:r>
          </w:p>
        </w:tc>
        <w:tc>
          <w:tcPr>
            <w:tcW w:w="0" w:type="dxa"/>
            <w:vAlign w:val="bottom"/>
          </w:tcPr>
          <w:p>
            <w:pPr>
              <w:spacing w:after="0"/>
              <w:rPr>
                <w:sz w:val="1"/>
                <w:szCs w:val="1"/>
                <w:color w:val="auto"/>
              </w:rPr>
            </w:pPr>
          </w:p>
        </w:tc>
      </w:tr>
      <w:tr>
        <w:trPr>
          <w:trHeight w:val="128"/>
        </w:trPr>
        <w:tc>
          <w:tcPr>
            <w:tcW w:w="34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FROM OPERATIONS</w:t>
            </w:r>
          </w:p>
        </w:tc>
        <w:tc>
          <w:tcPr>
            <w:tcW w:w="1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11,226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12,099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(873)</w:t>
            </w:r>
          </w:p>
        </w:tc>
        <w:tc>
          <w:tcPr>
            <w:tcW w:w="1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(7)%</w:t>
            </w:r>
          </w:p>
        </w:tc>
        <w:tc>
          <w:tcPr>
            <w:tcW w:w="0" w:type="dxa"/>
            <w:vAlign w:val="bottom"/>
          </w:tcPr>
          <w:p>
            <w:pPr>
              <w:spacing w:after="0"/>
              <w:rPr>
                <w:sz w:val="1"/>
                <w:szCs w:val="1"/>
                <w:color w:val="auto"/>
              </w:rPr>
            </w:pPr>
          </w:p>
        </w:tc>
      </w:tr>
      <w:tr>
        <w:trPr>
          <w:trHeight w:val="135"/>
        </w:trPr>
        <w:tc>
          <w:tcPr>
            <w:tcW w:w="3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(EXPENSE)/LOSS</w:t>
            </w:r>
          </w:p>
        </w:tc>
        <w:tc>
          <w:tcPr>
            <w:tcW w:w="15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Interest expense, net</w:t>
            </w:r>
          </w:p>
        </w:tc>
        <w:tc>
          <w:tcPr>
            <w:tcW w:w="1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(6,417)</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(5,776)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(641)</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340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Other income</w:t>
            </w:r>
          </w:p>
        </w:tc>
        <w:tc>
          <w:tcPr>
            <w:tcW w:w="15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152</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678</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(526)</w:t>
            </w:r>
          </w:p>
        </w:tc>
        <w:tc>
          <w:tcPr>
            <w:tcW w:w="14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(78)%</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4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auto"/>
              </w:rPr>
              <w:t>Total other (expense)</w:t>
            </w:r>
          </w:p>
        </w:tc>
        <w:tc>
          <w:tcPr>
            <w:tcW w:w="1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(6,265)</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(5,098)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(1,167)</w:t>
            </w:r>
          </w:p>
        </w:tc>
        <w:tc>
          <w:tcPr>
            <w:tcW w:w="1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Net income before income taxes</w:t>
            </w:r>
          </w:p>
        </w:tc>
        <w:tc>
          <w:tcPr>
            <w:tcW w:w="15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4,961</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7,001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(2,040)</w:t>
            </w:r>
          </w:p>
        </w:tc>
        <w:tc>
          <w:tcPr>
            <w:tcW w:w="148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(29)%</w:t>
            </w:r>
          </w:p>
        </w:tc>
        <w:tc>
          <w:tcPr>
            <w:tcW w:w="0" w:type="dxa"/>
            <w:vAlign w:val="bottom"/>
          </w:tcPr>
          <w:p>
            <w:pPr>
              <w:spacing w:after="0"/>
              <w:rPr>
                <w:sz w:val="1"/>
                <w:szCs w:val="1"/>
                <w:color w:val="auto"/>
              </w:rPr>
            </w:pPr>
          </w:p>
        </w:tc>
      </w:tr>
      <w:tr>
        <w:trPr>
          <w:trHeight w:val="135"/>
        </w:trPr>
        <w:tc>
          <w:tcPr>
            <w:tcW w:w="340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1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(265)</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(1,758)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1,493</w:t>
            </w:r>
          </w:p>
        </w:tc>
        <w:tc>
          <w:tcPr>
            <w:tcW w:w="24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(85)%</w:t>
            </w:r>
          </w:p>
        </w:tc>
        <w:tc>
          <w:tcPr>
            <w:tcW w:w="0" w:type="dxa"/>
            <w:vAlign w:val="bottom"/>
          </w:tcPr>
          <w:p>
            <w:pPr>
              <w:spacing w:after="0"/>
              <w:rPr>
                <w:sz w:val="1"/>
                <w:szCs w:val="1"/>
                <w:color w:val="auto"/>
              </w:rPr>
            </w:pPr>
          </w:p>
        </w:tc>
      </w:tr>
      <w:tr>
        <w:trPr>
          <w:trHeight w:val="168"/>
        </w:trPr>
        <w:tc>
          <w:tcPr>
            <w:tcW w:w="34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156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4,696</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top w:val="single" w:sz="8" w:color="auto"/>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5,243</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jc w:val="right"/>
              <w:ind w:right="11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(547)</w:t>
            </w:r>
          </w:p>
        </w:tc>
        <w:tc>
          <w:tcPr>
            <w:tcW w:w="240" w:type="dxa"/>
            <w:vAlign w:val="bottom"/>
            <w:tcBorders>
              <w:bottom w:val="single" w:sz="8" w:color="CFF0FC"/>
            </w:tcBorders>
            <w:shd w:val="clear" w:color="auto" w:fill="CFF0FC"/>
          </w:tcPr>
          <w:p>
            <w:pPr>
              <w:spacing w:after="0"/>
              <w:rPr>
                <w:sz w:val="14"/>
                <w:szCs w:val="14"/>
                <w:color w:val="auto"/>
              </w:rPr>
            </w:pPr>
          </w:p>
        </w:tc>
        <w:tc>
          <w:tcPr>
            <w:tcW w:w="1480" w:type="dxa"/>
            <w:vAlign w:val="bottom"/>
            <w:tcBorders>
              <w:bottom w:val="single" w:sz="8" w:color="CFF0FC"/>
            </w:tcBorders>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-744855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-744855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-744855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-393700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-393700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-393700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 and March 31, 2024</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of average FPAUM for the three months ended March 31, 2025 and March 31, 2024. For the three months ended March 31, 2025 compared to the three months ended March 31, 2024, revenues increased by $1.6 million or 2% due to higher management and advisory fees across the Company.</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Management and advisory fees increased by $1.6 million, or 2%, to $66.7 million for the three months ended March 31, 2025 as compared to the three months ended March 31, 2024 due to continued fundraising and deployed capital and 10% growth in average FPAUM across the Company. Catch up fees for the three months ended March 31, 2025 were $2.8 million. Catch up fees are associated with the fund closings at RCP, TrueBridge, and WTI.</w:t>
      </w:r>
    </w:p>
    <w:p>
      <w:pPr>
        <w:spacing w:after="0" w:line="176"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Other revenues, which represent ancillary elements of our business, decreased by $0.1 million or 6% to $0.9 million for the three months ended March 31, 2025 as compared to the three months ended March 31, 2024 driven primarily by a decrease of $0.2 million in interest income earned from certain funds offset slightly by an increase of $0.1 million of income associated with one-time ancillary services performed for certain funds in other revenue.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9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3"/>
                <w:szCs w:val="13"/>
                <w:color w:val="auto"/>
              </w:rPr>
            </w:pPr>
          </w:p>
        </w:tc>
        <w:tc>
          <w:tcPr>
            <w:tcW w:w="14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8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and benefits</w:t>
            </w:r>
          </w:p>
        </w:tc>
        <w:tc>
          <w:tcPr>
            <w:tcW w:w="860" w:type="dxa"/>
            <w:vAlign w:val="bottom"/>
            <w:shd w:val="clear" w:color="auto" w:fill="CFF0FC"/>
          </w:tcPr>
          <w:p>
            <w:pPr>
              <w:jc w:val="right"/>
              <w:ind w:right="70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37,080</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37,109</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6,515</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w:t>
            </w:r>
          </w:p>
        </w:tc>
        <w:tc>
          <w:tcPr>
            <w:tcW w:w="22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administrative, and other</w:t>
            </w:r>
          </w:p>
        </w:tc>
        <w:tc>
          <w:tcPr>
            <w:tcW w:w="8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6,825</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2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 expense</w:t>
            </w: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8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(1,119)</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Strategic alliance expense</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860" w:type="dxa"/>
            <w:vAlign w:val="bottom"/>
            <w:shd w:val="clear" w:color="auto" w:fill="CFF0FC"/>
          </w:tcPr>
          <w:p>
            <w:pPr>
              <w:jc w:val="right"/>
              <w:ind w:right="70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56,441</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54,016</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2025 and March 31, 2024</w:t>
      </w:r>
    </w:p>
    <w:p>
      <w:pPr>
        <w:spacing w:after="0" w:line="119"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by $2.4 million, or 4%, to $56.4 million for the three months ended March 31, 2025 compared to the three months ended March 31, 2024. This increase was primarily due to increases in professional fees and general, administrative and other expenses offset slightly by decreases in amortization expense of intangibles.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Compensation and benefits expense remained flat at $37.1 million, for the three months ended March 31, 2025 compared to the three months ended March 31, 2024.</w:t>
      </w:r>
    </w:p>
    <w:p>
      <w:pPr>
        <w:spacing w:after="0" w:line="16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Professional fees increased by $2.7 million, or 73%, to $6.5 million primarily driven by an increase in legal and professional services associated with the Qualitas acquisition.</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General, administrative and other increased by $0.8 million, or 13%, to $6.8 million, due primarily to increases in marketing efforts, insurance and compliance expenses, rent and office repairs and maintenance as well as ongoing enhancements to infrastructure, technology, and security.</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Amortization of intangibles decreased by $1.1 million, or 17%, to $5.3 million, for the three months ended March 31, 2025 as compared to the three months ended March 31, 2024. This is due to decreases at ECG, Five Points, RCP, TrueBridge, and WTI. The decrease at ECG is driven by unique syndicate contracts and advisory contracts' amortization schedule, which is based on projected revenues at the time of acquisition. The decreases at Five Points, RCP, TrueBridge, and WTI are driven by asset management fee contracts' amortization schedule, which is based on projected revenues at the time of acquisition.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2025 and March 31, 2024</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Other expense increased by $1.2 million, or 23%, to $6.3 million for the three months ended March 31, 2025 compared to the three months ended March 31, 2024. This increase was driven by an increase in interest expense of $0.6 million on the debt facility due to a larger outstanding balance on the term loan for the first three months ended March 31, 2025. Additionally, other income decreased by $0.5 million primarily due to a $0.3 million decrease in income from unconsolidated subsidiaries as well as a $0.2 million loss related to the guarantee for the Clifford incremental fee.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2025 and March 31, 2024</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was $0.3 million for the three months ended March 31, 2025, a decrease of $1.5 million from $1.8 million for the three months ended March 31, 2024. This reduction was mainly due to lower pre-tax income and the recognition of a higher discrete windfall tax benefit related to RSU vesting and options exercised in the three months ended March 31, 2025 compared to the three months ended March 31, 2024.</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FPAUM</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period-to-period roll-forward of our fee paying assets under management on an actual basis.</w:t>
      </w:r>
    </w:p>
    <w:p>
      <w:pPr>
        <w:spacing w:after="0" w:line="200" w:lineRule="exact"/>
        <w:rPr>
          <w:sz w:val="20"/>
          <w:szCs w:val="20"/>
          <w:color w:val="auto"/>
        </w:rPr>
      </w:pPr>
    </w:p>
    <w:p>
      <w:pPr>
        <w:spacing w:after="0" w:line="222"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30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320" w:type="dxa"/>
            <w:vAlign w:val="bottom"/>
            <w:vMerge w:val="restart"/>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300" w:type="dxa"/>
            <w:vAlign w:val="bottom"/>
            <w:shd w:val="clear" w:color="auto" w:fill="CFF0FC"/>
          </w:tcPr>
          <w:p>
            <w:pPr>
              <w:jc w:val="right"/>
              <w:ind w:right="114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25,677</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w:t>
            </w: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Capital raised </w:t>
            </w:r>
            <w:r>
              <w:rPr>
                <w:rFonts w:ascii="Times New Roman" w:cs="Times New Roman" w:eastAsia="Times New Roman" w:hAnsi="Times New Roman"/>
                <w:sz w:val="24"/>
                <w:szCs w:val="24"/>
                <w:color w:val="auto"/>
                <w:vertAlign w:val="superscript"/>
              </w:rPr>
              <w:t>(1)</w:t>
            </w:r>
          </w:p>
        </w:tc>
        <w:tc>
          <w:tcPr>
            <w:tcW w:w="1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Capital deployed </w:t>
            </w:r>
            <w:r>
              <w:rPr>
                <w:rFonts w:ascii="Times New Roman" w:cs="Times New Roman" w:eastAsia="Times New Roman" w:hAnsi="Times New Roman"/>
                <w:sz w:val="24"/>
                <w:szCs w:val="24"/>
                <w:color w:val="auto"/>
                <w:vertAlign w:val="superscript"/>
              </w:rPr>
              <w:t>(2)</w:t>
            </w:r>
          </w:p>
        </w:tc>
        <w:tc>
          <w:tcPr>
            <w:tcW w:w="13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Net Asset Value Change </w:t>
            </w:r>
            <w:r>
              <w:rPr>
                <w:rFonts w:ascii="Times New Roman" w:cs="Times New Roman" w:eastAsia="Times New Roman" w:hAnsi="Times New Roman"/>
                <w:sz w:val="24"/>
                <w:szCs w:val="24"/>
                <w:color w:val="auto"/>
                <w:vertAlign w:val="superscript"/>
              </w:rPr>
              <w:t>(3)</w:t>
            </w:r>
          </w:p>
        </w:tc>
        <w:tc>
          <w:tcPr>
            <w:tcW w:w="13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w:t>
            </w:r>
          </w:p>
        </w:tc>
        <w:tc>
          <w:tcPr>
            <w:tcW w:w="1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Scheduled fee base stepdowns</w:t>
            </w:r>
          </w:p>
        </w:tc>
        <w:tc>
          <w:tcPr>
            <w:tcW w:w="1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5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Expiration of fee period</w:t>
            </w:r>
          </w:p>
        </w:tc>
        <w:tc>
          <w:tcPr>
            <w:tcW w:w="1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5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300" w:type="dxa"/>
            <w:vAlign w:val="bottom"/>
            <w:tcBorders>
              <w:top w:val="single" w:sz="8" w:color="auto"/>
              <w:bottom w:val="single" w:sz="8" w:color="auto"/>
            </w:tcBorders>
          </w:tcPr>
          <w:p>
            <w:pPr>
              <w:jc w:val="right"/>
              <w:ind w:right="114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26,320</w:t>
            </w:r>
          </w:p>
        </w:tc>
        <w:tc>
          <w:tcPr>
            <w:tcW w:w="28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23,846</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-170815</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-170815</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new commitments from funds that earn fees on a committed capital fee base.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vehicles, fees are based on capital deployed, as such increasing FPAUM.</w:t>
      </w:r>
    </w:p>
    <w:p>
      <w:pPr>
        <w:spacing w:after="0" w:line="9" w:lineRule="exact"/>
        <w:rPr>
          <w:rFonts w:ascii="Times New Roman" w:cs="Times New Roman" w:eastAsia="Times New Roman" w:hAnsi="Times New Roman"/>
          <w:sz w:val="18"/>
          <w:szCs w:val="18"/>
          <w:color w:val="auto"/>
        </w:rPr>
      </w:pPr>
    </w:p>
    <w:p>
      <w:pPr>
        <w:ind w:left="520" w:right="220" w:hanging="512"/>
        <w:spacing w:after="0" w:line="26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change consists primarily of the impact of market value appreciation (depreciation) from funds that earn fees on a net asset value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FPAUM as of March 31, 2025</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FPAUM increased by $0.6 billion, or 3%, to $26.3 billion for the three months ended March 31, 2025, due primarily to an increase in capital raised and capital deployed from our private equity and venture capital solutions, which was offset by a decline of fees related to scheduled fee stepdowns and expirations of fees.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use Fee-Related Revenue ("FRR"), Fee-Related Earnings ("FRE"), and Adjusted Net Income, or ANI,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FRR is calculated as Total Revenues less any non-fee related revenue. ANI reflects our actual cash flows generated by our core operations. ANI is calculated as FRE, plus non-fee related income less actual cash paid for interest and federal and state income taxes.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compute FRE, we adjust our GAAP net income for the following items:</w:t>
      </w:r>
    </w:p>
    <w:p>
      <w:pPr>
        <w:spacing w:after="0" w:line="117" w:lineRule="exact"/>
        <w:rPr>
          <w:sz w:val="20"/>
          <w:szCs w:val="20"/>
          <w:color w:val="auto"/>
        </w:rPr>
      </w:pPr>
    </w:p>
    <w:p>
      <w:pPr>
        <w:ind w:left="1020" w:right="5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that typically do not require us to pay them in cash in the current period (such as depreciation, amortization and stock-based compensation);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financing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expenses related to restructuring of the management team including placement/search fees;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42" w:name="page43"/>
    <w:bookmarkEnd w:id="42"/>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one-time technical accounting matters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Non-fee related income</w:t>
      </w:r>
    </w:p>
    <w:p>
      <w:pPr>
        <w:spacing w:after="0" w:line="225"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cash income taxes paid during the three months ended March 31, 2025 and March 31, 2024 differ significantly from the net income tax expense, which is primarily comprised of deferred tax expense as described in the results of operations.</w:t>
      </w:r>
    </w:p>
    <w:p>
      <w:pPr>
        <w:spacing w:after="0" w:line="16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674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690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7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60" w:type="dxa"/>
            <w:vAlign w:val="bottom"/>
            <w:shd w:val="clear" w:color="auto" w:fill="CFF0FC"/>
          </w:tcPr>
          <w:p>
            <w:pPr>
              <w:jc w:val="right"/>
              <w:ind w:right="109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Non-recurring expenses</w:t>
            </w: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stock based compensation</w:t>
            </w:r>
          </w:p>
        </w:tc>
        <w:tc>
          <w:tcPr>
            <w:tcW w:w="1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stock based compensation - acquisitions</w:t>
            </w:r>
          </w:p>
        </w:tc>
        <w:tc>
          <w:tcPr>
            <w:tcW w:w="1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 out related compensation</w:t>
            </w:r>
          </w:p>
        </w:tc>
        <w:tc>
          <w:tcPr>
            <w:tcW w:w="1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Non-fee related income</w:t>
            </w:r>
          </w:p>
        </w:tc>
        <w:tc>
          <w:tcPr>
            <w:tcW w:w="1260" w:type="dxa"/>
            <w:vAlign w:val="bottom"/>
          </w:tcPr>
          <w:p>
            <w:pPr>
              <w:spacing w:after="0"/>
              <w:rPr>
                <w:sz w:val="18"/>
                <w:szCs w:val="18"/>
                <w:color w:val="auto"/>
              </w:rPr>
            </w:pPr>
          </w:p>
        </w:tc>
        <w:tc>
          <w:tcPr>
            <w:tcW w:w="10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r>
      <w:tr>
        <w:trPr>
          <w:trHeight w:val="250"/>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1260" w:type="dxa"/>
            <w:vAlign w:val="bottom"/>
            <w:tcBorders>
              <w:top w:val="single" w:sz="8" w:color="auto"/>
              <w:bottom w:val="single" w:sz="8" w:color="auto"/>
            </w:tcBorders>
            <w:shd w:val="clear" w:color="auto" w:fill="CFF0FC"/>
          </w:tcPr>
          <w:p>
            <w:pPr>
              <w:jc w:val="right"/>
              <w:ind w:right="109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30,687</w:t>
            </w:r>
          </w:p>
        </w:tc>
        <w:tc>
          <w:tcPr>
            <w:tcW w:w="3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6"/>
        </w:trPr>
        <w:tc>
          <w:tcPr>
            <w:tcW w:w="69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Plus:</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Non-fee related income</w:t>
            </w:r>
          </w:p>
        </w:tc>
        <w:tc>
          <w:tcPr>
            <w:tcW w:w="1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interest expense</w:t>
            </w:r>
          </w:p>
        </w:tc>
        <w:tc>
          <w:tcPr>
            <w:tcW w:w="1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(6,696)</w:t>
            </w:r>
          </w:p>
        </w:tc>
        <w:tc>
          <w:tcPr>
            <w:tcW w:w="5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(5,406)</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income taxes, net of taxes related to acquisitions</w:t>
            </w:r>
          </w:p>
        </w:tc>
        <w:tc>
          <w:tcPr>
            <w:tcW w:w="1260" w:type="dxa"/>
            <w:vAlign w:val="bottom"/>
          </w:tcPr>
          <w:p>
            <w:pPr>
              <w:spacing w:after="0"/>
              <w:rPr>
                <w:sz w:val="18"/>
                <w:szCs w:val="18"/>
                <w:color w:val="auto"/>
              </w:rPr>
            </w:pPr>
          </w:p>
        </w:tc>
        <w:tc>
          <w:tcPr>
            <w:tcW w:w="10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(570)</w:t>
            </w:r>
          </w:p>
        </w:tc>
        <w:tc>
          <w:tcPr>
            <w:tcW w:w="5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260" w:type="dxa"/>
            <w:vAlign w:val="bottom"/>
            <w:tcBorders>
              <w:top w:val="single" w:sz="8" w:color="auto"/>
              <w:bottom w:val="single" w:sz="8" w:color="auto"/>
            </w:tcBorders>
            <w:shd w:val="clear" w:color="auto" w:fill="CFF0FC"/>
          </w:tcPr>
          <w:p>
            <w:pPr>
              <w:jc w:val="right"/>
              <w:ind w:right="109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23,460</w:t>
            </w:r>
          </w:p>
        </w:tc>
        <w:tc>
          <w:tcPr>
            <w:tcW w:w="3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413"/>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60" w:type="dxa"/>
            <w:vAlign w:val="bottom"/>
          </w:tcPr>
          <w:p>
            <w:pPr>
              <w:jc w:val="right"/>
              <w:ind w:right="109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67,667</w:t>
            </w:r>
          </w:p>
        </w:tc>
        <w:tc>
          <w:tcPr>
            <w:tcW w:w="320" w:type="dxa"/>
            <w:vAlign w:val="bottom"/>
          </w:tcPr>
          <w:p>
            <w:pPr>
              <w:spacing w:after="0"/>
              <w:rPr>
                <w:sz w:val="24"/>
                <w:szCs w:val="24"/>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66,115</w:t>
            </w:r>
          </w:p>
        </w:tc>
        <w:tc>
          <w:tcPr>
            <w:tcW w:w="120" w:type="dxa"/>
            <w:vAlign w:val="bottom"/>
          </w:tcPr>
          <w:p>
            <w:pPr>
              <w:spacing w:after="0"/>
              <w:rPr>
                <w:sz w:val="24"/>
                <w:szCs w:val="24"/>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Non-Fee Related Revenue</w:t>
            </w:r>
          </w:p>
        </w:tc>
        <w:tc>
          <w:tcPr>
            <w:tcW w:w="1260" w:type="dxa"/>
            <w:vAlign w:val="bottom"/>
          </w:tcPr>
          <w:p>
            <w:pPr>
              <w:spacing w:after="0"/>
              <w:rPr>
                <w:sz w:val="18"/>
                <w:szCs w:val="18"/>
                <w:color w:val="auto"/>
              </w:rPr>
            </w:pPr>
          </w:p>
        </w:tc>
        <w:tc>
          <w:tcPr>
            <w:tcW w:w="10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(1,108)</w:t>
            </w:r>
          </w:p>
        </w:tc>
      </w:tr>
      <w:tr>
        <w:trPr>
          <w:trHeight w:val="250"/>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Fee-Related Revenue</w:t>
            </w:r>
          </w:p>
        </w:tc>
        <w:tc>
          <w:tcPr>
            <w:tcW w:w="1260" w:type="dxa"/>
            <w:vAlign w:val="bottom"/>
            <w:tcBorders>
              <w:top w:val="single" w:sz="8" w:color="auto"/>
              <w:bottom w:val="single" w:sz="8" w:color="auto"/>
            </w:tcBorders>
            <w:shd w:val="clear" w:color="auto" w:fill="CFF0FC"/>
          </w:tcPr>
          <w:p>
            <w:pPr>
              <w:jc w:val="right"/>
              <w:ind w:right="109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67,628</w:t>
            </w:r>
          </w:p>
        </w:tc>
        <w:tc>
          <w:tcPr>
            <w:tcW w:w="3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-1602105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-1584960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-1602105</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-1584960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-744855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-728345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Statements of Financial Position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vMerge w:val="restart"/>
          </w:tcPr>
          <w:p>
            <w:pPr>
              <w:spacing w:after="0"/>
              <w:rPr>
                <w:sz w:val="12"/>
                <w:szCs w:val="12"/>
                <w:color w:val="auto"/>
              </w:rPr>
            </w:pPr>
          </w:p>
        </w:tc>
        <w:tc>
          <w:tcPr>
            <w:tcW w:w="14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00" w:type="dxa"/>
            <w:vAlign w:val="bottom"/>
            <w:gridSpan w:val="4"/>
          </w:tcPr>
          <w:p>
            <w:pPr>
              <w:jc w:val="center"/>
              <w:ind w:right="95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75,411</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68,115</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7,296</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40" w:type="dxa"/>
            <w:vAlign w:val="bottom"/>
          </w:tcPr>
          <w:p>
            <w:pPr>
              <w:spacing w:after="0"/>
              <w:rPr>
                <w:sz w:val="18"/>
                <w:szCs w:val="18"/>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598,309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603,627</w:t>
            </w:r>
          </w:p>
        </w:tc>
        <w:tc>
          <w:tcPr>
            <w:tcW w:w="2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(5,318)</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877,351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869,275</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8,076</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18"/>
                <w:szCs w:val="18"/>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54,141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69,544</w:t>
            </w:r>
          </w:p>
        </w:tc>
        <w:tc>
          <w:tcPr>
            <w:tcW w:w="2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(15,403)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357,151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319,783</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37,368</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374,255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386,890</w:t>
            </w:r>
          </w:p>
        </w:tc>
        <w:tc>
          <w:tcPr>
            <w:tcW w:w="2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(12,635)</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was an increase in cash and cash equivalents of $7.3 million from December 31, 2024 to $75.4 million as of March 31, 2025 primarily due to drawing on the revolver offset by Class A common stock repurchases and liabilities payment. There was a decrease in goodwill and intangible assets of $5.3 million due to amortization of intangibles during the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right="60"/>
        <w:spacing w:after="0" w:line="261" w:lineRule="auto"/>
        <w:rPr>
          <w:sz w:val="20"/>
          <w:szCs w:val="20"/>
          <w:color w:val="auto"/>
        </w:rPr>
      </w:pPr>
      <w:r>
        <w:rPr>
          <w:rFonts w:ascii="Times New Roman" w:cs="Times New Roman" w:eastAsia="Times New Roman" w:hAnsi="Times New Roman"/>
          <w:sz w:val="18"/>
          <w:szCs w:val="18"/>
          <w:color w:val="auto"/>
        </w:rPr>
        <w:t>three months ended March 31, 2025. Remaining total assets increased in the same period by $6.1 million. The increase is driven by an increase in accounts receivable from related parties which is primarily due to ECG's Advisory Agreement with Enhanced PC. Additionally, there was an increase in right of use assets related to a new office lease as well as an increase in prepaid expenses and other assets associated with the purchase of allocable state tax credits. Debt obligations increased by $37.4 million which is driven by revolver activity due to the Qualitas acquisition that closed in early April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$125.0 million accordion feature available in the credit agreement, which we exercised in September 2022. The accordion was not drawn until October 2022, at which point it was divided to $87.5 million of term loan and $37.5 million of revolver. On August 1, 2024, the Company entered into the Amended and Restated Credit Agreement, which provides for a new senior secured revolving credit facility in the amount of $175.0 million with a $10.0 million sublimit for the issuance of letters of credit, and a new senior secured loan facility in the amount of $325.0 million. The New Credit Facilities are to be used to refinance and replace the credit facilities under the Credit Agreement and for general corporate purposes, including acquisitions.</w:t>
      </w:r>
    </w:p>
    <w:p>
      <w:pPr>
        <w:spacing w:after="0" w:line="19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New Credit Facilities are Term SOFR Loans meaning loans bearing interest based upon the "Adjusted Term SOFR Rate". The Adjusted Term SOFR Rate is the Secured Overnight Financing Rate ("SOFR") at the date of election, plus 2.60%. The Company can elect one or three months for the Revolver Facility and one, three, or six months for the Term Loan. Principal is contractually repaid at a rate of 1.25% on the term loan quarterly effective December 31, 2025. The New Revolving Facility has no contractual principal repayments until maturity, which is August 1, 2028 for both facilities.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the Term Loan with a balance of $325.0 million is incurring interest at a weighted average SOFR rate of 6.89%. As of March 31, 2025, the New Revolving Facility is split into one tranche. The total principal outstanding is $37.0 million and the weighted average SOFR rate amongst the tranches is 6.92%. The tranches are all incurring interest at a set rate for one or three month periods and are subsequently reset at the current SOFR rate. Refer to Note 11 of our Consolidated Financial Statements for further details provided on the debt and associated interest periods.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Amended and Restated Credit Agreement contains affirmative and negative covenants typical of such financing transactions, and specific financial covenants which require P10 to maintain a minimum FPAUM of the sum of $16.7 million plus 70% of the aggregate amount of FPAUM acquired or not constituted as organic growth as well as a minimum leverage ratio of less than or equal to 3.50. As of March 31, 2025, P10 was in compliance with its financial and other covenants required under the facility. The Company has incurred $6.0 million in interest expense for the three months ended March 31,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Compared to the Three Months Ended March 31,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reflects our cash flows for the three months ended March 31, 2025 and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580" w:type="dxa"/>
            <w:vAlign w:val="bottom"/>
          </w:tcPr>
          <w:p>
            <w:pPr>
              <w:spacing w:after="0"/>
              <w:rPr>
                <w:sz w:val="11"/>
                <w:szCs w:val="11"/>
                <w:color w:val="auto"/>
              </w:rPr>
            </w:pPr>
          </w:p>
        </w:tc>
        <w:tc>
          <w:tcPr>
            <w:tcW w:w="1780" w:type="dxa"/>
            <w:vAlign w:val="bottom"/>
            <w:vMerge w:val="restart"/>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6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720" w:type="dxa"/>
            <w:vAlign w:val="bottom"/>
            <w:gridSpan w:val="2"/>
            <w:shd w:val="clear" w:color="auto" w:fill="CFF0FC"/>
          </w:tcPr>
          <w:p>
            <w:pPr>
              <w:jc w:val="center"/>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(15,688)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7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(12,725)</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Increase in cash, cash equivalents and</w:t>
            </w:r>
          </w:p>
        </w:tc>
        <w:tc>
          <w:tcPr>
            <w:tcW w:w="2660" w:type="dxa"/>
            <w:vAlign w:val="bottom"/>
            <w:gridSpan w:val="2"/>
            <w:vMerge w:val="restart"/>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00" w:type="dxa"/>
            <w:vAlign w:val="bottom"/>
          </w:tcPr>
          <w:p>
            <w:pPr>
              <w:spacing w:after="0"/>
              <w:rPr>
                <w:sz w:val="16"/>
                <w:szCs w:val="16"/>
                <w:color w:val="auto"/>
              </w:rPr>
            </w:pPr>
          </w:p>
        </w:tc>
        <w:tc>
          <w:tcPr>
            <w:tcW w:w="7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restricted cash</w:t>
            </w:r>
          </w:p>
        </w:tc>
        <w:tc>
          <w:tcPr>
            <w:tcW w:w="266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78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42</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5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-1122680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-1122680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-1122680</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 and March 31, 2024</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operating activities generally reflect the Company's earnings in the respective periods after adjusting for significant non-cash activity, including income of unconsolidated subsidiaries, stock-based compensation, depreciation, amortization, and deferred tax expense, all of which are included in net income. Cash from operating activities decreased by $15.7 million to $4.7 million used in operating activities for the three months ended March 31, 2025 compared to the three months ended March 31, 2024. For the three months ended March 31, 2025 and 2024, our net cash (used in) provided by operating activities was driven primarily by receipts of management fees and advisory fees, offset by a purchase of allocable state tax credits and payment of operating expenses, which includes professional fees, compensation and benefits, as well as general, administrative and other expenses.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 and March 31, 2024</w:t>
      </w:r>
    </w:p>
    <w:p>
      <w:pPr>
        <w:spacing w:after="0" w:line="11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cash used in investing activities increased by $1.0 million, or 388%, to ($1.3) million, for the three months ended March 31, 2025 as compared to the three months ended March 31, 2024. This increase in cash used in investing activities was due to purchases of additional property and equipment in the first quarter of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 and March 31, 2024</w:t>
      </w:r>
    </w:p>
    <w:p>
      <w:pPr>
        <w:spacing w:after="0" w:line="11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Cash from financing activities for the three months ended March 31, 2025 was $13.3 million, as compared to cash used in financing activities of $12.7 million for the three months ended March 31, 2024. The change is driven by less repurchases of common stock paired with an increase in net cash activity from the debt facility to prepare for the Qualitas acquisition.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Sources and Uses of Liquidity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approved a program to repurchase shares of our Class A and Class B common stock. As of March 31, 2025, the Board has approved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$132.0 million since inception of the program, of which $40 million was approved during the three months ended March 31, 2025, for repurchase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Program. These shares may be repurchased from time to time in the open market at prevailing market prices, in privately negotiated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 block trades, in accordance with Rule 10b5-1 trading plans and/or through other legally permissible means. The timing and amount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pursuant to the program will depend on various factors including, the market price of our Class A Common Stock, trading volume, ongoing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assessment of our working capital needs, general market conditions, and other factors. As of March 31, 2025, $103.5 million has been spent to buy back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since the inception of the program and there was $28.5 million remaining for authorized repurchases under this program.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5" w:name="page46"/>
    <w:bookmarkEnd w:id="45"/>
    <w:p>
      <w:pPr>
        <w:ind w:right="180"/>
        <w:spacing w:after="0" w:line="282" w:lineRule="auto"/>
        <w:rPr>
          <w:sz w:val="20"/>
          <w:szCs w:val="20"/>
          <w:color w:val="auto"/>
        </w:rPr>
      </w:pPr>
      <w:r>
        <w:rPr>
          <w:rFonts w:ascii="Times New Roman" w:cs="Times New Roman" w:eastAsia="Times New Roman" w:hAnsi="Times New Roman"/>
          <w:sz w:val="18"/>
          <w:szCs w:val="18"/>
          <w:color w:val="auto"/>
        </w:rPr>
        <w:t>potentially produce materially different results if we were to change the underlying assumptions, estimates, or judgments. See Note 2 of our consolidated financial statements for a summary of our significant accounting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Losses for Due from Related Parties</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 If accounts are subsequently determined to be uncollectible, they will be expensed in the period that determination is made. 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 of ECG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19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 estimates that accounts receivable, due from related parties, and notes receivable are fully collectible based on historical events, current conditions, and reasonable and supportable forecasts. The estimate for the Enhanced PC Advisory Agreements require more judgment than other receivables due to the size of the outstanding receivable and the Company's reliance on reasonable and supportable forecasts on this particular receivable bucket.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of Management and Advisory Fees</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obligations not being satisfied at the time of collection.</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the right to invoice.</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Advisory service fees are determined using fixed-rate fees and are recognized over time as the related services are delivered. Other advisory services include transaction and management fees associated with managing the origination and ongoing compliance of certain investments.</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46" w:name="page47"/>
    <w:bookmarkEnd w:id="46"/>
    <w:p>
      <w:pPr>
        <w:ind w:right="40"/>
        <w:spacing w:after="0" w:line="261" w:lineRule="auto"/>
        <w:rPr>
          <w:sz w:val="20"/>
          <w:szCs w:val="20"/>
          <w:color w:val="auto"/>
        </w:rPr>
      </w:pPr>
      <w:r>
        <w:rPr>
          <w:rFonts w:ascii="Times New Roman" w:cs="Times New Roman" w:eastAsia="Times New Roman" w:hAnsi="Times New Roman"/>
          <w:sz w:val="18"/>
          <w:szCs w:val="18"/>
          <w:color w:val="auto"/>
        </w:rPr>
        <w:t>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180" w:lineRule="exact"/>
        <w:rPr>
          <w:sz w:val="20"/>
          <w:szCs w:val="20"/>
          <w:color w:val="auto"/>
        </w:rPr>
      </w:pPr>
    </w:p>
    <w:p>
      <w:pPr>
        <w:jc w:val="both"/>
        <w:ind w:right="400" w:firstLine="554"/>
        <w:spacing w:after="0" w:line="266" w:lineRule="auto"/>
        <w:rPr>
          <w:sz w:val="20"/>
          <w:szCs w:val="20"/>
          <w:color w:val="auto"/>
        </w:rPr>
      </w:pPr>
      <w:r>
        <w:rPr>
          <w:rFonts w:ascii="Times New Roman" w:cs="Times New Roman" w:eastAsia="Times New Roman" w:hAnsi="Times New Roman"/>
          <w:sz w:val="18"/>
          <w:szCs w:val="18"/>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1-10 years as services are provided to the customer.</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Catch-up fees are earned from investors that make commitments to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 in which the constraint is relieved at the time of the commitment.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either a service period or both a service period and performance condition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of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RSUs are remeasured quarterly against performance metrics as a liability on the Consolidated Balance Sheets. Refer to Note 15 to the Consolidated Financial Statements for further discussion. Forfeitures are recognized as they occur.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 and Benefits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Accrued compensation and benefits consists of employee salaries, bonuses, benefits, severance, and acquisition-related earnouts (contingent on employment) that has not yet been paid. The estimate for the acquisition-related earnouts require more judgment than the other components in accrued compensation and benefits. The acquisition-related earnout for WTI is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March 31, 2025, the Company has determined that only the first two EBITDA hurdles are probable of being achieved. Additionally 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Share and Repurchase Agreement</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accrued contingent liabilities and contingent payments to customers asset in our Consolidated Balance Sheets for an agreement between ECG and various third parties. The agreement requires ECG to share in certain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7" w:name="page48"/>
    <w:bookmarkEnd w:id="47"/>
    <w:p>
      <w:pPr>
        <w:ind w:right="80"/>
        <w:spacing w:after="0" w:line="256" w:lineRule="auto"/>
        <w:rPr>
          <w:sz w:val="20"/>
          <w:szCs w:val="20"/>
          <w:color w:val="auto"/>
        </w:rPr>
      </w:pPr>
      <w:r>
        <w:rPr>
          <w:rFonts w:ascii="Times New Roman" w:cs="Times New Roman" w:eastAsia="Times New Roman" w:hAnsi="Times New Roman"/>
          <w:sz w:val="18"/>
          <w:szCs w:val="18"/>
          <w:color w:val="auto"/>
        </w:rPr>
        <w:t>revenues earned with the third parties and also includes an option for the third parties to sell back the revenue share to ECG at a set multiple. Additionally, ECG holds the option to buy back 50% of the revenue share at a set multiple. The options to repurchase the revenue share are exercisable starting in July 2025. The Company believes it is probable that the third parties will exercise its option to sell back the revenue share and has recognized a liability on the Consolidated Balance Sheets. The Company has also recognized a contingent payment to customers associated with the agreement and will amortize the asset against revenue over the estimated term of the management contract. The amortization is reported in management and advisory fees on the Consolidated Statements of Operations. The Company will reassess at each reporting period and recognize all changes.</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 December 23, 2024, the Company became a guarantor for a related party on a related put option and call option with the same third party customers and terms. The Company would be required to settle either the put or call options if either are exercised and the related party does not have the means to settle themselves. The Company’s accrued contingent liabilities are recognized once determined that it is probable the Company would need to settle as guarantor and estimable and would record a loss at the same time. The Company will reassess at each reporting period and recognize all changes. Refer to Note 13 to the Consolidated Financial Statements for further discussion.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Qualitative and Quantitative Disclosures about Market Risk.</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80"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Fair value of the financial assets and liabilities of our specialized investment vehicles may fluctuate in response to changes in the value of underlying assets,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we had $325.0 million in outstanding principal in Term Loans under our Term Loan and $37.0 million under our Revolving Credit Facility. The annual interest rate on the Term Loan is based on SOFR plus 2.60%. The Company remains exposed to interest rate risk if three is a shift in the environment. We estimate that a 100-basis point increase in the interest rate would result in an approximately $3.3 million increase in interest expense related to the loan over the next 12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ind w:right="60"/>
        <w:spacing w:after="0" w:line="258" w:lineRule="auto"/>
        <w:rPr>
          <w:sz w:val="20"/>
          <w:szCs w:val="20"/>
          <w:color w:val="auto"/>
        </w:rPr>
      </w:pPr>
      <w:r>
        <w:rPr>
          <w:rFonts w:ascii="Times New Roman" w:cs="Times New Roman" w:eastAsia="Times New Roman" w:hAnsi="Times New Roman"/>
          <w:sz w:val="18"/>
          <w:szCs w:val="18"/>
          <w:color w:val="auto"/>
        </w:rPr>
        <w:t>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our most recent quarter ended March 31, 2025 that have materially affected, or are reasonably likely to materially affect, our internal control over financial reporting.</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“Contingencies” in Note 13, Commitments and Contingencies, to our consolidated financial statements included elsewhere in this annual report, and such information is incorporated by reference into this Item 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“Risk Factors” included in our annual report on Form 10-K for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our repurchase activity with respect to shares of our common stock for the quarter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Weighted Average</w:t>
            </w:r>
          </w:p>
        </w:tc>
        <w:tc>
          <w:tcPr>
            <w:tcW w:w="100" w:type="dxa"/>
            <w:vAlign w:val="bottom"/>
          </w:tcPr>
          <w:p>
            <w:pPr>
              <w:spacing w:after="0"/>
              <w:rPr>
                <w:sz w:val="13"/>
                <w:szCs w:val="13"/>
                <w:color w:val="auto"/>
              </w:rPr>
            </w:pPr>
          </w:p>
        </w:tc>
        <w:tc>
          <w:tcPr>
            <w:tcW w:w="2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 Number of Shares Purchased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Maximum Approximate Dollar</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7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 Number of Shares</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Value of Shares that May Yet Be</w:t>
            </w:r>
          </w:p>
        </w:tc>
        <w:tc>
          <w:tcPr>
            <w:tcW w:w="0" w:type="dxa"/>
            <w:vAlign w:val="bottom"/>
          </w:tcPr>
          <w:p>
            <w:pPr>
              <w:spacing w:after="0"/>
              <w:rPr>
                <w:sz w:val="1"/>
                <w:szCs w:val="1"/>
                <w:color w:val="auto"/>
              </w:rPr>
            </w:pPr>
          </w:p>
        </w:tc>
      </w:tr>
      <w:tr>
        <w:trPr>
          <w:trHeight w:val="135"/>
        </w:trPr>
        <w:tc>
          <w:tcPr>
            <w:tcW w:w="3660" w:type="dxa"/>
            <w:vAlign w:val="bottom"/>
            <w:vMerge w:val="restart"/>
          </w:tcPr>
          <w:p>
            <w:pPr>
              <w:spacing w:after="0"/>
              <w:rPr>
                <w:sz w:val="20"/>
                <w:szCs w:val="20"/>
                <w:color w:val="auto"/>
              </w:rPr>
            </w:pPr>
            <w:r>
              <w:rPr>
                <w:rFonts w:ascii="Arial" w:cs="Arial" w:eastAsia="Arial" w:hAnsi="Arial"/>
                <w:sz w:val="13"/>
                <w:szCs w:val="13"/>
                <w:b w:val="1"/>
                <w:bCs w:val="1"/>
                <w:color w:val="auto"/>
              </w:rPr>
              <w:t>Period</w:t>
            </w:r>
          </w:p>
        </w:tc>
        <w:tc>
          <w:tcPr>
            <w:tcW w:w="1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w w:val="99"/>
              </w:rPr>
              <w:t>Price Paid per</w:t>
            </w:r>
          </w:p>
        </w:tc>
        <w:tc>
          <w:tcPr>
            <w:tcW w:w="10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as Part of Publicly Announced Plan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Purchased Under the Plans or</w:t>
            </w:r>
          </w:p>
        </w:tc>
        <w:tc>
          <w:tcPr>
            <w:tcW w:w="0" w:type="dxa"/>
            <w:vAlign w:val="bottom"/>
          </w:tcPr>
          <w:p>
            <w:pPr>
              <w:spacing w:after="0"/>
              <w:rPr>
                <w:sz w:val="1"/>
                <w:szCs w:val="1"/>
                <w:color w:val="auto"/>
              </w:rPr>
            </w:pPr>
          </w:p>
        </w:tc>
      </w:tr>
      <w:tr>
        <w:trPr>
          <w:trHeight w:val="173"/>
        </w:trPr>
        <w:tc>
          <w:tcPr>
            <w:tcW w:w="3660" w:type="dxa"/>
            <w:vAlign w:val="bottom"/>
            <w:tcBorders>
              <w:bottom w:val="single" w:sz="8" w:color="auto"/>
            </w:tcBorders>
            <w:vMerge w:val="continue"/>
          </w:tcPr>
          <w:p>
            <w:pPr>
              <w:spacing w:after="0"/>
              <w:rPr>
                <w:sz w:val="15"/>
                <w:szCs w:val="15"/>
                <w:color w:val="auto"/>
              </w:rPr>
            </w:pPr>
          </w:p>
        </w:tc>
        <w:tc>
          <w:tcPr>
            <w:tcW w:w="17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Purchased</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Share</w:t>
            </w:r>
          </w:p>
        </w:tc>
        <w:tc>
          <w:tcPr>
            <w:tcW w:w="10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or Program (1)</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4"/>
              </w:rPr>
              <w:t>Programs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January 1 - 31, 2025</w:t>
            </w:r>
          </w:p>
        </w:tc>
        <w:tc>
          <w:tcPr>
            <w:tcW w:w="1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ind w:left="12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3,496,192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February 1 - 28, 2025</w:t>
            </w:r>
          </w:p>
        </w:tc>
        <w:tc>
          <w:tcPr>
            <w:tcW w:w="1780" w:type="dxa"/>
            <w:vAlign w:val="bottom"/>
          </w:tcPr>
          <w:p>
            <w:pPr>
              <w:jc w:val="right"/>
              <w:spacing w:after="0" w:line="135" w:lineRule="exact"/>
              <w:rPr>
                <w:sz w:val="20"/>
                <w:szCs w:val="20"/>
                <w:color w:val="auto"/>
              </w:rPr>
            </w:pPr>
            <w:r>
              <w:rPr>
                <w:rFonts w:ascii="Arial" w:cs="Arial" w:eastAsia="Arial" w:hAnsi="Arial"/>
                <w:sz w:val="13"/>
                <w:szCs w:val="13"/>
                <w:color w:val="auto"/>
              </w:rPr>
              <w:t>687,301</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12.85</w:t>
            </w:r>
          </w:p>
        </w:tc>
        <w:tc>
          <w:tcPr>
            <w:tcW w:w="2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687,301</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940" w:type="dxa"/>
            <w:vAlign w:val="bottom"/>
          </w:tcPr>
          <w:p>
            <w:pPr>
              <w:jc w:val="right"/>
              <w:spacing w:after="0" w:line="135" w:lineRule="exact"/>
              <w:rPr>
                <w:sz w:val="20"/>
                <w:szCs w:val="20"/>
                <w:color w:val="auto"/>
              </w:rPr>
            </w:pPr>
            <w:r>
              <w:rPr>
                <w:rFonts w:ascii="Arial" w:cs="Arial" w:eastAsia="Arial" w:hAnsi="Arial"/>
                <w:sz w:val="13"/>
                <w:szCs w:val="13"/>
                <w:color w:val="auto"/>
              </w:rPr>
              <w:t>34,661,063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March 1 - 31, 2025</w:t>
            </w:r>
          </w:p>
        </w:tc>
        <w:tc>
          <w:tcPr>
            <w:tcW w:w="1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527,805</w:t>
            </w:r>
          </w:p>
        </w:tc>
        <w:tc>
          <w:tcPr>
            <w:tcW w:w="220" w:type="dxa"/>
            <w:vAlign w:val="bottom"/>
            <w:gridSpan w:val="2"/>
            <w:shd w:val="clear" w:color="auto" w:fill="CFF0FC"/>
          </w:tcPr>
          <w:p>
            <w:pPr>
              <w:ind w:left="12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11.60</w:t>
            </w:r>
          </w:p>
        </w:tc>
        <w:tc>
          <w:tcPr>
            <w:tcW w:w="22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527,805</w:t>
            </w:r>
          </w:p>
        </w:tc>
        <w:tc>
          <w:tcPr>
            <w:tcW w:w="1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28,524,163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60" w:type="dxa"/>
            <w:vAlign w:val="bottom"/>
            <w:tcBorders>
              <w:top w:val="single" w:sz="8" w:color="CFF0FC"/>
              <w:bottom w:val="single" w:sz="8" w:color="CFF0FC"/>
            </w:tcBorders>
          </w:tcPr>
          <w:p>
            <w:pPr>
              <w:spacing w:after="0" w:line="129" w:lineRule="exact"/>
              <w:rPr>
                <w:sz w:val="20"/>
                <w:szCs w:val="20"/>
                <w:color w:val="auto"/>
              </w:rPr>
            </w:pPr>
            <w:r>
              <w:rPr>
                <w:rFonts w:ascii="Arial" w:cs="Arial" w:eastAsia="Arial" w:hAnsi="Arial"/>
                <w:sz w:val="13"/>
                <w:szCs w:val="13"/>
                <w:b w:val="1"/>
                <w:bCs w:val="1"/>
                <w:color w:val="auto"/>
              </w:rPr>
              <w:t>Total</w:t>
            </w:r>
          </w:p>
        </w:tc>
        <w:tc>
          <w:tcPr>
            <w:tcW w:w="1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1,215,106</w:t>
            </w:r>
          </w:p>
        </w:tc>
        <w:tc>
          <w:tcPr>
            <w:tcW w:w="220" w:type="dxa"/>
            <w:vAlign w:val="bottom"/>
            <w:tcBorders>
              <w:top w:val="single" w:sz="8" w:color="CFF0FC"/>
              <w:bottom w:val="single" w:sz="8" w:color="CFF0FC"/>
            </w:tcBorders>
            <w:gridSpan w:val="2"/>
          </w:tcPr>
          <w:p>
            <w:pPr>
              <w:ind w:left="120"/>
              <w:spacing w:after="0" w:line="129" w:lineRule="exact"/>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CFF0FC"/>
              <w:bottom w:val="single" w:sz="8" w:color="CFF0FC"/>
            </w:tcBorders>
          </w:tcPr>
          <w:p>
            <w:pPr>
              <w:jc w:val="right"/>
              <w:spacing w:after="0" w:line="129" w:lineRule="exact"/>
              <w:rPr>
                <w:sz w:val="20"/>
                <w:szCs w:val="20"/>
                <w:color w:val="auto"/>
              </w:rPr>
            </w:pPr>
            <w:r>
              <w:rPr>
                <w:rFonts w:ascii="Arial" w:cs="Arial" w:eastAsia="Arial" w:hAnsi="Arial"/>
                <w:sz w:val="13"/>
                <w:szCs w:val="13"/>
                <w:b w:val="1"/>
                <w:bCs w:val="1"/>
                <w:color w:val="auto"/>
              </w:rPr>
              <w:t>12.31</w:t>
            </w:r>
          </w:p>
        </w:tc>
        <w:tc>
          <w:tcPr>
            <w:tcW w:w="100" w:type="dxa"/>
            <w:vAlign w:val="bottom"/>
            <w:tcBorders>
              <w:top w:val="single" w:sz="8" w:color="CFF0FC"/>
              <w:bottom w:val="single" w:sz="8" w:color="CFF0FC"/>
            </w:tcBorders>
          </w:tcPr>
          <w:p>
            <w:pPr>
              <w:spacing w:after="0"/>
              <w:rPr>
                <w:sz w:val="11"/>
                <w:szCs w:val="11"/>
                <w:color w:val="auto"/>
              </w:rPr>
            </w:pPr>
          </w:p>
        </w:tc>
        <w:tc>
          <w:tcPr>
            <w:tcW w:w="21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1,215,106</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9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-119380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-119380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100" w:hanging="512"/>
        <w:spacing w:after="0" w:line="255"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2022, the Board approved a program to repurchase shares of our Class A and Class B common stock. As of March 31, 2025, the Board has approved $132.0 million, of which $40 million was approved during the three months ended March 31, 2025, for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March 31, 2025, $103.5 million has been spent to buy back shares and there was $28.5 million remaining for authorized repurchases under this program.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Neither the Company nor any of our officers or directors adopted or terminated a Rule 10b5-1 or non-Rule 10b5-1 trading arrangement as defined by Item 408(a) and Item 408(d) of Regulation S-K during the last fiscal quarter.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588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5"/>
        </w:trPr>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200" w:type="dxa"/>
            <w:vAlign w:val="bottom"/>
            <w:gridSpan w:val="8"/>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Employment Agreement, made and entered into effective as of April 3, 2025, by and between P10 Intermediate Holdings, LLC and Amanda</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8"/>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Coussens (incorporated by reference to the Company's Current Report on Form 8-K filed on April 7, 2025).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200" w:type="dxa"/>
            <w:vAlign w:val="bottom"/>
            <w:gridSpan w:val="8"/>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Employment Agreement, made and entered into effective as of April 3, 2025, by and between P10 Intermediate Holdings, LLC and Mark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8"/>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Hood (incorporated by reference to Exhibit 10.2 to the Company's Current Report on Form 8-K filed on April 7, 2025).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tcBorders>
              <w:right w:val="single" w:sz="8" w:color="0000EE"/>
            </w:tcBorders>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FF"/>
            </w:tcBorders>
            <w:shd w:val="clear" w:color="auto" w:fill="0000FF"/>
          </w:tcPr>
          <w:p>
            <w:pPr>
              <w:spacing w:after="0" w:line="20" w:lineRule="exact"/>
              <w:rPr>
                <w:sz w:val="1"/>
                <w:szCs w:val="1"/>
                <w:color w:val="auto"/>
              </w:rPr>
            </w:pPr>
          </w:p>
        </w:tc>
        <w:tc>
          <w:tcPr>
            <w:tcW w:w="568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EE"/>
            </w:tcBorders>
            <w:shd w:val="clear" w:color="auto" w:fill="0000FF"/>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40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4"/>
                <w:szCs w:val="24"/>
                <w:color w:val="auto"/>
                <w:vertAlign w:val="superscript"/>
              </w:rPr>
              <w:t>(1)</w:t>
            </w: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EE"/>
            </w:tcBorders>
            <w:shd w:val="clear" w:color="auto" w:fill="0000FF"/>
          </w:tcPr>
          <w:p>
            <w:pPr>
              <w:spacing w:after="0" w:line="20" w:lineRule="exact"/>
              <w:rPr>
                <w:sz w:val="1"/>
                <w:szCs w:val="1"/>
                <w:color w:val="auto"/>
              </w:rPr>
            </w:pPr>
          </w:p>
        </w:tc>
        <w:tc>
          <w:tcPr>
            <w:tcW w:w="57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948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4"/>
                <w:szCs w:val="24"/>
                <w:color w:val="auto"/>
                <w:vertAlign w:val="superscript"/>
              </w:rPr>
              <w:t>(1)</w:t>
            </w: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94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8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96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5540" w:right="3900" w:hanging="5532"/>
        <w:spacing w:after="0" w:line="572" w:lineRule="auto"/>
        <w:tabs>
          <w:tab w:leader="none" w:pos="424"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exhibit should not be deemed to be "filed" for purposes of Section 18 of the Exchange Act.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1" w:name="page52"/>
    <w:bookmarkEnd w:id="51"/>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P10, Inc.</w:t>
      </w:r>
    </w:p>
    <w:p>
      <w:pPr>
        <w:spacing w:after="0" w:line="225" w:lineRule="exact"/>
        <w:rPr>
          <w:sz w:val="20"/>
          <w:szCs w:val="20"/>
          <w:color w:val="auto"/>
        </w:rPr>
      </w:pPr>
    </w:p>
    <w:p>
      <w:pPr>
        <w:spacing w:after="0"/>
        <w:tabs>
          <w:tab w:leader="none" w:pos="5680" w:val="left"/>
          <w:tab w:leader="none" w:pos="780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3"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07" w:lineRule="exact"/>
        <w:rPr>
          <w:sz w:val="20"/>
          <w:szCs w:val="20"/>
          <w:color w:val="auto"/>
        </w:rPr>
      </w:pPr>
    </w:p>
    <w:p>
      <w:pPr>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3"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p>
      <w:pPr>
        <w:spacing w:after="0" w:line="31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089" w:right="77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Luke A. Sarsfield III, certify that:</w:t>
      </w:r>
    </w:p>
    <w:p>
      <w:pPr>
        <w:spacing w:after="0" w:line="99"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P10,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460" w:hanging="503"/>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right="560" w:firstLine="5"/>
        <w:spacing w:after="0" w:line="250" w:lineRule="auto"/>
        <w:tabs>
          <w:tab w:leader="none" w:pos="251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Amanda Coussens, certify that:</w:t>
      </w:r>
    </w:p>
    <w:p>
      <w:pPr>
        <w:spacing w:after="0" w:line="99"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P10,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57"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460" w:hanging="503"/>
        <w:spacing w:after="0" w:line="257"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right="560" w:firstLine="5"/>
        <w:spacing w:after="0" w:line="250" w:lineRule="auto"/>
        <w:tabs>
          <w:tab w:leader="none" w:pos="25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P10, Inc. (the “Company”) on Form 10-Q for the quarter ended March 31, 2025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P10, Inc. (the “Company”) on Form 10-Q for the quarter ended March 31, 2025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46" Type="http://schemas.openxmlformats.org/officeDocument/2006/relationships/hyperlink" Target="https://www.sec.gov/Archives/edgar/data/1841968/000119312525073584/d894210dex101.htm" TargetMode="External"/><Relationship Id="rId247" Type="http://schemas.openxmlformats.org/officeDocument/2006/relationships/hyperlink" Target="https://www.sec.gov/Archives/edgar/data/1841968/000119312525073584/d89421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2025-05-08T16:31:44Z</dcterms:created>
  <dcterms:modified xsi:type="dcterms:W3CDTF">2025-05-08T16:31:44Z</dcterms:modified>
</cp:coreProperties>
</file>