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July 19, 2024</w:t>
      </w:r>
    </w:p>
    <w:p>
      <w:pPr>
        <w:spacing w:after="0" w:line="2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333-279769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wp:posOffset>
            </wp:positionH>
            <wp:positionV relativeFrom="paragraph">
              <wp:posOffset>55245</wp:posOffset>
            </wp:positionV>
            <wp:extent cx="6897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7370" cy="825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97790</wp:posOffset>
            </wp:positionV>
            <wp:extent cx="689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7370" cy="8255"/>
                    </a:xfrm>
                    <a:prstGeom prst="rect">
                      <a:avLst/>
                    </a:prstGeom>
                    <a:noFill/>
                  </pic:spPr>
                </pic:pic>
              </a:graphicData>
            </a:graphic>
          </wp:anchor>
        </w:drawing>
      </w:r>
    </w:p>
    <w:p>
      <w:pPr>
        <w:spacing w:after="0" w:line="14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2844165</wp:posOffset>
            </wp:positionH>
            <wp:positionV relativeFrom="paragraph">
              <wp:posOffset>154940</wp:posOffset>
            </wp:positionV>
            <wp:extent cx="1454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3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Amendment No.1</w:t>
      </w:r>
    </w:p>
    <w:p>
      <w:pPr>
        <w:spacing w:after="0" w:line="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2844165</wp:posOffset>
            </wp:positionH>
            <wp:positionV relativeFrom="paragraph">
              <wp:posOffset>147320</wp:posOffset>
            </wp:positionV>
            <wp:extent cx="1454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8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5"/>
          <w:szCs w:val="35"/>
          <w:b w:val="1"/>
          <w:bCs w:val="1"/>
          <w:color w:val="auto"/>
        </w:rPr>
        <w:t>P10, Inc.</w:t>
      </w:r>
    </w:p>
    <w:p>
      <w:pPr>
        <w:spacing w:after="0" w:line="5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2844165</wp:posOffset>
            </wp:positionH>
            <wp:positionV relativeFrom="paragraph">
              <wp:posOffset>151130</wp:posOffset>
            </wp:positionV>
            <wp:extent cx="1454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373" w:lineRule="exact"/>
        <w:rPr>
          <w:sz w:val="24"/>
          <w:szCs w:val="24"/>
          <w:color w:val="auto"/>
        </w:rPr>
      </w:pPr>
    </w:p>
    <w:tbl>
      <w:tblPr>
        <w:tblLayout w:type="fixed"/>
        <w:tblInd w:w="1140" w:type="dxa"/>
        <w:tblCellMar>
          <w:top w:w="0" w:type="dxa"/>
          <w:left w:w="0" w:type="dxa"/>
          <w:bottom w:w="0" w:type="dxa"/>
          <w:right w:w="0" w:type="dxa"/>
        </w:tblCellMar>
      </w:tblPr>
      <w:tr>
        <w:trPr>
          <w:trHeight w:val="149"/>
        </w:trPr>
        <w:tc>
          <w:tcPr>
            <w:tcW w:w="2780" w:type="dxa"/>
            <w:vAlign w:val="bottom"/>
          </w:tcPr>
          <w:p>
            <w:pPr>
              <w:jc w:val="center"/>
              <w:ind w:right="93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78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6282</w:t>
            </w:r>
          </w:p>
        </w:tc>
        <w:tc>
          <w:tcPr>
            <w:tcW w:w="2140" w:type="dxa"/>
            <w:vAlign w:val="bottom"/>
          </w:tcPr>
          <w:p>
            <w:pPr>
              <w:jc w:val="center"/>
              <w:ind w:left="1033"/>
              <w:spacing w:after="0"/>
              <w:rPr>
                <w:sz w:val="20"/>
                <w:szCs w:val="20"/>
                <w:color w:val="auto"/>
              </w:rPr>
            </w:pPr>
            <w:r>
              <w:rPr>
                <w:rFonts w:ascii="Times New Roman" w:cs="Times New Roman" w:eastAsia="Times New Roman" w:hAnsi="Times New Roman"/>
                <w:sz w:val="13"/>
                <w:szCs w:val="13"/>
                <w:b w:val="1"/>
                <w:bCs w:val="1"/>
                <w:color w:val="auto"/>
              </w:rPr>
              <w:t>87-2908160</w:t>
            </w:r>
          </w:p>
        </w:tc>
      </w:tr>
      <w:tr>
        <w:trPr>
          <w:trHeight w:val="146"/>
        </w:trPr>
        <w:tc>
          <w:tcPr>
            <w:tcW w:w="2780" w:type="dxa"/>
            <w:vAlign w:val="bottom"/>
          </w:tcPr>
          <w:p>
            <w:pPr>
              <w:jc w:val="center"/>
              <w:ind w:right="913"/>
              <w:spacing w:after="0" w:line="147"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780" w:type="dxa"/>
            <w:vAlign w:val="bottom"/>
          </w:tcPr>
          <w:p>
            <w:pPr>
              <w:jc w:val="center"/>
              <w:ind w:right="73"/>
              <w:spacing w:after="0" w:line="147" w:lineRule="exact"/>
              <w:rPr>
                <w:sz w:val="20"/>
                <w:szCs w:val="20"/>
                <w:color w:val="auto"/>
              </w:rPr>
            </w:pPr>
            <w:r>
              <w:rPr>
                <w:rFonts w:ascii="Times New Roman" w:cs="Times New Roman" w:eastAsia="Times New Roman" w:hAnsi="Times New Roman"/>
                <w:sz w:val="13"/>
                <w:szCs w:val="13"/>
                <w:b w:val="1"/>
                <w:bCs w:val="1"/>
                <w:color w:val="auto"/>
              </w:rPr>
              <w:t>(Primary Standard Industrial</w:t>
            </w:r>
          </w:p>
        </w:tc>
        <w:tc>
          <w:tcPr>
            <w:tcW w:w="2140" w:type="dxa"/>
            <w:vAlign w:val="bottom"/>
          </w:tcPr>
          <w:p>
            <w:pPr>
              <w:jc w:val="center"/>
              <w:ind w:left="1033"/>
              <w:spacing w:after="0" w:line="147"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5"/>
        </w:trPr>
        <w:tc>
          <w:tcPr>
            <w:tcW w:w="2780" w:type="dxa"/>
            <w:vAlign w:val="bottom"/>
          </w:tcPr>
          <w:p>
            <w:pPr>
              <w:jc w:val="center"/>
              <w:ind w:right="913"/>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78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Classification Code No.)</w:t>
            </w:r>
          </w:p>
        </w:tc>
        <w:tc>
          <w:tcPr>
            <w:tcW w:w="2140" w:type="dxa"/>
            <w:vAlign w:val="bottom"/>
          </w:tcPr>
          <w:p>
            <w:pPr>
              <w:jc w:val="center"/>
              <w:ind w:left="103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bl>
    <w:p>
      <w:pPr>
        <w:spacing w:after="0" w:line="9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4514 Cole Avenue, Suite 1600</w:t>
      </w:r>
    </w:p>
    <w:p>
      <w:pPr>
        <w:spacing w:after="0" w:line="2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Dallas, Texas 75205</w:t>
      </w:r>
    </w:p>
    <w:p>
      <w:pPr>
        <w:spacing w:after="0" w:line="1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(214) 865-7998</w:t>
      </w:r>
    </w:p>
    <w:p>
      <w:pPr>
        <w:spacing w:after="0" w:line="1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2844165</wp:posOffset>
            </wp:positionH>
            <wp:positionV relativeFrom="paragraph">
              <wp:posOffset>144780</wp:posOffset>
            </wp:positionV>
            <wp:extent cx="1454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31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Luke A. Sarsfield III</w:t>
      </w:r>
    </w:p>
    <w:p>
      <w:pPr>
        <w:spacing w:after="0" w:line="2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P10, Inc.</w:t>
      </w:r>
    </w:p>
    <w:p>
      <w:pPr>
        <w:spacing w:after="0" w:line="1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4514 Cole Avenue, Suite 1600</w:t>
      </w:r>
    </w:p>
    <w:p>
      <w:pPr>
        <w:spacing w:after="0" w:line="1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Dallas, Texas 75205</w:t>
      </w:r>
    </w:p>
    <w:p>
      <w:pPr>
        <w:spacing w:after="0" w:line="1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(214) 865-7998</w:t>
      </w:r>
    </w:p>
    <w:p>
      <w:pPr>
        <w:spacing w:after="0" w:line="1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2844165</wp:posOffset>
            </wp:positionH>
            <wp:positionV relativeFrom="paragraph">
              <wp:posOffset>153670</wp:posOffset>
            </wp:positionV>
            <wp:extent cx="1454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324"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2600" w:type="dxa"/>
            <w:vAlign w:val="bottom"/>
          </w:tcPr>
          <w:p>
            <w:pPr>
              <w:spacing w:after="0"/>
              <w:rPr>
                <w:sz w:val="18"/>
                <w:szCs w:val="18"/>
                <w:color w:val="auto"/>
              </w:rPr>
            </w:pPr>
          </w:p>
        </w:tc>
        <w:tc>
          <w:tcPr>
            <w:tcW w:w="5200" w:type="dxa"/>
            <w:vAlign w:val="bottom"/>
          </w:tcPr>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tc>
      </w:tr>
      <w:tr>
        <w:trPr>
          <w:trHeight w:val="269"/>
        </w:trPr>
        <w:tc>
          <w:tcPr>
            <w:tcW w:w="2600" w:type="dxa"/>
            <w:vAlign w:val="bottom"/>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Melodie Craft, Esq.</w:t>
            </w:r>
          </w:p>
        </w:tc>
        <w:tc>
          <w:tcPr>
            <w:tcW w:w="5200" w:type="dxa"/>
            <w:vAlign w:val="bottom"/>
          </w:tcPr>
          <w:p>
            <w:pPr>
              <w:jc w:val="center"/>
              <w:ind w:left="2480"/>
              <w:spacing w:after="0"/>
              <w:rPr>
                <w:sz w:val="20"/>
                <w:szCs w:val="20"/>
                <w:color w:val="auto"/>
              </w:rPr>
            </w:pPr>
            <w:r>
              <w:rPr>
                <w:rFonts w:ascii="Times New Roman" w:cs="Times New Roman" w:eastAsia="Times New Roman" w:hAnsi="Times New Roman"/>
                <w:sz w:val="16"/>
                <w:szCs w:val="16"/>
                <w:b w:val="1"/>
                <w:bCs w:val="1"/>
                <w:color w:val="auto"/>
                <w:w w:val="98"/>
              </w:rPr>
              <w:t>Todd E. Lenson, Esq.</w:t>
            </w:r>
          </w:p>
        </w:tc>
      </w:tr>
      <w:tr>
        <w:trPr>
          <w:trHeight w:val="200"/>
        </w:trPr>
        <w:tc>
          <w:tcPr>
            <w:tcW w:w="2600" w:type="dxa"/>
            <w:vAlign w:val="bottom"/>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General Counsel</w:t>
            </w:r>
          </w:p>
        </w:tc>
        <w:tc>
          <w:tcPr>
            <w:tcW w:w="5200" w:type="dxa"/>
            <w:vAlign w:val="bottom"/>
          </w:tcPr>
          <w:p>
            <w:pPr>
              <w:jc w:val="center"/>
              <w:ind w:left="2480"/>
              <w:spacing w:after="0"/>
              <w:rPr>
                <w:sz w:val="20"/>
                <w:szCs w:val="20"/>
                <w:color w:val="auto"/>
              </w:rPr>
            </w:pPr>
            <w:r>
              <w:rPr>
                <w:rFonts w:ascii="Times New Roman" w:cs="Times New Roman" w:eastAsia="Times New Roman" w:hAnsi="Times New Roman"/>
                <w:sz w:val="16"/>
                <w:szCs w:val="16"/>
                <w:b w:val="1"/>
                <w:bCs w:val="1"/>
                <w:color w:val="auto"/>
                <w:w w:val="99"/>
              </w:rPr>
              <w:t>Kramer Levin Naftalis &amp; Frankel LLP</w:t>
            </w:r>
          </w:p>
        </w:tc>
      </w:tr>
      <w:tr>
        <w:trPr>
          <w:trHeight w:val="200"/>
        </w:trPr>
        <w:tc>
          <w:tcPr>
            <w:tcW w:w="2600" w:type="dxa"/>
            <w:vAlign w:val="bottom"/>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P10, Inc.</w:t>
            </w:r>
          </w:p>
        </w:tc>
        <w:tc>
          <w:tcPr>
            <w:tcW w:w="5200" w:type="dxa"/>
            <w:vAlign w:val="bottom"/>
          </w:tcPr>
          <w:p>
            <w:pPr>
              <w:jc w:val="center"/>
              <w:ind w:left="2480"/>
              <w:spacing w:after="0"/>
              <w:rPr>
                <w:sz w:val="20"/>
                <w:szCs w:val="20"/>
                <w:color w:val="auto"/>
              </w:rPr>
            </w:pPr>
            <w:r>
              <w:rPr>
                <w:rFonts w:ascii="Times New Roman" w:cs="Times New Roman" w:eastAsia="Times New Roman" w:hAnsi="Times New Roman"/>
                <w:sz w:val="16"/>
                <w:szCs w:val="16"/>
                <w:b w:val="1"/>
                <w:bCs w:val="1"/>
                <w:color w:val="auto"/>
                <w:w w:val="98"/>
              </w:rPr>
              <w:t>1177 Avenue of the Americas</w:t>
            </w:r>
          </w:p>
        </w:tc>
      </w:tr>
      <w:tr>
        <w:trPr>
          <w:trHeight w:val="200"/>
        </w:trPr>
        <w:tc>
          <w:tcPr>
            <w:tcW w:w="2600" w:type="dxa"/>
            <w:vAlign w:val="bottom"/>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4514 Cole Avenue, Suite 1600</w:t>
            </w:r>
          </w:p>
        </w:tc>
        <w:tc>
          <w:tcPr>
            <w:tcW w:w="5200" w:type="dxa"/>
            <w:vAlign w:val="bottom"/>
          </w:tcPr>
          <w:p>
            <w:pPr>
              <w:jc w:val="center"/>
              <w:ind w:left="2480"/>
              <w:spacing w:after="0"/>
              <w:rPr>
                <w:sz w:val="20"/>
                <w:szCs w:val="20"/>
                <w:color w:val="auto"/>
              </w:rPr>
            </w:pPr>
            <w:r>
              <w:rPr>
                <w:rFonts w:ascii="Times New Roman" w:cs="Times New Roman" w:eastAsia="Times New Roman" w:hAnsi="Times New Roman"/>
                <w:sz w:val="16"/>
                <w:szCs w:val="16"/>
                <w:b w:val="1"/>
                <w:bCs w:val="1"/>
                <w:color w:val="auto"/>
                <w:w w:val="99"/>
              </w:rPr>
              <w:t>New York, NY 10036</w:t>
            </w:r>
          </w:p>
        </w:tc>
      </w:tr>
      <w:tr>
        <w:trPr>
          <w:trHeight w:val="200"/>
        </w:trPr>
        <w:tc>
          <w:tcPr>
            <w:tcW w:w="2600" w:type="dxa"/>
            <w:vAlign w:val="bottom"/>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7"/>
              </w:rPr>
              <w:t>Dallas, Texas 75205</w:t>
            </w:r>
          </w:p>
        </w:tc>
        <w:tc>
          <w:tcPr>
            <w:tcW w:w="5200" w:type="dxa"/>
            <w:vAlign w:val="bottom"/>
          </w:tcPr>
          <w:p>
            <w:pPr>
              <w:jc w:val="center"/>
              <w:ind w:left="2480"/>
              <w:spacing w:after="0"/>
              <w:rPr>
                <w:sz w:val="20"/>
                <w:szCs w:val="20"/>
                <w:color w:val="auto"/>
              </w:rPr>
            </w:pPr>
            <w:r>
              <w:rPr>
                <w:rFonts w:ascii="Times New Roman" w:cs="Times New Roman" w:eastAsia="Times New Roman" w:hAnsi="Times New Roman"/>
                <w:sz w:val="16"/>
                <w:szCs w:val="16"/>
                <w:b w:val="1"/>
                <w:bCs w:val="1"/>
                <w:color w:val="auto"/>
                <w:w w:val="99"/>
              </w:rPr>
              <w:t>Telephone: (212) 715-9216</w:t>
            </w:r>
          </w:p>
        </w:tc>
      </w:tr>
      <w:tr>
        <w:trPr>
          <w:trHeight w:val="210"/>
        </w:trPr>
        <w:tc>
          <w:tcPr>
            <w:tcW w:w="2600" w:type="dxa"/>
            <w:vAlign w:val="bottom"/>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Telephone: (214) 997-1956</w:t>
            </w:r>
          </w:p>
        </w:tc>
        <w:tc>
          <w:tcPr>
            <w:tcW w:w="52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2844165</wp:posOffset>
            </wp:positionH>
            <wp:positionV relativeFrom="paragraph">
              <wp:posOffset>155575</wp:posOffset>
            </wp:positionV>
            <wp:extent cx="1454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32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124" w:lineRule="exact"/>
        <w:rPr>
          <w:sz w:val="24"/>
          <w:szCs w:val="24"/>
          <w:color w:val="auto"/>
        </w:rPr>
      </w:pPr>
    </w:p>
    <w:p>
      <w:pPr>
        <w:ind w:left="200" w:right="18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200" w:right="20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200" w:right="60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200" w:right="60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200" w:right="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0" w:type="dxa"/>
        <w:tblCellMar>
          <w:top w:w="0" w:type="dxa"/>
          <w:left w:w="0" w:type="dxa"/>
          <w:bottom w:w="0" w:type="dxa"/>
          <w:right w:w="0" w:type="dxa"/>
        </w:tblCellMar>
      </w:tblPr>
      <w:tr>
        <w:trPr>
          <w:trHeight w:val="268"/>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6"/>
        </w:trPr>
        <w:tc>
          <w:tcPr>
            <w:tcW w:w="17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0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left="200" w:right="3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2844165</wp:posOffset>
            </wp:positionH>
            <wp:positionV relativeFrom="paragraph">
              <wp:posOffset>132715</wp:posOffset>
            </wp:positionV>
            <wp:extent cx="1454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93" w:lineRule="exact"/>
        <w:rPr>
          <w:sz w:val="24"/>
          <w:szCs w:val="24"/>
          <w:color w:val="auto"/>
        </w:rPr>
      </w:pPr>
    </w:p>
    <w:p>
      <w:pPr>
        <w:ind w:left="200" w:right="100"/>
        <w:spacing w:after="0" w:line="271"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wp:posOffset>
            </wp:positionH>
            <wp:positionV relativeFrom="paragraph">
              <wp:posOffset>65405</wp:posOffset>
            </wp:positionV>
            <wp:extent cx="68973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7370" cy="825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107950</wp:posOffset>
            </wp:positionV>
            <wp:extent cx="6897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7370" cy="8255"/>
                    </a:xfrm>
                    <a:prstGeom prst="rect">
                      <a:avLst/>
                    </a:prstGeom>
                    <a:noFill/>
                  </pic:spPr>
                </pic:pic>
              </a:graphicData>
            </a:graphic>
          </wp:anchor>
        </w:drawing>
      </w:r>
    </w:p>
    <w:p>
      <w:pPr>
        <w:sectPr>
          <w:pgSz w:w="11900" w:h="16838" w:orient="portrait"/>
          <w:cols w:equalWidth="0" w:num="1">
            <w:col w:w="11060"/>
          </w:cols>
          <w:pgMar w:left="320" w:top="226" w:right="519" w:bottom="117"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ind w:left="200" w:right="38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and it is not soliciting an offer to buy, these securities in any jurisdiction where the offer or sale is not permitted.</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FF4338"/>
        </w:rPr>
        <w:t>Subject to Completion, dated July 19, 2024</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1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Up to 56,553,931</w:t>
      </w:r>
    </w:p>
    <w:p>
      <w:pPr>
        <w:spacing w:after="0" w:line="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Shares of</w:t>
      </w:r>
    </w:p>
    <w:p>
      <w:pPr>
        <w:spacing w:after="0" w:line="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by Selling</w:t>
      </w:r>
    </w:p>
    <w:p>
      <w:pPr>
        <w:spacing w:after="0" w:line="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211455</wp:posOffset>
            </wp:positionV>
            <wp:extent cx="1454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60" w:firstLine="434"/>
        <w:spacing w:after="0" w:line="267" w:lineRule="auto"/>
        <w:rPr>
          <w:sz w:val="20"/>
          <w:szCs w:val="20"/>
          <w:color w:val="auto"/>
        </w:rPr>
      </w:pPr>
      <w:r>
        <w:rPr>
          <w:rFonts w:ascii="Times New Roman" w:cs="Times New Roman" w:eastAsia="Times New Roman" w:hAnsi="Times New Roman"/>
          <w:sz w:val="17"/>
          <w:szCs w:val="17"/>
          <w:color w:val="auto"/>
        </w:rPr>
        <w:t>This prospectus relates to the resale from time to time by the selling stockholders named in this prospectus (the “Selling Stockholders”) of up to 56,553,931 shares of our Class A common stock, par value $0.001 per share (“Class A common stock”), which includes: (i) 4,572,455 shares of Class A common stock held directly or indirectly by certain Selling Stockholders; (ii) up to 50,667,351 shares of Class A common stock issuable upon conversion of shares of our Class B common stock, par value $0.001 per share (“Class B common stock”), held directly or indirectly by certain Selling Stockholders; (iii) up to 442,064 shares of Class A common stock issuable upon vesting and settlement of restricted stock units held directly or indirectly by certain Selling Stockholders; (iv) up to 21,875 shares of Class A common stock that were issued as shares of restricted stock to a Selling Stockholder and remain subject to vesting; and (v) up to 850,186 shares of Class A common stock issuable upon exercise of stock options held directly or indirectly by certain Selling Stockholders. We will not receive any proceeds from the sale of our securities by the Selling Stockholders.</w:t>
      </w:r>
    </w:p>
    <w:p>
      <w:pPr>
        <w:spacing w:after="0" w:line="137"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We will bear all of the registration expenses incurred in connection with the registration of these shares of Class A common stock. The Selling Stockholders will pay discounts, commissions, fees of underwriters, selling brokers or dealer managers and similar expenses, if any, incurred for the sale of these shares of Class A common stock.</w:t>
      </w:r>
    </w:p>
    <w:p>
      <w:pPr>
        <w:spacing w:after="0" w:line="150" w:lineRule="exact"/>
        <w:rPr>
          <w:sz w:val="20"/>
          <w:szCs w:val="20"/>
          <w:color w:val="auto"/>
        </w:rPr>
      </w:pPr>
    </w:p>
    <w:p>
      <w:pPr>
        <w:ind w:left="200" w:right="40" w:firstLine="434"/>
        <w:spacing w:after="0" w:line="256" w:lineRule="auto"/>
        <w:rPr>
          <w:sz w:val="20"/>
          <w:szCs w:val="20"/>
          <w:color w:val="auto"/>
        </w:rPr>
      </w:pPr>
      <w:r>
        <w:rPr>
          <w:rFonts w:ascii="Times New Roman" w:cs="Times New Roman" w:eastAsia="Times New Roman" w:hAnsi="Times New Roman"/>
          <w:sz w:val="18"/>
          <w:szCs w:val="18"/>
          <w:color w:val="auto"/>
        </w:rPr>
        <w:t>The Selling Stockholders identified in this prospectus may offer the shares from time to time on terms to be determined at the time of sale through ordinary brokerage transactions or through any other means described in this prospectus under the caption “Plan of Distribution.” The shares may be sold at fixed prices, at prevailing market prices, at prices related to prevailing market prices or at negotiated prices. For more information on the Selling Stockholders, see the section entitled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ind w:left="200" w:right="180" w:firstLine="434"/>
        <w:spacing w:after="0" w:line="254"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your investment decision. Our Class A common stock is listed on the New York Stock Exchange (“NYSE”) under the symbol “PX”. On July 18, 2024, the last reported sales price of our Class A common stock was $9.82 per share. We have two classes of common stock: Class A common stock and Class B common stock. Each share of Class A common stock entitles its holder to one vote per share. Each share of Class B common stock entitles its holder to ten votes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194945</wp:posOffset>
            </wp:positionV>
            <wp:extent cx="1454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00" w:firstLine="434"/>
        <w:spacing w:after="0" w:line="259" w:lineRule="auto"/>
        <w:rPr>
          <w:sz w:val="20"/>
          <w:szCs w:val="20"/>
          <w:color w:val="auto"/>
        </w:rPr>
      </w:pPr>
      <w:r>
        <w:rPr>
          <w:rFonts w:ascii="Times New Roman" w:cs="Times New Roman" w:eastAsia="Times New Roman" w:hAnsi="Times New Roman"/>
          <w:sz w:val="21"/>
          <w:szCs w:val="21"/>
          <w:b w:val="1"/>
          <w:bCs w:val="1"/>
          <w:color w:val="auto"/>
        </w:rPr>
        <w:t>Investing in our securities involves a high degree of risk. See “</w:t>
      </w:r>
      <w:r>
        <w:rPr>
          <w:rFonts w:ascii="Times New Roman" w:cs="Times New Roman" w:eastAsia="Times New Roman" w:hAnsi="Times New Roman"/>
          <w:sz w:val="21"/>
          <w:szCs w:val="21"/>
          <w:b w:val="1"/>
          <w:bCs w:val="1"/>
          <w:i w:val="1"/>
          <w:iCs w:val="1"/>
          <w:u w:val="single" w:color="auto"/>
          <w:color w:val="0000EE"/>
        </w:rPr>
        <w:t>Risk Factors</w:t>
      </w:r>
      <w:r>
        <w:rPr>
          <w:rFonts w:ascii="Times New Roman" w:cs="Times New Roman" w:eastAsia="Times New Roman" w:hAnsi="Times New Roman"/>
          <w:sz w:val="21"/>
          <w:szCs w:val="21"/>
          <w:b w:val="1"/>
          <w:bCs w:val="1"/>
          <w:color w:val="auto"/>
        </w:rPr>
        <w:t>” beginning on page 5 of this prospectus, as well as the other information contained in or incorporated by reference in this prospectus or in any accompanying prospectus supplement before making a decision to invest in our securities.</w:t>
      </w:r>
    </w:p>
    <w:p>
      <w:pPr>
        <w:spacing w:after="0" w:line="136" w:lineRule="exact"/>
        <w:rPr>
          <w:sz w:val="20"/>
          <w:szCs w:val="20"/>
          <w:color w:val="auto"/>
        </w:rPr>
      </w:pPr>
    </w:p>
    <w:p>
      <w:pPr>
        <w:ind w:left="200" w:right="120" w:firstLine="434"/>
        <w:spacing w:after="0" w:line="27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181610</wp:posOffset>
            </wp:positionV>
            <wp:extent cx="1454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w:t>
      </w:r>
    </w:p>
    <w:p>
      <w:pPr>
        <w:sectPr>
          <w:pgSz w:w="11900" w:h="16838" w:orient="portrait"/>
          <w:cols w:equalWidth="0" w:num="1">
            <w:col w:w="11040"/>
          </w:cols>
          <w:pgMar w:left="320" w:top="452"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00" w:type="dxa"/>
            <w:vAlign w:val="bottom"/>
          </w:tcPr>
          <w:p>
            <w:pPr>
              <w:spacing w:after="0"/>
              <w:rPr>
                <w:sz w:val="17"/>
                <w:szCs w:val="17"/>
                <w:color w:val="auto"/>
              </w:rPr>
            </w:pPr>
          </w:p>
        </w:tc>
      </w:tr>
      <w:tr>
        <w:trPr>
          <w:trHeight w:val="540"/>
        </w:trPr>
        <w:tc>
          <w:tcPr>
            <w:tcW w:w="2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74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22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ABOUT THIS PROSPECTUS</w:t>
            </w:r>
          </w:p>
        </w:tc>
        <w:tc>
          <w:tcPr>
            <w:tcW w:w="6300" w:type="dxa"/>
            <w:vAlign w:val="bottom"/>
            <w:gridSpan w:val="4"/>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3"/>
        </w:trPr>
        <w:tc>
          <w:tcPr>
            <w:tcW w:w="200" w:type="dxa"/>
            <w:vAlign w:val="bottom"/>
          </w:tcPr>
          <w:p>
            <w:pPr>
              <w:spacing w:after="0"/>
              <w:rPr>
                <w:sz w:val="16"/>
                <w:szCs w:val="16"/>
                <w:color w:val="auto"/>
              </w:rPr>
            </w:pPr>
          </w:p>
        </w:tc>
        <w:tc>
          <w:tcPr>
            <w:tcW w:w="5700" w:type="dxa"/>
            <w:vAlign w:val="bottom"/>
            <w:tcBorders>
              <w:bottom w:val="single" w:sz="8" w:color="0000EE"/>
            </w:tcBorders>
            <w:gridSpan w:val="12"/>
          </w:tcPr>
          <w:p>
            <w:pPr>
              <w:spacing w:after="0" w:line="193" w:lineRule="exact"/>
              <w:rPr>
                <w:sz w:val="20"/>
                <w:szCs w:val="20"/>
                <w:color w:val="auto"/>
              </w:rPr>
            </w:pPr>
            <w:r>
              <w:rPr>
                <w:rFonts w:ascii="Times New Roman" w:cs="Times New Roman" w:eastAsia="Times New Roman" w:hAnsi="Times New Roman"/>
                <w:sz w:val="18"/>
                <w:szCs w:val="18"/>
                <w:color w:val="0000EE"/>
                <w:w w:val="96"/>
              </w:rPr>
              <w:t>CAUTIONARY NOTE REGARDING FORWARD-LOOKING STATEMENTS</w:t>
            </w:r>
          </w:p>
        </w:tc>
        <w:tc>
          <w:tcPr>
            <w:tcW w:w="2800" w:type="dxa"/>
            <w:vAlign w:val="bottom"/>
          </w:tcPr>
          <w:p>
            <w:pPr>
              <w:spacing w:after="0"/>
              <w:rPr>
                <w:sz w:val="16"/>
                <w:szCs w:val="16"/>
                <w:color w:val="auto"/>
              </w:rPr>
            </w:pPr>
          </w:p>
        </w:tc>
        <w:tc>
          <w:tcPr>
            <w:tcW w:w="23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w:t>
            </w:r>
          </w:p>
        </w:tc>
      </w:tr>
      <w:tr>
        <w:trPr>
          <w:trHeight w:val="193"/>
        </w:trPr>
        <w:tc>
          <w:tcPr>
            <w:tcW w:w="20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93" w:lineRule="exact"/>
              <w:rPr>
                <w:sz w:val="20"/>
                <w:szCs w:val="20"/>
                <w:color w:val="auto"/>
              </w:rPr>
            </w:pPr>
            <w:r>
              <w:rPr>
                <w:rFonts w:ascii="Times New Roman" w:cs="Times New Roman" w:eastAsia="Times New Roman" w:hAnsi="Times New Roman"/>
                <w:sz w:val="18"/>
                <w:szCs w:val="18"/>
                <w:color w:val="0000EE"/>
                <w:w w:val="94"/>
              </w:rPr>
              <w:t>SUMMARY</w:t>
            </w:r>
          </w:p>
        </w:tc>
        <w:tc>
          <w:tcPr>
            <w:tcW w:w="7600" w:type="dxa"/>
            <w:vAlign w:val="bottom"/>
            <w:gridSpan w:val="11"/>
          </w:tcPr>
          <w:p>
            <w:pPr>
              <w:spacing w:after="0"/>
              <w:rPr>
                <w:sz w:val="16"/>
                <w:szCs w:val="16"/>
                <w:color w:val="auto"/>
              </w:rPr>
            </w:pPr>
          </w:p>
        </w:tc>
        <w:tc>
          <w:tcPr>
            <w:tcW w:w="23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3</w:t>
            </w:r>
          </w:p>
        </w:tc>
      </w:tr>
      <w:tr>
        <w:trPr>
          <w:trHeight w:val="193"/>
        </w:trPr>
        <w:tc>
          <w:tcPr>
            <w:tcW w:w="200" w:type="dxa"/>
            <w:vAlign w:val="bottom"/>
          </w:tcPr>
          <w:p>
            <w:pPr>
              <w:spacing w:after="0"/>
              <w:rPr>
                <w:sz w:val="16"/>
                <w:szCs w:val="16"/>
                <w:color w:val="auto"/>
              </w:rPr>
            </w:pPr>
          </w:p>
        </w:tc>
        <w:tc>
          <w:tcPr>
            <w:tcW w:w="8500" w:type="dxa"/>
            <w:vAlign w:val="bottom"/>
            <w:gridSpan w:val="13"/>
          </w:tcPr>
          <w:p>
            <w:pPr>
              <w:spacing w:after="0" w:line="193" w:lineRule="exact"/>
              <w:rPr>
                <w:sz w:val="20"/>
                <w:szCs w:val="20"/>
                <w:color w:val="auto"/>
              </w:rPr>
            </w:pPr>
            <w:r>
              <w:rPr>
                <w:rFonts w:ascii="Times New Roman" w:cs="Times New Roman" w:eastAsia="Times New Roman" w:hAnsi="Times New Roman"/>
                <w:sz w:val="18"/>
                <w:szCs w:val="18"/>
                <w:color w:val="0000EE"/>
              </w:rPr>
              <w:t>RISK FACTORS</w:t>
            </w:r>
          </w:p>
        </w:tc>
        <w:tc>
          <w:tcPr>
            <w:tcW w:w="23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3"/>
        </w:trPr>
        <w:tc>
          <w:tcPr>
            <w:tcW w:w="200" w:type="dxa"/>
            <w:vAlign w:val="bottom"/>
          </w:tcPr>
          <w:p>
            <w:pPr>
              <w:spacing w:after="0"/>
              <w:rPr>
                <w:sz w:val="16"/>
                <w:szCs w:val="16"/>
                <w:color w:val="auto"/>
              </w:rPr>
            </w:pPr>
          </w:p>
        </w:tc>
        <w:tc>
          <w:tcPr>
            <w:tcW w:w="1560" w:type="dxa"/>
            <w:vAlign w:val="bottom"/>
            <w:tcBorders>
              <w:bottom w:val="single" w:sz="8" w:color="0000EE"/>
            </w:tcBorders>
            <w:gridSpan w:val="6"/>
          </w:tcPr>
          <w:p>
            <w:pPr>
              <w:spacing w:after="0" w:line="193" w:lineRule="exact"/>
              <w:rPr>
                <w:sz w:val="20"/>
                <w:szCs w:val="20"/>
                <w:color w:val="auto"/>
              </w:rPr>
            </w:pPr>
            <w:r>
              <w:rPr>
                <w:rFonts w:ascii="Times New Roman" w:cs="Times New Roman" w:eastAsia="Times New Roman" w:hAnsi="Times New Roman"/>
                <w:sz w:val="18"/>
                <w:szCs w:val="18"/>
                <w:color w:val="0000EE"/>
                <w:w w:val="97"/>
              </w:rPr>
              <w:t>USE OF PROCEEDS</w:t>
            </w:r>
          </w:p>
        </w:tc>
        <w:tc>
          <w:tcPr>
            <w:tcW w:w="6940" w:type="dxa"/>
            <w:vAlign w:val="bottom"/>
            <w:gridSpan w:val="7"/>
          </w:tcPr>
          <w:p>
            <w:pPr>
              <w:spacing w:after="0"/>
              <w:rPr>
                <w:sz w:val="16"/>
                <w:szCs w:val="16"/>
                <w:color w:val="auto"/>
              </w:rPr>
            </w:pPr>
          </w:p>
        </w:tc>
        <w:tc>
          <w:tcPr>
            <w:tcW w:w="23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6</w:t>
            </w:r>
          </w:p>
        </w:tc>
      </w:tr>
      <w:tr>
        <w:trPr>
          <w:trHeight w:val="193"/>
        </w:trPr>
        <w:tc>
          <w:tcPr>
            <w:tcW w:w="200" w:type="dxa"/>
            <w:vAlign w:val="bottom"/>
          </w:tcPr>
          <w:p>
            <w:pPr>
              <w:spacing w:after="0"/>
              <w:rPr>
                <w:sz w:val="16"/>
                <w:szCs w:val="16"/>
                <w:color w:val="auto"/>
              </w:rPr>
            </w:pPr>
          </w:p>
        </w:tc>
        <w:tc>
          <w:tcPr>
            <w:tcW w:w="2180" w:type="dxa"/>
            <w:vAlign w:val="bottom"/>
            <w:tcBorders>
              <w:bottom w:val="single" w:sz="8" w:color="0000EE"/>
            </w:tcBorders>
            <w:gridSpan w:val="8"/>
          </w:tcPr>
          <w:p>
            <w:pPr>
              <w:spacing w:after="0" w:line="193" w:lineRule="exact"/>
              <w:rPr>
                <w:sz w:val="20"/>
                <w:szCs w:val="20"/>
                <w:color w:val="auto"/>
              </w:rPr>
            </w:pPr>
            <w:r>
              <w:rPr>
                <w:rFonts w:ascii="Times New Roman" w:cs="Times New Roman" w:eastAsia="Times New Roman" w:hAnsi="Times New Roman"/>
                <w:sz w:val="18"/>
                <w:szCs w:val="18"/>
                <w:color w:val="0000EE"/>
                <w:w w:val="97"/>
              </w:rPr>
              <w:t>SELLING STOCKHOLDERS</w:t>
            </w:r>
          </w:p>
        </w:tc>
        <w:tc>
          <w:tcPr>
            <w:tcW w:w="6320" w:type="dxa"/>
            <w:vAlign w:val="bottom"/>
            <w:gridSpan w:val="5"/>
          </w:tcPr>
          <w:p>
            <w:pPr>
              <w:spacing w:after="0"/>
              <w:rPr>
                <w:sz w:val="16"/>
                <w:szCs w:val="16"/>
                <w:color w:val="auto"/>
              </w:rPr>
            </w:pPr>
          </w:p>
        </w:tc>
        <w:tc>
          <w:tcPr>
            <w:tcW w:w="23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7</w:t>
            </w:r>
          </w:p>
        </w:tc>
      </w:tr>
      <w:tr>
        <w:trPr>
          <w:trHeight w:val="193"/>
        </w:trPr>
        <w:tc>
          <w:tcPr>
            <w:tcW w:w="200" w:type="dxa"/>
            <w:vAlign w:val="bottom"/>
          </w:tcPr>
          <w:p>
            <w:pPr>
              <w:spacing w:after="0"/>
              <w:rPr>
                <w:sz w:val="16"/>
                <w:szCs w:val="16"/>
                <w:color w:val="auto"/>
              </w:rPr>
            </w:pPr>
          </w:p>
        </w:tc>
        <w:tc>
          <w:tcPr>
            <w:tcW w:w="2020" w:type="dxa"/>
            <w:vAlign w:val="bottom"/>
            <w:tcBorders>
              <w:bottom w:val="single" w:sz="8" w:color="0000EE"/>
            </w:tcBorders>
            <w:gridSpan w:val="7"/>
          </w:tcPr>
          <w:p>
            <w:pPr>
              <w:spacing w:after="0" w:line="193" w:lineRule="exact"/>
              <w:rPr>
                <w:sz w:val="20"/>
                <w:szCs w:val="20"/>
                <w:color w:val="auto"/>
              </w:rPr>
            </w:pPr>
            <w:r>
              <w:rPr>
                <w:rFonts w:ascii="Times New Roman" w:cs="Times New Roman" w:eastAsia="Times New Roman" w:hAnsi="Times New Roman"/>
                <w:sz w:val="18"/>
                <w:szCs w:val="18"/>
                <w:color w:val="0000EE"/>
                <w:w w:val="97"/>
              </w:rPr>
              <w:t>PLAN OF DISTRIBUTION</w:t>
            </w:r>
          </w:p>
        </w:tc>
        <w:tc>
          <w:tcPr>
            <w:tcW w:w="6480" w:type="dxa"/>
            <w:vAlign w:val="bottom"/>
            <w:gridSpan w:val="6"/>
          </w:tcPr>
          <w:p>
            <w:pPr>
              <w:spacing w:after="0"/>
              <w:rPr>
                <w:sz w:val="16"/>
                <w:szCs w:val="16"/>
                <w:color w:val="auto"/>
              </w:rPr>
            </w:pPr>
          </w:p>
        </w:tc>
        <w:tc>
          <w:tcPr>
            <w:tcW w:w="23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12</w:t>
            </w:r>
          </w:p>
        </w:tc>
      </w:tr>
      <w:tr>
        <w:trPr>
          <w:trHeight w:val="193"/>
        </w:trPr>
        <w:tc>
          <w:tcPr>
            <w:tcW w:w="200" w:type="dxa"/>
            <w:vAlign w:val="bottom"/>
          </w:tcPr>
          <w:p>
            <w:pPr>
              <w:spacing w:after="0"/>
              <w:rPr>
                <w:sz w:val="16"/>
                <w:szCs w:val="16"/>
                <w:color w:val="auto"/>
              </w:rPr>
            </w:pPr>
          </w:p>
        </w:tc>
        <w:tc>
          <w:tcPr>
            <w:tcW w:w="8500" w:type="dxa"/>
            <w:vAlign w:val="bottom"/>
            <w:gridSpan w:val="13"/>
          </w:tcPr>
          <w:p>
            <w:pPr>
              <w:spacing w:after="0" w:line="193" w:lineRule="exact"/>
              <w:rPr>
                <w:sz w:val="20"/>
                <w:szCs w:val="20"/>
                <w:color w:val="auto"/>
              </w:rPr>
            </w:pPr>
            <w:r>
              <w:rPr>
                <w:rFonts w:ascii="Times New Roman" w:cs="Times New Roman" w:eastAsia="Times New Roman" w:hAnsi="Times New Roman"/>
                <w:sz w:val="18"/>
                <w:szCs w:val="18"/>
                <w:color w:val="0000EE"/>
              </w:rPr>
              <w:t>LEGAL MATTERS</w:t>
            </w:r>
          </w:p>
        </w:tc>
        <w:tc>
          <w:tcPr>
            <w:tcW w:w="23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15</w:t>
            </w:r>
          </w:p>
        </w:tc>
      </w:tr>
      <w:tr>
        <w:trPr>
          <w:trHeight w:val="193"/>
        </w:trPr>
        <w:tc>
          <w:tcPr>
            <w:tcW w:w="200" w:type="dxa"/>
            <w:vAlign w:val="bottom"/>
          </w:tcPr>
          <w:p>
            <w:pPr>
              <w:spacing w:after="0"/>
              <w:rPr>
                <w:sz w:val="16"/>
                <w:szCs w:val="16"/>
                <w:color w:val="auto"/>
              </w:rPr>
            </w:pPr>
          </w:p>
        </w:tc>
        <w:tc>
          <w:tcPr>
            <w:tcW w:w="760" w:type="dxa"/>
            <w:vAlign w:val="bottom"/>
            <w:tcBorders>
              <w:top w:val="single" w:sz="8" w:color="0000EE"/>
              <w:bottom w:val="single" w:sz="8" w:color="0000EE"/>
            </w:tcBorders>
          </w:tcPr>
          <w:p>
            <w:pPr>
              <w:spacing w:after="0" w:line="193" w:lineRule="exact"/>
              <w:rPr>
                <w:sz w:val="20"/>
                <w:szCs w:val="20"/>
                <w:color w:val="auto"/>
              </w:rPr>
            </w:pPr>
            <w:r>
              <w:rPr>
                <w:rFonts w:ascii="Times New Roman" w:cs="Times New Roman" w:eastAsia="Times New Roman" w:hAnsi="Times New Roman"/>
                <w:sz w:val="18"/>
                <w:szCs w:val="18"/>
                <w:color w:val="0000EE"/>
                <w:w w:val="94"/>
              </w:rPr>
              <w:t>EXPERTS</w:t>
            </w:r>
          </w:p>
        </w:tc>
        <w:tc>
          <w:tcPr>
            <w:tcW w:w="660" w:type="dxa"/>
            <w:vAlign w:val="bottom"/>
            <w:tcBorders>
              <w:top w:val="single" w:sz="8" w:color="0000EE"/>
            </w:tcBorders>
            <w:gridSpan w:val="4"/>
          </w:tcPr>
          <w:p>
            <w:pPr>
              <w:spacing w:after="0"/>
              <w:rPr>
                <w:sz w:val="16"/>
                <w:szCs w:val="16"/>
                <w:color w:val="auto"/>
              </w:rPr>
            </w:pPr>
          </w:p>
        </w:tc>
        <w:tc>
          <w:tcPr>
            <w:tcW w:w="7080" w:type="dxa"/>
            <w:vAlign w:val="bottom"/>
            <w:gridSpan w:val="8"/>
          </w:tcPr>
          <w:p>
            <w:pPr>
              <w:spacing w:after="0"/>
              <w:rPr>
                <w:sz w:val="16"/>
                <w:szCs w:val="16"/>
                <w:color w:val="auto"/>
              </w:rPr>
            </w:pPr>
          </w:p>
        </w:tc>
        <w:tc>
          <w:tcPr>
            <w:tcW w:w="23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15</w:t>
            </w:r>
          </w:p>
        </w:tc>
      </w:tr>
      <w:tr>
        <w:trPr>
          <w:trHeight w:val="193"/>
        </w:trPr>
        <w:tc>
          <w:tcPr>
            <w:tcW w:w="200" w:type="dxa"/>
            <w:vAlign w:val="bottom"/>
          </w:tcPr>
          <w:p>
            <w:pPr>
              <w:spacing w:after="0"/>
              <w:rPr>
                <w:sz w:val="16"/>
                <w:szCs w:val="16"/>
                <w:color w:val="auto"/>
              </w:rPr>
            </w:pPr>
          </w:p>
        </w:tc>
        <w:tc>
          <w:tcPr>
            <w:tcW w:w="3760" w:type="dxa"/>
            <w:vAlign w:val="bottom"/>
            <w:tcBorders>
              <w:bottom w:val="single" w:sz="8" w:color="0000EE"/>
            </w:tcBorders>
            <w:gridSpan w:val="10"/>
          </w:tcPr>
          <w:p>
            <w:pPr>
              <w:spacing w:after="0" w:line="193" w:lineRule="exact"/>
              <w:rPr>
                <w:sz w:val="20"/>
                <w:szCs w:val="20"/>
                <w:color w:val="auto"/>
              </w:rPr>
            </w:pPr>
            <w:r>
              <w:rPr>
                <w:rFonts w:ascii="Times New Roman" w:cs="Times New Roman" w:eastAsia="Times New Roman" w:hAnsi="Times New Roman"/>
                <w:sz w:val="18"/>
                <w:szCs w:val="18"/>
                <w:color w:val="0000EE"/>
                <w:w w:val="97"/>
              </w:rPr>
              <w:t>WHERE YOU CAN FIND MORE INFORMATION</w:t>
            </w:r>
          </w:p>
        </w:tc>
        <w:tc>
          <w:tcPr>
            <w:tcW w:w="4740" w:type="dxa"/>
            <w:vAlign w:val="bottom"/>
            <w:gridSpan w:val="3"/>
          </w:tcPr>
          <w:p>
            <w:pPr>
              <w:spacing w:after="0"/>
              <w:rPr>
                <w:sz w:val="16"/>
                <w:szCs w:val="16"/>
                <w:color w:val="auto"/>
              </w:rPr>
            </w:pPr>
          </w:p>
        </w:tc>
        <w:tc>
          <w:tcPr>
            <w:tcW w:w="23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15</w:t>
            </w:r>
          </w:p>
        </w:tc>
      </w:tr>
      <w:tr>
        <w:trPr>
          <w:trHeight w:val="193"/>
        </w:trPr>
        <w:tc>
          <w:tcPr>
            <w:tcW w:w="200" w:type="dxa"/>
            <w:vAlign w:val="bottom"/>
          </w:tcPr>
          <w:p>
            <w:pPr>
              <w:spacing w:after="0"/>
              <w:rPr>
                <w:sz w:val="16"/>
                <w:szCs w:val="16"/>
                <w:color w:val="auto"/>
              </w:rPr>
            </w:pPr>
          </w:p>
        </w:tc>
        <w:tc>
          <w:tcPr>
            <w:tcW w:w="5100" w:type="dxa"/>
            <w:vAlign w:val="bottom"/>
            <w:tcBorders>
              <w:bottom w:val="single" w:sz="8" w:color="0000EE"/>
            </w:tcBorders>
            <w:gridSpan w:val="11"/>
          </w:tcPr>
          <w:p>
            <w:pPr>
              <w:spacing w:after="0" w:line="193" w:lineRule="exact"/>
              <w:rPr>
                <w:sz w:val="20"/>
                <w:szCs w:val="20"/>
                <w:color w:val="auto"/>
              </w:rPr>
            </w:pPr>
            <w:r>
              <w:rPr>
                <w:rFonts w:ascii="Times New Roman" w:cs="Times New Roman" w:eastAsia="Times New Roman" w:hAnsi="Times New Roman"/>
                <w:sz w:val="18"/>
                <w:szCs w:val="18"/>
                <w:color w:val="0000EE"/>
                <w:w w:val="96"/>
              </w:rPr>
              <w:t>INCORPORATION OF CERTAIN INFORMATION BY REFERENCE</w:t>
            </w:r>
          </w:p>
        </w:tc>
        <w:tc>
          <w:tcPr>
            <w:tcW w:w="3400" w:type="dxa"/>
            <w:vAlign w:val="bottom"/>
            <w:gridSpan w:val="2"/>
          </w:tcPr>
          <w:p>
            <w:pPr>
              <w:spacing w:after="0"/>
              <w:rPr>
                <w:sz w:val="16"/>
                <w:szCs w:val="16"/>
                <w:color w:val="auto"/>
              </w:rPr>
            </w:pPr>
          </w:p>
        </w:tc>
        <w:tc>
          <w:tcPr>
            <w:tcW w:w="23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16</w:t>
            </w:r>
          </w:p>
        </w:tc>
      </w:tr>
    </w:tbl>
    <w:p>
      <w:pPr>
        <w:jc w:val="right"/>
        <w:spacing w:after="0" w:line="193" w:lineRule="exact"/>
        <w:rPr>
          <w:sz w:val="20"/>
          <w:szCs w:val="20"/>
          <w:color w:val="auto"/>
        </w:rPr>
        <w:sectPr>
          <w:pgSz w:w="11900" w:h="16838" w:orient="portrait"/>
          <w:cols w:equalWidth="0" w:num="1">
            <w:col w:w="11000"/>
          </w:cols>
          <w:pgMar w:left="320" w:top="438" w:right="57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1" w:lineRule="exact"/>
        <w:rPr>
          <w:sz w:val="20"/>
          <w:szCs w:val="20"/>
          <w:color w:val="auto"/>
        </w:rPr>
      </w:pPr>
    </w:p>
    <w:p>
      <w:pPr>
        <w:ind w:left="200" w:right="120" w:firstLine="43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the Selling Stockholders (or their pledgees, donees, transferees or other successors-in-interest) may, from time to time, sell or otherwise dispose of the securities described in this prospectus in one or more offerings. We will not receive any proceeds from the sale by such Selling Stockholders of the securities offered by them described in this prospectus.</w:t>
      </w:r>
    </w:p>
    <w:p>
      <w:pPr>
        <w:spacing w:after="0" w:line="182" w:lineRule="exact"/>
        <w:rPr>
          <w:sz w:val="20"/>
          <w:szCs w:val="20"/>
          <w:color w:val="auto"/>
        </w:rPr>
      </w:pPr>
    </w:p>
    <w:p>
      <w:pPr>
        <w:ind w:left="200" w:right="40" w:firstLine="434"/>
        <w:spacing w:after="0" w:line="250"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shares of Class A common stock that the Selling Stockholders may sell or otherwise dispose of. You should rely only on the information provided in this prospectus, as well as the information incorporated by reference into this prospectus and any applicable prospectus supplement. If there is any inconsistency between the information in this prospectus and any prospectus supplement, you should rely on the information provided in the prospectus supplement. Neither we nor the Selling Stockholders have authorized anyone to provide you with any information or to make any representations other than those contained in this prospectus or any applicable prospectus supplement. Neither we nor the Selling Stockholders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Neither we nor the Selling Stockholders will make an offer to sell these securities in any jurisdiction where the offer or sale is not permitted.</w:t>
      </w:r>
    </w:p>
    <w:p>
      <w:pPr>
        <w:spacing w:after="0" w:line="187" w:lineRule="exact"/>
        <w:rPr>
          <w:sz w:val="20"/>
          <w:szCs w:val="20"/>
          <w:color w:val="auto"/>
        </w:rPr>
      </w:pPr>
    </w:p>
    <w:p>
      <w:pPr>
        <w:ind w:left="200" w:firstLine="434"/>
        <w:spacing w:after="0" w:line="268" w:lineRule="auto"/>
        <w:rPr>
          <w:sz w:val="20"/>
          <w:szCs w:val="20"/>
          <w:color w:val="auto"/>
        </w:rPr>
      </w:pPr>
      <w:r>
        <w:rPr>
          <w:rFonts w:ascii="Times New Roman" w:cs="Times New Roman" w:eastAsia="Times New Roman" w:hAnsi="Times New Roman"/>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information incorporated by reference herein or therein. For information about the distribution of securities offered, please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below. You should carefully read both this prospectus and any prospectus supplement, together with the additional information described in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before you make any investment decisions regarding the securities. You may obtain the information incorporated by reference into this prospectus without charge by following the instructions under the headings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This prospectus summarizes certain documents and other information, and we refer you to them for a more complete understanding of what we discuss in this prospectus. All of the summaries are qualified in their entirety by the actual documents. In making an investment decision, you must rely on your own examination of the Company and the terms of the offering and the securities, including the merits and risks involved.</w:t>
      </w:r>
    </w:p>
    <w:p>
      <w:pPr>
        <w:spacing w:after="0" w:line="177" w:lineRule="exact"/>
        <w:rPr>
          <w:sz w:val="20"/>
          <w:szCs w:val="20"/>
          <w:color w:val="auto"/>
        </w:rPr>
      </w:pPr>
    </w:p>
    <w:p>
      <w:pPr>
        <w:ind w:left="200" w:right="560" w:firstLine="434"/>
        <w:spacing w:after="0" w:line="261" w:lineRule="auto"/>
        <w:rPr>
          <w:sz w:val="20"/>
          <w:szCs w:val="20"/>
          <w:color w:val="auto"/>
        </w:rPr>
      </w:pPr>
      <w:r>
        <w:rPr>
          <w:rFonts w:ascii="Times New Roman" w:cs="Times New Roman" w:eastAsia="Times New Roman" w:hAnsi="Times New Roman"/>
          <w:sz w:val="18"/>
          <w:szCs w:val="18"/>
          <w:color w:val="auto"/>
        </w:rPr>
        <w:t>We are not making any representation to any purchasers of the securities regarding the legality of an investment in the securities by such purchasers. You should not consider any information in this prospectus to be legal, business or tax advice. You should consult your own attorney, business advisor or tax advisor for legal, business and tax advice regarding an investment in the securities.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“P10,” “we,” “us,” “our” and similar terms refer to P10,</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w:t>
      </w:r>
    </w:p>
    <w:p>
      <w:pPr>
        <w:spacing w:after="0" w:line="1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52"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1" w:lineRule="exact"/>
        <w:rPr>
          <w:sz w:val="20"/>
          <w:szCs w:val="20"/>
          <w:color w:val="auto"/>
        </w:rPr>
      </w:pPr>
    </w:p>
    <w:p>
      <w:pPr>
        <w:ind w:left="200" w:firstLine="434"/>
        <w:spacing w:after="0" w:line="248" w:lineRule="auto"/>
        <w:rPr>
          <w:sz w:val="20"/>
          <w:szCs w:val="20"/>
          <w:color w:val="auto"/>
        </w:rPr>
      </w:pPr>
      <w:r>
        <w:rPr>
          <w:rFonts w:ascii="Times New Roman" w:cs="Times New Roman" w:eastAsia="Times New Roman" w:hAnsi="Times New Roman"/>
          <w:sz w:val="18"/>
          <w:szCs w:val="18"/>
          <w:color w:val="auto"/>
        </w:rPr>
        <w:t>This prospectus, any prospectus supplement and any related free writing prospectus, including the information incorporated by reference herein and therein, contain or may contain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these forward-looking statements. Any forward-looking statements contained in this prospectus are based upon our historical performance and on our current plans, estimates and expectations. The inclusion of this or any forward-looking information should not be regarded as a representation by us or any other person that the future plans, estimates or expectations 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or incorporated by reference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factors should not be construed as exhaustive and should be read in conjunction with the other cautionary statements that are included or incorporated by reference in this prospectus or any applicable prospectus supplement.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or future developments, except as otherwise required by law.</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320" w:top="452"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208915</wp:posOffset>
            </wp:positionV>
            <wp:extent cx="6901815" cy="5913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1815" cy="59131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19" w:lineRule="exact"/>
        <w:rPr>
          <w:sz w:val="20"/>
          <w:szCs w:val="20"/>
          <w:color w:val="auto"/>
        </w:rPr>
      </w:pPr>
    </w:p>
    <w:p>
      <w:pPr>
        <w:ind w:left="380" w:firstLine="420"/>
        <w:spacing w:after="0" w:line="252"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or incorporated by reference into this prospectus. Because it is a summary, it may not contain all of the information that may be important to you. To understand this offering fully, you should read this entire prospectus and the documents incorporated by reference herein carefully, including the information referenced under the heading “Risk Factors” and in our financial statements, together with any accompanying prospectus supplement. Unless otherwise indicated or the context otherwise requires, all references in this prospectus to “we, ““us,” “our,” the “Company,” “P10”and similar terms refer to P10, Inc. and its subsidiaries. As used in this prospectus, (i) the term “P10 Holdings” refers to P10 Holdings, Inc. for all periods and (ii) the term “P10, Inc.” refers solely to P10, Inc., a Delaware corporation, and not to any of its subsidiaries.</w:t>
      </w:r>
    </w:p>
    <w:p>
      <w:pPr>
        <w:spacing w:after="0" w:line="2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ind w:left="380" w:right="120" w:firstLine="420"/>
        <w:spacing w:after="0" w:line="251"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Impact Investing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spacing w:after="0" w:line="185" w:lineRule="exact"/>
        <w:rPr>
          <w:sz w:val="20"/>
          <w:szCs w:val="20"/>
          <w:color w:val="auto"/>
        </w:rPr>
      </w:pPr>
    </w:p>
    <w:p>
      <w:pPr>
        <w:ind w:left="380" w:right="200" w:firstLine="420"/>
        <w:spacing w:after="0" w:line="256"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w:t>
      </w:r>
    </w:p>
    <w:p>
      <w:pPr>
        <w:spacing w:after="0" w:line="182" w:lineRule="exact"/>
        <w:rPr>
          <w:sz w:val="20"/>
          <w:szCs w:val="20"/>
          <w:color w:val="auto"/>
        </w:rPr>
      </w:pPr>
    </w:p>
    <w:p>
      <w:pPr>
        <w:ind w:left="380" w:right="40" w:firstLine="420"/>
        <w:spacing w:after="0" w:line="249" w:lineRule="auto"/>
        <w:rPr>
          <w:sz w:val="20"/>
          <w:szCs w:val="20"/>
          <w:color w:val="auto"/>
        </w:rPr>
      </w:pPr>
      <w:r>
        <w:rPr>
          <w:rFonts w:ascii="Times New Roman" w:cs="Times New Roman" w:eastAsia="Times New Roman" w:hAnsi="Times New Roman"/>
          <w:sz w:val="18"/>
          <w:szCs w:val="18"/>
          <w:color w:val="auto"/>
        </w:rPr>
        <w:t xml:space="preserve">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2, LLC (“RCP 2”) and RCP Advisors 3, LLC (“RCP3”, and collectively with RCP 2, “RCP Advisors”), Bonaccord Capital Advisors LLC, and P10 Advisors, LLC, our </w:t>
      </w:r>
      <w:r>
        <w:rPr>
          <w:rFonts w:ascii="Times New Roman" w:cs="Times New Roman" w:eastAsia="Times New Roman" w:hAnsi="Times New Roman"/>
          <w:sz w:val="18"/>
          <w:szCs w:val="18"/>
          <w:i w:val="1"/>
          <w:iCs w:val="1"/>
          <w:color w:val="auto"/>
        </w:rPr>
        <w:t>Private Equity</w:t>
      </w:r>
      <w:r>
        <w:rPr>
          <w:rFonts w:ascii="Times New Roman" w:cs="Times New Roman" w:eastAsia="Times New Roman" w:hAnsi="Times New Roman"/>
          <w:sz w:val="18"/>
          <w:szCs w:val="18"/>
          <w:color w:val="auto"/>
        </w:rPr>
        <w:t xml:space="preserve"> solutions; TrueBridge Capital Partners LLC (“TrueBridge”), our </w:t>
      </w:r>
      <w:r>
        <w:rPr>
          <w:rFonts w:ascii="Times New Roman" w:cs="Times New Roman" w:eastAsia="Times New Roman" w:hAnsi="Times New Roman"/>
          <w:sz w:val="18"/>
          <w:szCs w:val="18"/>
          <w:i w:val="1"/>
          <w:iCs w:val="1"/>
          <w:color w:val="auto"/>
        </w:rPr>
        <w:t>Venture Capital</w:t>
      </w:r>
      <w:r>
        <w:rPr>
          <w:rFonts w:ascii="Times New Roman" w:cs="Times New Roman" w:eastAsia="Times New Roman" w:hAnsi="Times New Roman"/>
          <w:sz w:val="18"/>
          <w:szCs w:val="18"/>
          <w:color w:val="auto"/>
        </w:rPr>
        <w:t xml:space="preserve"> solution; Enhanced Capital Group, LLC (“Enhanced”), our </w:t>
      </w:r>
      <w:r>
        <w:rPr>
          <w:rFonts w:ascii="Times New Roman" w:cs="Times New Roman" w:eastAsia="Times New Roman" w:hAnsi="Times New Roman"/>
          <w:sz w:val="18"/>
          <w:szCs w:val="18"/>
          <w:i w:val="1"/>
          <w:iCs w:val="1"/>
          <w:color w:val="auto"/>
        </w:rPr>
        <w:t>Impact Investing</w:t>
      </w:r>
      <w:r>
        <w:rPr>
          <w:rFonts w:ascii="Times New Roman" w:cs="Times New Roman" w:eastAsia="Times New Roman" w:hAnsi="Times New Roman"/>
          <w:sz w:val="18"/>
          <w:szCs w:val="18"/>
          <w:color w:val="auto"/>
        </w:rPr>
        <w:t xml:space="preserve"> solution; and Five Points Capital, Inc. (“Five Points”), Hark Capital Advisors, LLC, and Westech Investment Advisors LLC (“WTI”), our </w:t>
      </w:r>
      <w:r>
        <w:rPr>
          <w:rFonts w:ascii="Times New Roman" w:cs="Times New Roman" w:eastAsia="Times New Roman" w:hAnsi="Times New Roman"/>
          <w:sz w:val="18"/>
          <w:szCs w:val="18"/>
          <w:i w:val="1"/>
          <w:iCs w:val="1"/>
          <w:color w:val="auto"/>
        </w:rPr>
        <w:t>Private Credit</w:t>
      </w:r>
      <w:r>
        <w:rPr>
          <w:rFonts w:ascii="Times New Roman" w:cs="Times New Roman" w:eastAsia="Times New Roman" w:hAnsi="Times New Roman"/>
          <w:sz w:val="18"/>
          <w:szCs w:val="18"/>
          <w:color w:val="auto"/>
        </w:rPr>
        <w:t xml:space="preserve"> solutions (which Five Points also offers certain private equity solutions). We believe adding new asset class solutions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As of the date of this prospectus, we are pursuing additional acquisitions and are in discussions with certain target companies, however the Company does not currently have any agreements or commitments with respect to any acquisitions.</w:t>
      </w:r>
    </w:p>
    <w:p>
      <w:pPr>
        <w:spacing w:after="0" w:line="192" w:lineRule="exact"/>
        <w:rPr>
          <w:sz w:val="20"/>
          <w:szCs w:val="20"/>
          <w:color w:val="auto"/>
        </w:rPr>
      </w:pPr>
    </w:p>
    <w:p>
      <w:pPr>
        <w:ind w:left="380" w:right="200" w:firstLine="420"/>
        <w:spacing w:after="0" w:line="261" w:lineRule="auto"/>
        <w:rPr>
          <w:sz w:val="20"/>
          <w:szCs w:val="20"/>
          <w:color w:val="auto"/>
        </w:rPr>
      </w:pPr>
      <w:r>
        <w:rPr>
          <w:rFonts w:ascii="Times New Roman" w:cs="Times New Roman" w:eastAsia="Times New Roman" w:hAnsi="Times New Roman"/>
          <w:sz w:val="18"/>
          <w:szCs w:val="18"/>
          <w:color w:val="auto"/>
        </w:rPr>
        <w:t>Our success and growth have been driven by our long history of strong performance and our position in the private markets ecosystem. We believe our growing scale in the middle and lower-middle market provides us a competitive advantage with investors and fund managers. In addition, our senior investment professionals have</w:t>
      </w:r>
    </w:p>
    <w:p>
      <w:pPr>
        <w:spacing w:after="0" w:line="29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320" w:top="452"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208915</wp:posOffset>
            </wp:positionV>
            <wp:extent cx="6901815" cy="5033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1815" cy="50336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80" w:right="60"/>
        <w:spacing w:after="0" w:line="251" w:lineRule="auto"/>
        <w:rPr>
          <w:sz w:val="20"/>
          <w:szCs w:val="20"/>
          <w:color w:val="auto"/>
        </w:rPr>
      </w:pPr>
      <w:r>
        <w:rPr>
          <w:rFonts w:ascii="Times New Roman" w:cs="Times New Roman" w:eastAsia="Times New Roman" w:hAnsi="Times New Roman"/>
          <w:sz w:val="18"/>
          <w:szCs w:val="18"/>
          <w:color w:val="auto"/>
        </w:rPr>
        <w:t>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 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 highly synergistic, and coupled with our vast network of general partners and portfolio companies, drive cross-solution sourcing opportunities.</w:t>
      </w:r>
    </w:p>
    <w:p>
      <w:pPr>
        <w:spacing w:after="0" w:line="189" w:lineRule="exact"/>
        <w:rPr>
          <w:sz w:val="20"/>
          <w:szCs w:val="20"/>
          <w:color w:val="auto"/>
        </w:rPr>
      </w:pPr>
    </w:p>
    <w:p>
      <w:pPr>
        <w:ind w:left="380" w:right="80" w:firstLine="420"/>
        <w:spacing w:after="0" w:line="256" w:lineRule="auto"/>
        <w:rPr>
          <w:sz w:val="20"/>
          <w:szCs w:val="20"/>
          <w:color w:val="auto"/>
        </w:rPr>
      </w:pPr>
      <w:r>
        <w:rPr>
          <w:rFonts w:ascii="Times New Roman" w:cs="Times New Roman" w:eastAsia="Times New Roman" w:hAnsi="Times New Roman"/>
          <w:sz w:val="18"/>
          <w:szCs w:val="18"/>
          <w:color w:val="auto"/>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spacing w:after="0" w:line="2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4" w:lineRule="exact"/>
        <w:rPr>
          <w:sz w:val="20"/>
          <w:szCs w:val="20"/>
          <w:color w:val="auto"/>
        </w:rPr>
      </w:pPr>
    </w:p>
    <w:p>
      <w:pPr>
        <w:ind w:left="380" w:right="220" w:firstLine="420"/>
        <w:spacing w:after="0" w:line="254" w:lineRule="auto"/>
        <w:rPr>
          <w:sz w:val="20"/>
          <w:szCs w:val="20"/>
          <w:color w:val="auto"/>
        </w:rPr>
      </w:pPr>
      <w:r>
        <w:rPr>
          <w:rFonts w:ascii="Times New Roman" w:cs="Times New Roman" w:eastAsia="Times New Roman" w:hAnsi="Times New Roman"/>
          <w:sz w:val="18"/>
          <w:szCs w:val="18"/>
          <w:color w:val="auto"/>
        </w:rPr>
        <w:t>P10, Inc. was incorporated in Delaware on January 20, 2021 as a wholly owned subsidiary of P10 Holdings, Inc. P10, Inc. became the sole stockholder of P10 Holdings, Inc. (“P10 Holdings”) pursuant to a corporate reorganization effected by the Company in connection with its initial public offering (the “P10 Reorganization”). Our principal executive office is located at 4514 Cole Avenue, Suite 1600, Dallas, Texas 75205, and our phone number is (214) 865-7998. Our website is www.p10alts.com. Information contained on or accessible through our website is not incorporated by reference into this prospectus and should not be considered a part of this prospectus.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6" w:lineRule="exact"/>
        <w:rPr>
          <w:sz w:val="20"/>
          <w:szCs w:val="20"/>
          <w:color w:val="auto"/>
        </w:rPr>
      </w:pPr>
    </w:p>
    <w:p>
      <w:pPr>
        <w:ind w:left="380" w:right="340" w:firstLine="420"/>
        <w:spacing w:after="0" w:line="276" w:lineRule="auto"/>
        <w:rPr>
          <w:sz w:val="20"/>
          <w:szCs w:val="20"/>
          <w:color w:val="auto"/>
        </w:rPr>
      </w:pPr>
      <w:r>
        <w:rPr>
          <w:rFonts w:ascii="Times New Roman" w:cs="Times New Roman" w:eastAsia="Times New Roman" w:hAnsi="Times New Roman"/>
          <w:sz w:val="18"/>
          <w:szCs w:val="18"/>
          <w:color w:val="auto"/>
        </w:rPr>
        <w:t>The Selling Stockholders may offer or sell up to an aggregate of 56,553,931 Class A common stock in one or more offerings. We will not receive any proceeds from any such sale by the selling stockholders.</w:t>
      </w:r>
    </w:p>
    <w:p>
      <w:pPr>
        <w:spacing w:after="0" w:line="163" w:lineRule="exact"/>
        <w:rPr>
          <w:sz w:val="20"/>
          <w:szCs w:val="20"/>
          <w:color w:val="auto"/>
        </w:rPr>
      </w:pPr>
    </w:p>
    <w:p>
      <w:pPr>
        <w:ind w:left="380" w:firstLine="420"/>
        <w:spacing w:after="0" w:line="276" w:lineRule="auto"/>
        <w:rPr>
          <w:sz w:val="20"/>
          <w:szCs w:val="20"/>
          <w:color w:val="auto"/>
        </w:rPr>
      </w:pPr>
      <w:r>
        <w:rPr>
          <w:rFonts w:ascii="Times New Roman" w:cs="Times New Roman" w:eastAsia="Times New Roman" w:hAnsi="Times New Roman"/>
          <w:sz w:val="17"/>
          <w:szCs w:val="17"/>
          <w:color w:val="auto"/>
        </w:rPr>
        <w:t>The securities may be sold to or through underwriters, dealers or agents or directly to purchasers or as otherwise set forth in the section of this prospectus captioned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or in any applicable post-effective amendment or prospectus supplement. Each post-effective amendment or prospectus supplement will set forth the names of any underwriters, dealers, agents or other entities involved in the sale of securities described in that post-effective amendment or prospectus supplement and any applicable fee, commission or discount arrangements with them.</w:t>
      </w:r>
    </w:p>
    <w:p>
      <w:pPr>
        <w:spacing w:after="0" w:line="166" w:lineRule="exact"/>
        <w:rPr>
          <w:sz w:val="20"/>
          <w:szCs w:val="20"/>
          <w:color w:val="auto"/>
        </w:rPr>
      </w:pPr>
    </w:p>
    <w:p>
      <w:pPr>
        <w:jc w:val="both"/>
        <w:ind w:left="380" w:right="240" w:firstLine="420"/>
        <w:spacing w:after="0" w:line="261" w:lineRule="auto"/>
        <w:rPr>
          <w:sz w:val="20"/>
          <w:szCs w:val="20"/>
          <w:color w:val="auto"/>
        </w:rPr>
      </w:pPr>
      <w:r>
        <w:rPr>
          <w:rFonts w:ascii="Times New Roman" w:cs="Times New Roman" w:eastAsia="Times New Roman" w:hAnsi="Times New Roman"/>
          <w:sz w:val="18"/>
          <w:szCs w:val="18"/>
          <w:color w:val="auto"/>
        </w:rPr>
        <w:t>Holders of our Class A common stock are entitled to receive dividends declared by our board of directors out of funds legally available for the payment of dividends, subject to rights, if any, of preferred stockholders. Each holder of common stock is entitled to one vote per share. The holders of common stock have no preemptive rights.</w:t>
      </w: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2"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1" w:lineRule="exact"/>
        <w:rPr>
          <w:sz w:val="20"/>
          <w:szCs w:val="20"/>
          <w:color w:val="auto"/>
        </w:rPr>
      </w:pPr>
    </w:p>
    <w:p>
      <w:pPr>
        <w:ind w:left="200" w:firstLine="434"/>
        <w:spacing w:after="0" w:line="268" w:lineRule="auto"/>
        <w:rPr>
          <w:sz w:val="20"/>
          <w:szCs w:val="20"/>
          <w:color w:val="auto"/>
        </w:rPr>
      </w:pPr>
      <w:r>
        <w:rPr>
          <w:rFonts w:ascii="Times New Roman" w:cs="Times New Roman" w:eastAsia="Times New Roman" w:hAnsi="Times New Roman"/>
          <w:sz w:val="17"/>
          <w:szCs w:val="17"/>
          <w:color w:val="auto"/>
        </w:rPr>
        <w:t>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including all future filings we make with the SEC pursuant to Sections 13(a), 13(c), 14 or 15(d) of the Securities Exchange Act of 1934, as amended (the “Exchange Act”), as well as the risk factors and other information contained in or incorporated by reference into any accompanying prospectus supplement before investing in any of our securities. Our financial condition, results of operations or cash flows could be materially adversely affected by any of these risks. The risks and uncertainties described in the documents incorporated by reference herein are not the only risks and uncertainties that you may face.</w:t>
      </w:r>
    </w:p>
    <w:p>
      <w:pPr>
        <w:spacing w:after="0" w:line="174" w:lineRule="exact"/>
        <w:rPr>
          <w:sz w:val="20"/>
          <w:szCs w:val="20"/>
          <w:color w:val="auto"/>
        </w:rPr>
      </w:pPr>
    </w:p>
    <w:p>
      <w:pPr>
        <w:ind w:left="200" w:right="200" w:firstLine="434"/>
        <w:spacing w:after="0" w:line="278" w:lineRule="auto"/>
        <w:rPr>
          <w:sz w:val="20"/>
          <w:szCs w:val="20"/>
          <w:color w:val="auto"/>
        </w:rPr>
      </w:pPr>
      <w:r>
        <w:rPr>
          <w:rFonts w:ascii="Times New Roman" w:cs="Times New Roman" w:eastAsia="Times New Roman" w:hAnsi="Times New Roman"/>
          <w:sz w:val="18"/>
          <w:szCs w:val="18"/>
          <w:color w:val="auto"/>
        </w:rPr>
        <w:t>For more information about our SEC filings,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2"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1"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All shares of Class A common stock offered by this prospectus are being registered for resale by the Selling Stockholders. We will not receive any of the proceeds from the sale of these securities. The Selling Stockholders will bear all commissions and discounts, if any, attributable to the resale of the shares of Class A common stock.</w:t>
      </w:r>
    </w:p>
    <w:p>
      <w:pPr>
        <w:spacing w:after="0" w:line="1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320" w:top="452"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1" w:lineRule="exact"/>
        <w:rPr>
          <w:sz w:val="20"/>
          <w:szCs w:val="20"/>
          <w:color w:val="auto"/>
        </w:rPr>
      </w:pPr>
    </w:p>
    <w:p>
      <w:pPr>
        <w:ind w:left="200" w:right="40" w:firstLine="434"/>
        <w:spacing w:after="0" w:line="267" w:lineRule="auto"/>
        <w:rPr>
          <w:sz w:val="20"/>
          <w:szCs w:val="20"/>
          <w:color w:val="auto"/>
        </w:rPr>
      </w:pPr>
      <w:r>
        <w:rPr>
          <w:rFonts w:ascii="Times New Roman" w:cs="Times New Roman" w:eastAsia="Times New Roman" w:hAnsi="Times New Roman"/>
          <w:sz w:val="17"/>
          <w:szCs w:val="17"/>
          <w:color w:val="auto"/>
        </w:rPr>
        <w:t>The Selling Stockholders named below may resell from time to time up to 56,553,931 shares of the Class A common stock, which includes: (i) 4,572,455 shares of Class A common stock held directly or indirectly by certain Selling Stockholders; (ii) up to 50,667,351 shares of Class A common stock issuable upon conversion of shares of our Class B common stock held directly or indirectly by certain Selling Stockholders; (iii) up to 442,064 shares of Class A common stock issuable upon vesting and settlement of restricted stock units held directly or indirectly by certain Selling Stockholders;</w:t>
      </w:r>
    </w:p>
    <w:p>
      <w:pPr>
        <w:spacing w:after="0" w:line="1" w:lineRule="exact"/>
        <w:rPr>
          <w:sz w:val="20"/>
          <w:szCs w:val="20"/>
          <w:color w:val="auto"/>
        </w:rPr>
      </w:pPr>
    </w:p>
    <w:p>
      <w:pPr>
        <w:ind w:left="200" w:right="200" w:hanging="7"/>
        <w:spacing w:after="0" w:line="250" w:lineRule="auto"/>
        <w:tabs>
          <w:tab w:leader="none" w:pos="50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21,875 shares of Class A common stock that were issued as shares of restricted stock to a Selling Stockholder and remain subject to vesting; and (v) up to 850,186 shares of Class A common stock issuable upon exercise of stock options held directly or indirectly by certain Selling Stockholders.</w:t>
      </w:r>
    </w:p>
    <w:p>
      <w:pPr>
        <w:spacing w:after="0" w:line="186"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On October 20, 2021, in connection with our initial public offering, the Company undertook certain transactions as part of the P10 Reorganization, pursuant to which, among other things, P10 Intermediate Holdings LLC (“P10 Intermediate Holdings”), a subsidiary of P10 Holdings in which P10 Holdings owned all of the outstanding common units and in which members of the Company’s management, including employees, and other investors, owned preferred units, with P10 Intermediate Holdings surviving. In connection with this transaction, the Company issued an aggregate of 97,155,596 shares of the Company’s Class B common, with the preferred unit holders received Class B common stock of the Company in exchange for their preferred units, on a 1-for-1 basis (one share of Class B common stock for each preferred unit). Following the P10 Reorganization, the Company became the sole stockholder of P10 Holdings. All shares of Class B common stock identified or otherwise described below were originally issued by the Company through certain transactions undertaken as part of the P10 Reorganization, with such shares of Class B common stock being issued in exchange for certain equity interests in a predecessor or affiliate of the Company, as applicable, that were acquired by such holders in a private placement prior to the initial public offering. In connection with the P10 Reorganization, certain of the Selling Stockholders entered into a Stockholders Agreement, dated as of October 20, 2021 with the Company pursuant to which, among other things, they were granted certain registration rights. In addition, the Company granted certain registration rights to each of Robert Alpert, Clark Webb and Scott Gwilliam in accordance with certain agreements entered into between the Company and those individuals. We are registering the offer and sale of the shares of Class A common stock to satisfy these registration rights we have granted to the Selling Stockholders.</w:t>
      </w:r>
    </w:p>
    <w:p>
      <w:pPr>
        <w:spacing w:after="0" w:line="188" w:lineRule="exact"/>
        <w:rPr>
          <w:sz w:val="20"/>
          <w:szCs w:val="20"/>
          <w:color w:val="auto"/>
        </w:rPr>
      </w:pPr>
    </w:p>
    <w:p>
      <w:pPr>
        <w:ind w:left="200" w:right="20" w:firstLine="434"/>
        <w:spacing w:after="0" w:line="251" w:lineRule="auto"/>
        <w:rPr>
          <w:sz w:val="20"/>
          <w:szCs w:val="20"/>
          <w:color w:val="auto"/>
        </w:rPr>
      </w:pPr>
      <w:r>
        <w:rPr>
          <w:rFonts w:ascii="Times New Roman" w:cs="Times New Roman" w:eastAsia="Times New Roman" w:hAnsi="Times New Roman"/>
          <w:sz w:val="18"/>
          <w:szCs w:val="18"/>
          <w:color w:val="auto"/>
        </w:rPr>
        <w:t>Holders of Class B common stock may elect to convert shares of Class B common stock on a one-for-one basis into Class A common stock at any time. After a Sunset (as defined below) becomes effective, each share of Class B common stock will automatically convert into Class A common stock. A “Sunset” is triggered by any of the earlier of the following: (i) the Sunset Holders (as defined in the Company’s amended and restated certificate of incorporation)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Company’s amended and restated certificate of incorporation.</w:t>
      </w:r>
    </w:p>
    <w:p>
      <w:pPr>
        <w:spacing w:after="0" w:line="189" w:lineRule="exact"/>
        <w:rPr>
          <w:sz w:val="20"/>
          <w:szCs w:val="20"/>
          <w:color w:val="auto"/>
        </w:rPr>
      </w:pPr>
    </w:p>
    <w:p>
      <w:pPr>
        <w:ind w:left="200" w:right="60" w:firstLine="434"/>
        <w:spacing w:after="0" w:line="251" w:lineRule="auto"/>
        <w:rPr>
          <w:sz w:val="20"/>
          <w:szCs w:val="20"/>
          <w:color w:val="auto"/>
        </w:rPr>
      </w:pPr>
      <w:r>
        <w:rPr>
          <w:rFonts w:ascii="Times New Roman" w:cs="Times New Roman" w:eastAsia="Times New Roman" w:hAnsi="Times New Roman"/>
          <w:sz w:val="18"/>
          <w:szCs w:val="18"/>
          <w:color w:val="auto"/>
        </w:rPr>
        <w:t>The following table shows information as of the date hereof regarding (i) the number of shares of Class A common stock held of record or beneficially by the Selling Stockholders as of such date (as determined below) (including the number of shares of Class A common stock that may be issued upon the conversion of Class B common stock, settlement of outstanding restricted stock units, or exercise of outstanding stock options and the number shares of restricted Class A common stock that are subject to vesting) and (ii) the number of shares that may be offered under this prospectus by the Selling Stockholders. The beneficial ownership of the issued and issuable shares of Class A common stock set forth in the following table is determined in accordance with Rule 13d-3 under the Exchange Act, and the information is not necessarily indicative of beneficial ownership for any other purpose.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2"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4" w:lineRule="exact"/>
        <w:rPr>
          <w:sz w:val="20"/>
          <w:szCs w:val="20"/>
          <w:color w:val="auto"/>
        </w:rPr>
      </w:pPr>
    </w:p>
    <w:p>
      <w:pPr>
        <w:ind w:left="200" w:right="380" w:firstLine="434"/>
        <w:spacing w:after="0" w:line="276" w:lineRule="auto"/>
        <w:rPr>
          <w:sz w:val="20"/>
          <w:szCs w:val="20"/>
          <w:color w:val="auto"/>
        </w:rPr>
      </w:pPr>
      <w:r>
        <w:rPr>
          <w:rFonts w:ascii="Times New Roman" w:cs="Times New Roman" w:eastAsia="Times New Roman" w:hAnsi="Times New Roman"/>
          <w:sz w:val="18"/>
          <w:szCs w:val="18"/>
          <w:color w:val="auto"/>
        </w:rPr>
        <w:t>The percentage of shares owned prior to completion of the offering is based on 53,480,263 shares of Class A common stock outstanding as of July 17, 2024.</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Shares of Class A</w:t>
            </w:r>
          </w:p>
        </w:tc>
        <w:tc>
          <w:tcPr>
            <w:tcW w:w="1460" w:type="dxa"/>
            <w:vAlign w:val="bottom"/>
            <w:gridSpan w:val="4"/>
          </w:tcPr>
          <w:p>
            <w:pPr>
              <w:jc w:val="center"/>
              <w:ind w:right="40"/>
              <w:spacing w:after="0"/>
              <w:rPr>
                <w:sz w:val="20"/>
                <w:szCs w:val="20"/>
                <w:color w:val="auto"/>
              </w:rPr>
            </w:pPr>
            <w:r>
              <w:rPr>
                <w:rFonts w:ascii="Times New Roman" w:cs="Times New Roman" w:eastAsia="Times New Roman" w:hAnsi="Times New Roman"/>
                <w:sz w:val="12"/>
                <w:szCs w:val="12"/>
                <w:color w:val="auto"/>
              </w:rPr>
              <w:t>Shares of Class A</w:t>
            </w:r>
          </w:p>
        </w:tc>
      </w:tr>
      <w:tr>
        <w:trPr>
          <w:trHeight w:val="133"/>
        </w:trPr>
        <w:tc>
          <w:tcPr>
            <w:tcW w:w="5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2"/>
                <w:szCs w:val="12"/>
                <w:color w:val="auto"/>
              </w:rPr>
              <w:t>common stock offered</w:t>
            </w:r>
          </w:p>
        </w:tc>
        <w:tc>
          <w:tcPr>
            <w:tcW w:w="1460" w:type="dxa"/>
            <w:vAlign w:val="bottom"/>
            <w:gridSpan w:val="4"/>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rPr>
              <w:t>common stock</w:t>
            </w:r>
          </w:p>
        </w:tc>
      </w:tr>
      <w:tr>
        <w:trPr>
          <w:trHeight w:val="133"/>
        </w:trPr>
        <w:tc>
          <w:tcPr>
            <w:tcW w:w="5100" w:type="dxa"/>
            <w:vAlign w:val="bottom"/>
          </w:tcPr>
          <w:p>
            <w:pPr>
              <w:spacing w:after="0"/>
              <w:rPr>
                <w:sz w:val="11"/>
                <w:szCs w:val="11"/>
                <w:color w:val="auto"/>
              </w:rPr>
            </w:pPr>
          </w:p>
        </w:tc>
        <w:tc>
          <w:tcPr>
            <w:tcW w:w="2880" w:type="dxa"/>
            <w:vAlign w:val="bottom"/>
            <w:gridSpan w:val="4"/>
          </w:tcPr>
          <w:p>
            <w:pPr>
              <w:jc w:val="right"/>
              <w:ind w:right="840"/>
              <w:spacing w:after="0" w:line="133" w:lineRule="exact"/>
              <w:rPr>
                <w:sz w:val="20"/>
                <w:szCs w:val="20"/>
                <w:color w:val="auto"/>
              </w:rPr>
            </w:pPr>
            <w:r>
              <w:rPr>
                <w:rFonts w:ascii="Times New Roman" w:cs="Times New Roman" w:eastAsia="Times New Roman" w:hAnsi="Times New Roman"/>
                <w:sz w:val="12"/>
                <w:szCs w:val="12"/>
                <w:color w:val="auto"/>
              </w:rPr>
              <w:t>Shares of Class A common stock</w:t>
            </w:r>
          </w:p>
        </w:tc>
        <w:tc>
          <w:tcPr>
            <w:tcW w:w="142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2"/>
                <w:szCs w:val="12"/>
                <w:color w:val="auto"/>
              </w:rPr>
              <w:t>pursuant to this</w:t>
            </w:r>
          </w:p>
        </w:tc>
        <w:tc>
          <w:tcPr>
            <w:tcW w:w="1460" w:type="dxa"/>
            <w:vAlign w:val="bottom"/>
            <w:gridSpan w:val="4"/>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rPr>
              <w:t>beneficially owned</w:t>
            </w:r>
          </w:p>
        </w:tc>
      </w:tr>
      <w:tr>
        <w:trPr>
          <w:trHeight w:val="151"/>
        </w:trPr>
        <w:tc>
          <w:tcPr>
            <w:tcW w:w="5100" w:type="dxa"/>
            <w:vAlign w:val="bottom"/>
          </w:tcPr>
          <w:p>
            <w:pPr>
              <w:spacing w:after="0"/>
              <w:rPr>
                <w:sz w:val="13"/>
                <w:szCs w:val="13"/>
                <w:color w:val="auto"/>
              </w:rPr>
            </w:pPr>
          </w:p>
        </w:tc>
        <w:tc>
          <w:tcPr>
            <w:tcW w:w="2880" w:type="dxa"/>
            <w:vAlign w:val="bottom"/>
            <w:gridSpan w:val="4"/>
          </w:tcPr>
          <w:p>
            <w:pPr>
              <w:jc w:val="right"/>
              <w:ind w:right="700"/>
              <w:spacing w:after="0"/>
              <w:rPr>
                <w:sz w:val="20"/>
                <w:szCs w:val="20"/>
                <w:color w:val="auto"/>
              </w:rPr>
            </w:pPr>
            <w:r>
              <w:rPr>
                <w:rFonts w:ascii="Times New Roman" w:cs="Times New Roman" w:eastAsia="Times New Roman" w:hAnsi="Times New Roman"/>
                <w:sz w:val="12"/>
                <w:szCs w:val="12"/>
                <w:color w:val="auto"/>
              </w:rPr>
              <w:t>beneficially owned before this offering</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prospectus</w:t>
            </w:r>
          </w:p>
        </w:tc>
        <w:tc>
          <w:tcPr>
            <w:tcW w:w="1460" w:type="dxa"/>
            <w:vAlign w:val="bottom"/>
            <w:gridSpan w:val="4"/>
          </w:tcPr>
          <w:p>
            <w:pPr>
              <w:jc w:val="center"/>
              <w:ind w:right="40"/>
              <w:spacing w:after="0"/>
              <w:rPr>
                <w:sz w:val="20"/>
                <w:szCs w:val="20"/>
                <w:color w:val="auto"/>
              </w:rPr>
            </w:pPr>
            <w:r>
              <w:rPr>
                <w:rFonts w:ascii="Times New Roman" w:cs="Times New Roman" w:eastAsia="Times New Roman" w:hAnsi="Times New Roman"/>
                <w:sz w:val="12"/>
                <w:szCs w:val="12"/>
                <w:color w:val="auto"/>
              </w:rPr>
              <w:t>after this offering</w:t>
            </w:r>
          </w:p>
        </w:tc>
      </w:tr>
      <w:tr>
        <w:trPr>
          <w:trHeight w:val="108"/>
        </w:trPr>
        <w:tc>
          <w:tcPr>
            <w:tcW w:w="5100" w:type="dxa"/>
            <w:vAlign w:val="bottom"/>
          </w:tcPr>
          <w:p>
            <w:pPr>
              <w:spacing w:after="0"/>
              <w:rPr>
                <w:sz w:val="9"/>
                <w:szCs w:val="9"/>
                <w:color w:val="auto"/>
              </w:rPr>
            </w:pPr>
          </w:p>
        </w:tc>
        <w:tc>
          <w:tcPr>
            <w:tcW w:w="1560" w:type="dxa"/>
            <w:vAlign w:val="bottom"/>
            <w:tcBorders>
              <w:top w:val="single" w:sz="8" w:color="auto"/>
            </w:tcBorders>
            <w:gridSpan w:val="2"/>
          </w:tcPr>
          <w:p>
            <w:pPr>
              <w:ind w:left="180"/>
              <w:spacing w:after="0" w:line="109" w:lineRule="exact"/>
              <w:rPr>
                <w:sz w:val="20"/>
                <w:szCs w:val="20"/>
                <w:color w:val="auto"/>
              </w:rPr>
            </w:pPr>
            <w:r>
              <w:rPr>
                <w:rFonts w:ascii="Times New Roman" w:cs="Times New Roman" w:eastAsia="Times New Roman" w:hAnsi="Times New Roman"/>
                <w:sz w:val="12"/>
                <w:szCs w:val="12"/>
                <w:color w:val="auto"/>
              </w:rPr>
              <w:t>Number of</w:t>
            </w:r>
          </w:p>
        </w:tc>
        <w:tc>
          <w:tcPr>
            <w:tcW w:w="880" w:type="dxa"/>
            <w:vAlign w:val="bottom"/>
            <w:tcBorders>
              <w:top w:val="single" w:sz="8" w:color="auto"/>
            </w:tcBorders>
          </w:tcPr>
          <w:p>
            <w:pPr>
              <w:jc w:val="right"/>
              <w:ind w:right="22"/>
              <w:spacing w:after="0" w:line="109" w:lineRule="exact"/>
              <w:rPr>
                <w:sz w:val="20"/>
                <w:szCs w:val="20"/>
                <w:color w:val="auto"/>
              </w:rPr>
            </w:pPr>
            <w:r>
              <w:rPr>
                <w:rFonts w:ascii="Times New Roman" w:cs="Times New Roman" w:eastAsia="Times New Roman" w:hAnsi="Times New Roman"/>
                <w:sz w:val="12"/>
                <w:szCs w:val="12"/>
                <w:color w:val="auto"/>
              </w:rPr>
              <w:t>Percentage of</w:t>
            </w:r>
          </w:p>
        </w:tc>
        <w:tc>
          <w:tcPr>
            <w:tcW w:w="440" w:type="dxa"/>
            <w:vAlign w:val="bottom"/>
          </w:tcPr>
          <w:p>
            <w:pPr>
              <w:spacing w:after="0"/>
              <w:rPr>
                <w:sz w:val="9"/>
                <w:szCs w:val="9"/>
                <w:color w:val="auto"/>
              </w:rPr>
            </w:pPr>
          </w:p>
        </w:tc>
        <w:tc>
          <w:tcPr>
            <w:tcW w:w="11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Number of</w:t>
            </w:r>
          </w:p>
        </w:tc>
        <w:tc>
          <w:tcPr>
            <w:tcW w:w="300" w:type="dxa"/>
            <w:vAlign w:val="bottom"/>
          </w:tcPr>
          <w:p>
            <w:pPr>
              <w:spacing w:after="0"/>
              <w:rPr>
                <w:sz w:val="9"/>
                <w:szCs w:val="9"/>
                <w:color w:val="auto"/>
              </w:rPr>
            </w:pPr>
          </w:p>
        </w:tc>
        <w:tc>
          <w:tcPr>
            <w:tcW w:w="860" w:type="dxa"/>
            <w:vAlign w:val="bottom"/>
            <w:tcBorders>
              <w:top w:val="single" w:sz="8" w:color="auto"/>
            </w:tcBorders>
            <w:gridSpan w:val="2"/>
          </w:tcPr>
          <w:p>
            <w:pPr>
              <w:ind w:left="80"/>
              <w:spacing w:after="0" w:line="109" w:lineRule="exact"/>
              <w:rPr>
                <w:sz w:val="20"/>
                <w:szCs w:val="20"/>
                <w:color w:val="auto"/>
              </w:rPr>
            </w:pPr>
            <w:r>
              <w:rPr>
                <w:rFonts w:ascii="Times New Roman" w:cs="Times New Roman" w:eastAsia="Times New Roman" w:hAnsi="Times New Roman"/>
                <w:sz w:val="12"/>
                <w:szCs w:val="12"/>
                <w:color w:val="auto"/>
              </w:rPr>
              <w:t>Number</w:t>
            </w:r>
          </w:p>
        </w:tc>
        <w:tc>
          <w:tcPr>
            <w:tcW w:w="5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Percentage</w:t>
            </w:r>
          </w:p>
        </w:tc>
        <w:tc>
          <w:tcPr>
            <w:tcW w:w="40" w:type="dxa"/>
            <w:vAlign w:val="bottom"/>
          </w:tcPr>
          <w:p>
            <w:pPr>
              <w:spacing w:after="0"/>
              <w:rPr>
                <w:sz w:val="9"/>
                <w:szCs w:val="9"/>
                <w:color w:val="auto"/>
              </w:rPr>
            </w:pPr>
          </w:p>
        </w:tc>
      </w:tr>
      <w:tr>
        <w:trPr>
          <w:trHeight w:val="151"/>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Name of Selling Stockholder</w:t>
            </w:r>
          </w:p>
        </w:tc>
        <w:tc>
          <w:tcPr>
            <w:tcW w:w="9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2"/>
                <w:szCs w:val="12"/>
                <w:color w:val="auto"/>
              </w:rPr>
              <w:t>shares</w:t>
            </w:r>
          </w:p>
        </w:tc>
        <w:tc>
          <w:tcPr>
            <w:tcW w:w="6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shares</w:t>
            </w:r>
          </w:p>
        </w:tc>
        <w:tc>
          <w:tcPr>
            <w:tcW w:w="4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shares</w:t>
            </w:r>
          </w:p>
        </w:tc>
        <w:tc>
          <w:tcPr>
            <w:tcW w:w="3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of shares</w:t>
            </w:r>
          </w:p>
        </w:tc>
        <w:tc>
          <w:tcPr>
            <w:tcW w:w="3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of shares</w:t>
            </w:r>
          </w:p>
        </w:tc>
        <w:tc>
          <w:tcPr>
            <w:tcW w:w="40" w:type="dxa"/>
            <w:vAlign w:val="bottom"/>
            <w:tcBorders>
              <w:bottom w:val="single" w:sz="8" w:color="CCEEFF"/>
            </w:tcBorders>
          </w:tcPr>
          <w:p>
            <w:pPr>
              <w:spacing w:after="0"/>
              <w:rPr>
                <w:sz w:val="13"/>
                <w:szCs w:val="13"/>
                <w:color w:val="auto"/>
              </w:rPr>
            </w:pPr>
          </w:p>
        </w:tc>
      </w:tr>
      <w:tr>
        <w:trPr>
          <w:trHeight w:val="19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Alpert (1)(2)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764,121</w:t>
            </w:r>
          </w:p>
        </w:tc>
        <w:tc>
          <w:tcPr>
            <w:tcW w:w="6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764,121</w:t>
            </w: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r>
      <w:tr>
        <w:trPr>
          <w:trHeight w:val="20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C. Clark Webb (1)(3)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1,201,307</w:t>
            </w:r>
          </w:p>
        </w:tc>
        <w:tc>
          <w:tcPr>
            <w:tcW w:w="64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1,201,307</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210/P10 Acquisition Partners LLC (1)(4)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13,167,397</w:t>
            </w:r>
          </w:p>
        </w:tc>
        <w:tc>
          <w:tcPr>
            <w:tcW w:w="6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13,167,397</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20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Scott L. Gwilliam(5)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347,323</w:t>
            </w:r>
          </w:p>
        </w:tc>
        <w:tc>
          <w:tcPr>
            <w:tcW w:w="64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347,323</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Gwilliam Family Investments LLC (6)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530,953</w:t>
            </w:r>
          </w:p>
        </w:tc>
        <w:tc>
          <w:tcPr>
            <w:tcW w:w="6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530,953</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20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TrueBridge Colonial Fund, u/a dated 11/15/2015 (7)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8,694,409</w:t>
            </w:r>
          </w:p>
        </w:tc>
        <w:tc>
          <w:tcPr>
            <w:tcW w:w="64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14.0%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8,694,409</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TrueBridge Ascent LLC (8)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155,175</w:t>
            </w:r>
          </w:p>
        </w:tc>
        <w:tc>
          <w:tcPr>
            <w:tcW w:w="6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155,175</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186"/>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Alliance Trust Company, Trustee of The Mel Williams Irrevocable Trust u/a/d</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8"/>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August 12, 2015 (9)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8,589,713</w:t>
            </w:r>
          </w:p>
        </w:tc>
        <w:tc>
          <w:tcPr>
            <w:tcW w:w="6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8,589,713</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05"/>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MAW Management Co. (10)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104,698</w:t>
            </w:r>
          </w:p>
        </w:tc>
        <w:tc>
          <w:tcPr>
            <w:tcW w:w="6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104,698</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186"/>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Charles K. Huebner as Trustee of the Charles K. Huebner Trust dated</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8"/>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January 16, 2001 (11)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4,261,939</w:t>
            </w:r>
          </w:p>
        </w:tc>
        <w:tc>
          <w:tcPr>
            <w:tcW w:w="6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4,261,939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05"/>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Souder (12)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5,142,065</w:t>
            </w:r>
          </w:p>
        </w:tc>
        <w:tc>
          <w:tcPr>
            <w:tcW w:w="6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4,261,939</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880,126</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186"/>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Jon I. Madorsky as Trustee of the Jon I. Madorsky Revocable Trust dated</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8"/>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December 1, 2008 (13)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3,896,939</w:t>
            </w:r>
          </w:p>
        </w:tc>
        <w:tc>
          <w:tcPr>
            <w:tcW w:w="6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3,896,939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19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P. Danis, Jr., as Trustee of the Thomas P. Danis, Jr. Revocable Living</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Trust dated March 10, 2003, as amended (14)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4,261,939</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4,261,939</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r>
      <w:tr>
        <w:trPr>
          <w:trHeight w:val="20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Nell Blatherwick (15)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1,205,834</w:t>
            </w:r>
          </w:p>
        </w:tc>
        <w:tc>
          <w:tcPr>
            <w:tcW w:w="64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1,011,307</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194,527</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Andrew Nelson and Laurie Nelson JTTEN (16)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971,307</w:t>
            </w:r>
          </w:p>
        </w:tc>
        <w:tc>
          <w:tcPr>
            <w:tcW w:w="6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971,307</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20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Alexander Abell (17)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1,314,933</w:t>
            </w:r>
          </w:p>
        </w:tc>
        <w:tc>
          <w:tcPr>
            <w:tcW w:w="64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914,993</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Feinglass (18)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601,259</w:t>
            </w:r>
          </w:p>
        </w:tc>
        <w:tc>
          <w:tcPr>
            <w:tcW w:w="6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601,259</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208"/>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David McCoy (19)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2,916,758</w:t>
            </w:r>
          </w:p>
        </w:tc>
        <w:tc>
          <w:tcPr>
            <w:tcW w:w="6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2,817,213</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99,545</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bl>
    <w:p>
      <w:pPr>
        <w:spacing w:after="0" w:line="217" w:lineRule="exact"/>
        <w:rPr>
          <w:sz w:val="20"/>
          <w:szCs w:val="20"/>
          <w:color w:val="auto"/>
        </w:rPr>
      </w:pPr>
    </w:p>
    <w:p>
      <w:pPr>
        <w:ind w:left="620" w:hanging="427"/>
        <w:spacing w:after="0"/>
        <w:tabs>
          <w:tab w:leader="none" w:pos="6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 (1%)</w:t>
      </w:r>
    </w:p>
    <w:p>
      <w:pPr>
        <w:spacing w:after="0" w:line="24" w:lineRule="exact"/>
        <w:rPr>
          <w:sz w:val="20"/>
          <w:szCs w:val="20"/>
          <w:color w:val="auto"/>
        </w:rPr>
      </w:pPr>
    </w:p>
    <w:p>
      <w:pPr>
        <w:ind w:left="620" w:hanging="427"/>
        <w:spacing w:after="0"/>
        <w:tabs>
          <w:tab w:leader="none" w:pos="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the principal office of this Selling Stockholder is 4514 Cole Avenue, Suite 1600 Dallas, Texas 75205.</w:t>
      </w:r>
    </w:p>
    <w:p>
      <w:pPr>
        <w:spacing w:after="0" w:line="15" w:lineRule="exact"/>
        <w:rPr>
          <w:rFonts w:ascii="Times New Roman" w:cs="Times New Roman" w:eastAsia="Times New Roman" w:hAnsi="Times New Roman"/>
          <w:sz w:val="16"/>
          <w:szCs w:val="16"/>
          <w:color w:val="auto"/>
        </w:rPr>
      </w:pPr>
    </w:p>
    <w:p>
      <w:pPr>
        <w:ind w:left="620" w:right="160" w:hanging="427"/>
        <w:spacing w:after="0" w:line="260" w:lineRule="auto"/>
        <w:tabs>
          <w:tab w:leader="none" w:pos="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shares set forth above includes: (i) 339,028 shares of Class A common stock held directly by Robert Alpert that were received pursuant to awards granted under the Company’s 2021 Incentive Plan (the “Equity Incentive Plan”) in consideration for Mr. Alpert’s services to the Company</w:t>
      </w:r>
    </w:p>
    <w:p>
      <w:pPr>
        <w:ind w:left="620" w:right="10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Co-Chief Executive Officer and pursuant to that certain Executive Transition Agreement, dated effective as of October 23, 2023, between Mr. Alpert and the Company; (ii) 228,659 shares of Class A common stock issuable upon exercise of certain stock options, each with an exercise price of $9.93 per share, granted to Mr. Alpert on March 9, 2023, pursuant to the Equity Incentive Plan, which options are fully vested and exercisable; and (iii) 196,434 shares of Class A common stock issuable upon exercise of certain stock options, each with an exercise price of $9.17 per share, granted to Mr. Alpert on October 23, 2023, pursuant to the Equity Incentive Plan, which options are fully vested and exercisable. As of the date of this prospectus, Mr. Alpert serves as a member of the board of directors of the Company, a position he has held since 2017. Mr. Alpert previously served as the Co-Chief Executive Officer of the Company from 2017 to October 2023, and from October 2023 to June 14, 2024, as Executive Chairman of the Company.</w:t>
      </w:r>
    </w:p>
    <w:p>
      <w:pPr>
        <w:spacing w:after="0" w:line="2" w:lineRule="exact"/>
        <w:rPr>
          <w:rFonts w:ascii="Times New Roman" w:cs="Times New Roman" w:eastAsia="Times New Roman" w:hAnsi="Times New Roman"/>
          <w:sz w:val="16"/>
          <w:szCs w:val="16"/>
          <w:color w:val="auto"/>
        </w:rPr>
      </w:pPr>
    </w:p>
    <w:p>
      <w:pPr>
        <w:ind w:left="620" w:right="80" w:hanging="427"/>
        <w:spacing w:after="0" w:line="262" w:lineRule="auto"/>
        <w:tabs>
          <w:tab w:leader="none" w:pos="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shares set forth above includes: (i) 334,150 shares of Class A common stock held directly by C. Clark Webb that were received pursuant to awards granted under the Equity Incentive Plan in consideration for Mr. Webb’s services to the Company as Co-Chief Executive Officer and pursuant to that certain Executive Transition Agreement, dated effective as of October 23, 2023, between Mr. Webb and the Company; (ii) 107,527 shares of Class A common stock issuable upon vesting of restricted stock units issued to Mr. Webb on October 23, 2023 under the Equity Incentive Plan; (iii) 97,848 shares of Class A common stock issuable upon vesting of restricted stock units issued to Mr. Webb on January 2, 2024 under the Equity Incentive Plan; (iv) 118,765 shares of Class A common stock issuable upon vesting of restricted stock units issued to Mr. Webb on April 1, 2024 under the Equity Incentive Plan; (v) 117,924 shares of Class A common stock issuable upon vesting of restricted stock units issued to Mr. Webb on July 1, 2024 under the Equity Incentive Plan; (vi) 228,659 shares of Class A common stock issuable upon exercise of certain stock options, each with an exercise price of $9.93 per share, granted to Mr. Webb on March 9, 2023, pursuant to the Equity Incentive Plan, which options are fully vested and exercisable; and (vii) 196,434 shares of Class A common stock issuable upon exercise of certain stock options, each with an exercise price of $9.17 per share, granted to Mr. Webb on October 23, 2023, pursuant to the Equity Incentive Plan, which options are fully vested and exercisable. As of the date of this prospectus, Mr. Webb serves as the Executive Vice Chairman of the Company. Prior to his appointment as Executive</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2"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9" w:lineRule="exact"/>
        <w:rPr>
          <w:sz w:val="20"/>
          <w:szCs w:val="20"/>
          <w:color w:val="auto"/>
        </w:rPr>
      </w:pPr>
    </w:p>
    <w:p>
      <w:pPr>
        <w:ind w:left="620" w:right="100"/>
        <w:spacing w:after="0" w:line="266" w:lineRule="auto"/>
        <w:rPr>
          <w:sz w:val="20"/>
          <w:szCs w:val="20"/>
          <w:color w:val="auto"/>
        </w:rPr>
      </w:pPr>
      <w:r>
        <w:rPr>
          <w:rFonts w:ascii="Times New Roman" w:cs="Times New Roman" w:eastAsia="Times New Roman" w:hAnsi="Times New Roman"/>
          <w:sz w:val="16"/>
          <w:szCs w:val="16"/>
          <w:color w:val="auto"/>
        </w:rPr>
        <w:t>Vice Chairman in October 2023, Mr. Webb had served as the Co-Chief Executive Officer of the Company since 2017. In addition, Mr. Webb currently serves as a member of the board of directors of the Company, a position he has held since 2017.</w:t>
      </w:r>
    </w:p>
    <w:p>
      <w:pPr>
        <w:ind w:left="620" w:right="140" w:hanging="427"/>
        <w:spacing w:after="0" w:line="277" w:lineRule="auto"/>
        <w:tabs>
          <w:tab w:leader="none" w:pos="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amount of shares set forth above consists of 3,500,000 shares of Class A common stock and 9,667,397 shares of Class A common stock that are issuable upon the conversion of the same number of shares of Class B common stock that are beneficially owned directly or indirectly by 210/P10 Acquisition Partners LLC, 210 Capital, LLC, Covenant RHA Partners, L.P., CCW/LAW Holdings, LLC, RHA Investments, Inc., Robert Alpert, and C. Clark Webb (collectively, the “210 Group Holders”). As of the date of this prospectus, these shares of Class B common stock are owned directly by 210/P10 Acquisition Partners LLC, which may be deemed to be controlled indirectly by Mr. Alpert and Mr. Webb through their respective control of the other members of the 210 Group Holders. Certain 210 Group Holders are party to a controlled company agreement, dated October 20, 2021, as amended, with the Company and other parties named therein, which provides that the Company must include in its slate of nominees two directors designated by the 210 Group Holders so long as they continue to hold at least 10% of the outstanding shares (or one director designated by the 210 Group Holders if they hold less than 10% but at least 5% of the outstanding shares). Mr. Alpert and Mr. Webb have served as the two directors that have been designated by the 210 Group Holders pursuant to the controlled company agreement. 210/P10 Acquisition Partners LLC acquired all of its shares in connection with the P10 Reorganization, pursuant to which the shares of common stock of P10 Holdings acquired in 2017 and held by 210/P10 Acquisition Partners LLC were converted into shares of Class B common stock.</w:t>
      </w:r>
    </w:p>
    <w:p>
      <w:pPr>
        <w:spacing w:after="0" w:line="6" w:lineRule="exact"/>
        <w:rPr>
          <w:rFonts w:ascii="Times New Roman" w:cs="Times New Roman" w:eastAsia="Times New Roman" w:hAnsi="Times New Roman"/>
          <w:sz w:val="15"/>
          <w:szCs w:val="15"/>
          <w:color w:val="auto"/>
        </w:rPr>
      </w:pPr>
    </w:p>
    <w:p>
      <w:pPr>
        <w:ind w:left="620" w:hanging="427"/>
        <w:spacing w:after="0" w:line="277" w:lineRule="auto"/>
        <w:tabs>
          <w:tab w:leader="none" w:pos="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amount of shares set forth above consists of: (i) 25,215 shares of Class A common stock held directly by Scott L. Gwilliam, which were originally acquired by Mr. Gwilliam as shares of restricted stock in consideration for his services as a director of the Company and have since vested; (ii) 21,875 shares of restricted Class A common stock that remain subject to vesting and were issued to Mr. Gwilliam in consideration for his services as a director of the Company; and</w:t>
      </w:r>
    </w:p>
    <w:p>
      <w:pPr>
        <w:spacing w:after="0" w:line="1" w:lineRule="exact"/>
        <w:rPr>
          <w:rFonts w:ascii="Times New Roman" w:cs="Times New Roman" w:eastAsia="Times New Roman" w:hAnsi="Times New Roman"/>
          <w:sz w:val="15"/>
          <w:szCs w:val="15"/>
          <w:color w:val="auto"/>
        </w:rPr>
      </w:pPr>
    </w:p>
    <w:p>
      <w:pPr>
        <w:ind w:left="620" w:hanging="1"/>
        <w:spacing w:after="0" w:line="260" w:lineRule="auto"/>
        <w:tabs>
          <w:tab w:leader="none" w:pos="9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300,233 shares of Class A common stock that are issuable upon the conversion of the same number of shares of Class B common stock that are held directly by Mr. Gwilliam, of which (A) 269,282 shares of Class B common stock were acquired by Mr. Gwilliam in June 2022 as a pro rata distribution from Keystone XXX, LLC, of which Mr. Gwilliam is a non-managing member, (B) 9,451 shares of Class B common stock were originally acquired by Mr. Gwilliam as shares of restricted stock in consideration for his services as a director of the Company and have since vested, and (C) 21,500 shares of Class B common stock were acquired by Mr. Gwilliam in connection with the P10 Reorganization, in exchange for preferred units of P10 Intermediate Holdings. Mr. Gwilliam currently serves as a director on the board of directors of the Company, and has served in this position since October 2021. The address for this Selling Stockholder is c/o Keystone Capital, 155 N Wacker, Suite 4150, Chicago, IL 60606.</w:t>
      </w:r>
    </w:p>
    <w:p>
      <w:pPr>
        <w:spacing w:after="0" w:line="2" w:lineRule="exact"/>
        <w:rPr>
          <w:rFonts w:ascii="Times New Roman" w:cs="Times New Roman" w:eastAsia="Times New Roman" w:hAnsi="Times New Roman"/>
          <w:sz w:val="16"/>
          <w:szCs w:val="16"/>
          <w:color w:val="auto"/>
        </w:rPr>
      </w:pPr>
    </w:p>
    <w:p>
      <w:pPr>
        <w:ind w:left="620" w:hanging="427"/>
        <w:spacing w:after="0"/>
        <w:tabs>
          <w:tab w:leader="none" w:pos="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shares set forth above consists of: (i) 200,000 shares of Class A common stock held directly by Gwilliam Family Investments LLC, and</w:t>
      </w:r>
    </w:p>
    <w:p>
      <w:pPr>
        <w:spacing w:after="0" w:line="15" w:lineRule="exact"/>
        <w:rPr>
          <w:rFonts w:ascii="Times New Roman" w:cs="Times New Roman" w:eastAsia="Times New Roman" w:hAnsi="Times New Roman"/>
          <w:sz w:val="16"/>
          <w:szCs w:val="16"/>
          <w:color w:val="auto"/>
        </w:rPr>
      </w:pPr>
    </w:p>
    <w:p>
      <w:pPr>
        <w:ind w:left="620" w:hanging="1"/>
        <w:spacing w:after="0" w:line="260" w:lineRule="auto"/>
        <w:tabs>
          <w:tab w:leader="none" w:pos="855"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330,953 shares of Class A common stock that are issuable upon the conversion of the same number of shares of Class B common stock held directly by Gwilliam Family Investments LLC, all of which shares were acquired by Gwilliam Family Investments LLC in June 2022 as a pro rata distribution from Keystone XXX, LLC, of which Mr. Gwilliam is a non-managing member. Mr. Gwilliam is the Managing Member of the Gwilliam Family Investments LLC. The address for this Selling Stockholder is c/o Keystone Capital, 155 N Wacker, Suite 4150, Chicago, IL 60606.</w:t>
      </w:r>
    </w:p>
    <w:p>
      <w:pPr>
        <w:spacing w:after="0" w:line="1" w:lineRule="exact"/>
        <w:rPr>
          <w:rFonts w:ascii="Times New Roman" w:cs="Times New Roman" w:eastAsia="Times New Roman" w:hAnsi="Times New Roman"/>
          <w:sz w:val="16"/>
          <w:szCs w:val="16"/>
          <w:color w:val="auto"/>
        </w:rPr>
      </w:pPr>
    </w:p>
    <w:p>
      <w:pPr>
        <w:ind w:left="620" w:hanging="427"/>
        <w:spacing w:after="0" w:line="260" w:lineRule="auto"/>
        <w:tabs>
          <w:tab w:leader="none" w:pos="6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Class A common stock that are issuable upon the conversion of the same number of shares of Class B common stock that are beneficially owned by TrueBridge Colonial Fund, u/a dated 11/15/2015, an irrevocable trust (“TrueBridge Colonial Fund”). First Republic Trust Company of Delaware, LLC is the successor trustee to Edwin Poston, who formerly served as trustee of TrueBridge Colonial Fund, and is a member of the board of directors of the Company. TrueBridge Colonial Fund acquired all of the shares of Class B common stock in connection with the P10 Reorganization, in exchange for preferred units of P10 Intermediate Holdings originally issued to TrueBridge Colonial Fund in connection with the acquisition by the Company of TrueBridge Capital Partners LLC (“TrueBridge”) in October 2020. TrueBridge Colonial Fund was a member of P10 Intermediate Holdings prior to the P10 Reorganization.</w:t>
      </w:r>
    </w:p>
    <w:p>
      <w:pPr>
        <w:spacing w:after="0" w:line="2" w:lineRule="exact"/>
        <w:rPr>
          <w:rFonts w:ascii="Times New Roman" w:cs="Times New Roman" w:eastAsia="Times New Roman" w:hAnsi="Times New Roman"/>
          <w:sz w:val="16"/>
          <w:szCs w:val="16"/>
          <w:color w:val="auto"/>
        </w:rPr>
      </w:pPr>
    </w:p>
    <w:p>
      <w:pPr>
        <w:jc w:val="both"/>
        <w:ind w:left="620" w:hanging="427"/>
        <w:spacing w:after="0" w:line="260" w:lineRule="auto"/>
        <w:tabs>
          <w:tab w:leader="none" w:pos="6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Class A common stock that are issuable upon the conversion of the same number of shares of Class B common stock. TrueBridge Colonial Fund owns a 50% interest in TrueBridge Ascent LLC (“Truebridge Ascent”). TrueBridge Ascent acquired all of the shares of Class B common stock in connection with the P10 Reorganization, in exchange for preferred units of P10 Intermediate Holdings originally issued to TrueBridge Ascent in connection with the acquisition by the Company of TrueBridge in October 2020. TrueBridge Ascent was a member of P10 Intermediate Holdings prior to the P10 Reorganization.</w:t>
      </w:r>
    </w:p>
    <w:p>
      <w:pPr>
        <w:spacing w:after="0" w:line="1" w:lineRule="exact"/>
        <w:rPr>
          <w:rFonts w:ascii="Times New Roman" w:cs="Times New Roman" w:eastAsia="Times New Roman" w:hAnsi="Times New Roman"/>
          <w:sz w:val="16"/>
          <w:szCs w:val="16"/>
          <w:color w:val="auto"/>
        </w:rPr>
      </w:pPr>
    </w:p>
    <w:p>
      <w:pPr>
        <w:ind w:left="620" w:hanging="427"/>
        <w:spacing w:after="0" w:line="263" w:lineRule="auto"/>
        <w:tabs>
          <w:tab w:leader="none" w:pos="6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Class A common stock that are issuable upon the conversion of the same number of shares of Class B common stock that are beneficially owned by the Mel Williams Irrevocable Trust u/a/d August 12, 2015, an irrevocable trust governed by the laws of the State of Nevada (the “Mel Williams Trust”). Alliance Trust Company, a trust company organized under the laws of the State of Nevada, has the power to direct the affairs of the Mel Williams Trust as the trustee. Ben Samuels acts as the Investment Advisor of the Mel Williams Trust, and has exclusive authority under the trust agreement to direct Alliance Trust Company as to the voting and disposition of all securities held by the Mel Williams Trust. The Mel Williams Trust acquired all of the shares of Class B common stock in connection with the P10 Reorganization, in exchange for preferred units of P10 Intermediate Holdings originally issued to the Mel Williams Trust in connection with the acquisition by the Company of TrueBridge in October 2020. The Mel Williams Trust was a member of P10 Intermediate Holdings prior to the P10 Reorganization.</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452"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9" w:lineRule="exact"/>
        <w:rPr>
          <w:sz w:val="20"/>
          <w:szCs w:val="20"/>
          <w:color w:val="auto"/>
        </w:rPr>
      </w:pPr>
    </w:p>
    <w:p>
      <w:pPr>
        <w:ind w:left="620" w:hanging="427"/>
        <w:spacing w:after="0" w:line="262" w:lineRule="auto"/>
        <w:tabs>
          <w:tab w:leader="none" w:pos="6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Class A common stock that are issuable upon the conversion of the same number of shares of Class B common stock that are owned by MAW Management Co., a Delaware corporation (“MAW Management”). Mel A. Williams is the President, sole director, and sole stockholder of MAW Management and is deemed to hold voting and investment control of the securities held by MAW Management. MAW Management acquired all of the shares of Class B common stock in connection with the P10 Reorganization, in exchange for preferred units of P10 Intermediate Holdings originally issued to MAW Management in connection with the acquisition by the Company of TrueBridge in October 2020. MAW Management was a member of P10 Intermediate Holdings prior to the P10 Reorganization.</w:t>
      </w:r>
    </w:p>
    <w:p>
      <w:pPr>
        <w:spacing w:after="0" w:line="1" w:lineRule="exact"/>
        <w:rPr>
          <w:rFonts w:ascii="Times New Roman" w:cs="Times New Roman" w:eastAsia="Times New Roman" w:hAnsi="Times New Roman"/>
          <w:sz w:val="16"/>
          <w:szCs w:val="16"/>
          <w:color w:val="auto"/>
        </w:rPr>
      </w:pPr>
    </w:p>
    <w:p>
      <w:pPr>
        <w:ind w:left="620" w:hanging="427"/>
        <w:spacing w:after="0" w:line="260" w:lineRule="auto"/>
        <w:tabs>
          <w:tab w:leader="none" w:pos="6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Class A common stock that are issuable upon the conversion of the same number of shares of Class B common stock that are beneficially owned by the Charles K. Huebner Trust dated January 16, 2001 (the “Charles K. Huebner Trust”). Mr. Huebner has the power to direct the affairs of the Charles K. Huebner Trust as the trustee. Mr. Huebner is a managing partner and co-founder of RCP Advisors 2, LLC, RCP Advisors 3, LLC (collectively referred to as “RCP Advisors”). The Charles K. Huebner Trust acquired all of the shares of Class B common stock in connection with the P10 Reorganization, in exchange for preferred units of P10 Intermediate Holdings originally issued to the Charles K. Huebner Trust in connection with the acquisition by the Company of RCP Advisors in October 2017 and January 2018. The Charles K. Huebner Trust was a member of P10 Intermediate Holdings prior to the P10 Reorganization.</w:t>
      </w:r>
    </w:p>
    <w:p>
      <w:pPr>
        <w:spacing w:after="0" w:line="2" w:lineRule="exact"/>
        <w:rPr>
          <w:rFonts w:ascii="Times New Roman" w:cs="Times New Roman" w:eastAsia="Times New Roman" w:hAnsi="Times New Roman"/>
          <w:sz w:val="16"/>
          <w:szCs w:val="16"/>
          <w:color w:val="auto"/>
        </w:rPr>
      </w:pPr>
    </w:p>
    <w:p>
      <w:pPr>
        <w:ind w:left="620" w:right="60" w:hanging="427"/>
        <w:spacing w:after="0" w:line="277" w:lineRule="auto"/>
        <w:tabs>
          <w:tab w:leader="none" w:pos="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amount of shares set forth above consists of (i) 880,126 shares of Class A common stock that were received by William F. Souder pursuant to awards granted under the Equity Incentive Plan that have vested and (ii) 4,261,939 shares of Class A common stock that are issuable upon the conversion of the same number of shares of Class B common stock that are beneficially owned by Souder Family LLC. William F. Souder has the power to direct the affairs of Souder Family LLC as its managing member. Souder Family LLC acquired all of the shares of Class B common stock in connection with the P10 Reorganization, in exchange for preferred units of P10 Intermediate Holdings originally issued to Souder Family LLC in connection with the acquisition by the Company of RCP Advisors in October 2017 and January 2018. Souder Family LLC was a member of P10 Intermediate Holdings prior to the P10 Reorganization.</w:t>
      </w:r>
    </w:p>
    <w:p>
      <w:pPr>
        <w:spacing w:after="0" w:line="3" w:lineRule="exact"/>
        <w:rPr>
          <w:rFonts w:ascii="Times New Roman" w:cs="Times New Roman" w:eastAsia="Times New Roman" w:hAnsi="Times New Roman"/>
          <w:sz w:val="15"/>
          <w:szCs w:val="15"/>
          <w:color w:val="auto"/>
        </w:rPr>
      </w:pPr>
    </w:p>
    <w:p>
      <w:pPr>
        <w:ind w:left="620" w:hanging="427"/>
        <w:spacing w:after="0" w:line="260" w:lineRule="auto"/>
        <w:tabs>
          <w:tab w:leader="none" w:pos="6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Class A common stock that are issuable upon the conversion of the same number of shares of Class B common stock that are beneficially owned by the Jon I. Madorsky Revocable Trust dated December 1, 2008 (the “Jon I. Madorsky Revocable Trust”). Mr. Madorsky has the power to direct the affairs of the Jon I. Madorsky Revocable Trust as the trustee. Mr. Madorsky is a managing partner of RCP Advisors. The Jon I. Madorsky Revocable Trust acquired all of the shares of Class B common stock in connection with the P10 Reorganization, in exchange for preferred units of P10 Intermediate Holdings originally issued to the Jon I. Madorsky Revocable Trust in connection with the acquisition by the Company of RCP Advisors in October 2017 and January 2018. The Jon I. Madorsky Revocable Trust dated December 1, 2008 was a member of P10 Intermediate prior to the P10 Reorganization.</w:t>
      </w:r>
    </w:p>
    <w:p>
      <w:pPr>
        <w:spacing w:after="0" w:line="2" w:lineRule="exact"/>
        <w:rPr>
          <w:rFonts w:ascii="Times New Roman" w:cs="Times New Roman" w:eastAsia="Times New Roman" w:hAnsi="Times New Roman"/>
          <w:sz w:val="16"/>
          <w:szCs w:val="16"/>
          <w:color w:val="auto"/>
        </w:rPr>
      </w:pPr>
    </w:p>
    <w:p>
      <w:pPr>
        <w:ind w:left="620" w:hanging="427"/>
        <w:spacing w:after="0" w:line="260" w:lineRule="auto"/>
        <w:tabs>
          <w:tab w:leader="none" w:pos="6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Class A common stock that are issuable upon the conversion of the same number of shares of Class B common stock that are beneficially owned by the Thomas P. Danis, Jr. Revocable Living Trust (the “Trust”) dated March 10, 2003, as amended. Mr. Danis has the power to direct the affairs of the Trust as the trustee. Includes 924,820 shares of Class A common stock that are issuable upon the conversion of the same number of shares of Class B common stock that are beneficially owned by Prism 2 LLC, of which Thomas P. Danis, Jr. and his wife are co-managers, and of which the Trust is a member. Mr. Danis is a managing partner and co-founder of RCP Advisors. The Trust acquired all of the shares of Class B common stock in connection with the P10 Reorganization, in exchange for preferred units of P10 Intermediate Holdings originally issued to the Trust in connection with the acquisition by the Company of RCP Advisors in October 2017 and January 2018. The Trust was a member of P10 Intermediate prior to the P10 Reorganization.</w:t>
      </w:r>
    </w:p>
    <w:p>
      <w:pPr>
        <w:spacing w:after="0" w:line="2" w:lineRule="exact"/>
        <w:rPr>
          <w:rFonts w:ascii="Times New Roman" w:cs="Times New Roman" w:eastAsia="Times New Roman" w:hAnsi="Times New Roman"/>
          <w:sz w:val="16"/>
          <w:szCs w:val="16"/>
          <w:color w:val="auto"/>
        </w:rPr>
      </w:pPr>
    </w:p>
    <w:p>
      <w:pPr>
        <w:ind w:left="620" w:right="40" w:hanging="427"/>
        <w:spacing w:after="0" w:line="260" w:lineRule="auto"/>
        <w:tabs>
          <w:tab w:leader="none" w:pos="6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shares set forth above consists of (i) 9,867 shares of Class A common stock that were received by Ms. Blatherwick pursuant to awards granted under the Equity Incentive Plan that have vested, (ii) 184,660 shares of Class A common stock issuable upon exercise of certain stock options granted to Ms. Blatherwick pursuant to the Equity Incentive Plan, which options are fully vested and exercisable and (iii) 1,011,307 shares of Class A common stock that are issuable upon the conversion of the same number of shares of Class B common stock. Ms. Blatherwick acquired all of the shares of Class B common stock in connection with the P10 Reorganization, in exchange for preferred units of P10 Intermediate Holdings originally issued to Ms. Blatherwick in connection with the acquisition by the Company of RCP Advisors in October 2017 and January 2018. Ms. Blatherwick was a member of P10 Intermediate prior to the P10 Reorganization and is a partner and the chief compliance officer of RCP Advisors.</w:t>
      </w:r>
    </w:p>
    <w:p>
      <w:pPr>
        <w:spacing w:after="0" w:line="2" w:lineRule="exact"/>
        <w:rPr>
          <w:rFonts w:ascii="Times New Roman" w:cs="Times New Roman" w:eastAsia="Times New Roman" w:hAnsi="Times New Roman"/>
          <w:sz w:val="16"/>
          <w:szCs w:val="16"/>
          <w:color w:val="auto"/>
        </w:rPr>
      </w:pPr>
    </w:p>
    <w:p>
      <w:pPr>
        <w:ind w:left="620" w:right="20" w:hanging="427"/>
        <w:spacing w:after="0" w:line="260" w:lineRule="auto"/>
        <w:tabs>
          <w:tab w:leader="none" w:pos="6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Class A common stock that are issuable upon the conversion of the same number of shares of Class B common stock. Andrew Nelson and Laurie Nelson JTTEN acquired all of the shares of Class B common stock in connection with the P10 Reorganization, in exchange for preferred units of P10 Intermediate Holdings originally issued to Andrew Nelson and Laurie Nelson JTTEN in connection with the acquisition by the Company of RCP Advisors in October 2017 and January 2018. Andrew Nelson was a member of P10 Intermediate prior to the P10 Reorganization and is a partner and the chief financial officer of RCP Advisors.</w:t>
      </w:r>
    </w:p>
    <w:p>
      <w:pPr>
        <w:spacing w:after="0" w:line="1" w:lineRule="exact"/>
        <w:rPr>
          <w:rFonts w:ascii="Times New Roman" w:cs="Times New Roman" w:eastAsia="Times New Roman" w:hAnsi="Times New Roman"/>
          <w:sz w:val="16"/>
          <w:szCs w:val="16"/>
          <w:color w:val="auto"/>
        </w:rPr>
      </w:pPr>
    </w:p>
    <w:p>
      <w:pPr>
        <w:ind w:left="620" w:right="20" w:hanging="427"/>
        <w:spacing w:after="0" w:line="267" w:lineRule="auto"/>
        <w:tabs>
          <w:tab w:leader="none" w:pos="6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shares set forth above consists of (i) 400,000 shares of Class A common stock that were received by Mr. Abell pursuant to awards granted under the Equity Incentive Plan that have vested and (ii) 914,993 shares of Class A common stock that are issuable upon the conversion of the same number of shares of Class B common stock. Mr. Abell acquired all of the shares of Class B common stock in connection with the P10 Reorganization, in exchange for preferred units of P10 Intermediate Holdings originally issued to Mr. Abell in connection with the</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2"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9" w:lineRule="exact"/>
        <w:rPr>
          <w:sz w:val="20"/>
          <w:szCs w:val="20"/>
          <w:color w:val="auto"/>
        </w:rPr>
      </w:pPr>
    </w:p>
    <w:p>
      <w:pPr>
        <w:ind w:left="620" w:right="260"/>
        <w:spacing w:after="0" w:line="266" w:lineRule="auto"/>
        <w:rPr>
          <w:sz w:val="20"/>
          <w:szCs w:val="20"/>
          <w:color w:val="auto"/>
        </w:rPr>
      </w:pPr>
      <w:r>
        <w:rPr>
          <w:rFonts w:ascii="Times New Roman" w:cs="Times New Roman" w:eastAsia="Times New Roman" w:hAnsi="Times New Roman"/>
          <w:sz w:val="16"/>
          <w:szCs w:val="16"/>
          <w:color w:val="auto"/>
        </w:rPr>
        <w:t>acquisition by the Company of RCP Advisors in October 2017 and January 2018. Mr. Abell was a member of P10 Intermediate prior to the P10 Reorganization and is a partner of RCP Advisors.</w:t>
      </w:r>
    </w:p>
    <w:p>
      <w:pPr>
        <w:ind w:left="620" w:hanging="427"/>
        <w:spacing w:after="0" w:line="260" w:lineRule="auto"/>
        <w:tabs>
          <w:tab w:leader="none" w:pos="6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shares set forth above consists of: (i) 174,062 shares of Class A common stock and (ii) 427,197 shares of Class A common stock that are issuable upon the conversion of the same number of shares of Class B common stock. Mr. Feinglass acquired all of the shares in connection with the P10 Reorganization, in exchange for preferred units of P10 Intermediate Holdings originally issued to Mr. Feinglass in connection with the acquisition by the Company of RCP Advisors in October 2017 and January 2018. Mr. Feinglass was a member of P10 Intermediate prior to the P10 Reorganization and is a partner of RCP Advisors.</w:t>
      </w:r>
    </w:p>
    <w:p>
      <w:pPr>
        <w:spacing w:after="0" w:line="1" w:lineRule="exact"/>
        <w:rPr>
          <w:rFonts w:ascii="Times New Roman" w:cs="Times New Roman" w:eastAsia="Times New Roman" w:hAnsi="Times New Roman"/>
          <w:sz w:val="16"/>
          <w:szCs w:val="16"/>
          <w:color w:val="auto"/>
        </w:rPr>
      </w:pPr>
    </w:p>
    <w:p>
      <w:pPr>
        <w:ind w:left="620" w:right="60" w:hanging="427"/>
        <w:spacing w:after="0" w:line="265" w:lineRule="auto"/>
        <w:tabs>
          <w:tab w:leader="none" w:pos="6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shares set forth above consists of (i) 99,545 shares of Class A common stock that were received by Mr. McCoy pursuant to awards granted under the Equity Incentive Plan that have vested or that were acquired in open market purchases and (ii) 2,817,213 shares of Class A common stock that are issuable upon the conversion of the same number of shares of Class B common stock. Mr. McCoy acquired all of the shares of Class B common stock in connection with the P10 Reorganization, in exchange for preferred units of P10 Intermediate Holdings originally issued to Mr. McCoy. Mr. McCoy was a member of P10 Intermediate prior to the P10 Reorganization is a managing partner and portfolio manager of RCP Advisors’ co-investment funds.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320" w:top="452"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1" w:lineRule="exact"/>
        <w:rPr>
          <w:sz w:val="20"/>
          <w:szCs w:val="20"/>
          <w:color w:val="auto"/>
        </w:rPr>
      </w:pPr>
    </w:p>
    <w:p>
      <w:pPr>
        <w:ind w:left="200" w:right="20" w:firstLine="434"/>
        <w:spacing w:after="0" w:line="251" w:lineRule="auto"/>
        <w:rPr>
          <w:sz w:val="20"/>
          <w:szCs w:val="20"/>
          <w:color w:val="auto"/>
        </w:rPr>
      </w:pPr>
      <w:r>
        <w:rPr>
          <w:rFonts w:ascii="Times New Roman" w:cs="Times New Roman" w:eastAsia="Times New Roman" w:hAnsi="Times New Roman"/>
          <w:sz w:val="18"/>
          <w:szCs w:val="18"/>
          <w:color w:val="auto"/>
        </w:rPr>
        <w:t>We are registering the resale by the Selling Stockholders or their permitted transferees from time to time of up to 56,553,931 shares of our Class A common stock, which includes: (i) 4,572,455 shares of Class A common stock held directly or indirectly by certain Selling Stockholders; (ii) up to 50,667,351 shares of Class A common stock issuable upon conversion of shares of our Class B common stock held directly or indirectly by certain Selling Stockholders; (iii) up to 442,064 shares of Class A common stock issuable upon vesting and settlement of restricted stock units held directly or indirectly by certain Selling Stockholders; (iv) up to 21,875 shares of Class A common stock that were issued as shares of restricted stock to a Selling Stockholder and remain subject to vesting; and (v) up to 850,186 shares of Class A common stock issuable upon exercise of stock options held directly or indirectly by certain Selling Stockholders.</w:t>
      </w:r>
    </w:p>
    <w:p>
      <w:pPr>
        <w:spacing w:after="0" w:line="189" w:lineRule="exact"/>
        <w:rPr>
          <w:sz w:val="20"/>
          <w:szCs w:val="20"/>
          <w:color w:val="auto"/>
        </w:rPr>
      </w:pPr>
    </w:p>
    <w:p>
      <w:pPr>
        <w:jc w:val="both"/>
        <w:ind w:left="200" w:right="320" w:firstLine="434"/>
        <w:spacing w:after="0" w:line="306" w:lineRule="auto"/>
        <w:rPr>
          <w:sz w:val="20"/>
          <w:szCs w:val="20"/>
          <w:color w:val="auto"/>
        </w:rPr>
      </w:pPr>
      <w:r>
        <w:rPr>
          <w:rFonts w:ascii="Times New Roman" w:cs="Times New Roman" w:eastAsia="Times New Roman" w:hAnsi="Times New Roman"/>
          <w:sz w:val="17"/>
          <w:szCs w:val="17"/>
          <w:color w:val="auto"/>
        </w:rPr>
        <w:t>We will pay all fees and expenses incident to the registration of the shares of the Class A common stock to be offered and sold pursuant to this prospectus. The Selling Stockholders will bear all commissions and discounts, if any, attributable to the sale of shares of the Class A common stock.</w:t>
      </w:r>
    </w:p>
    <w:p>
      <w:pPr>
        <w:spacing w:after="0" w:line="140" w:lineRule="exact"/>
        <w:rPr>
          <w:sz w:val="20"/>
          <w:szCs w:val="20"/>
          <w:color w:val="auto"/>
        </w:rPr>
      </w:pPr>
    </w:p>
    <w:p>
      <w:pPr>
        <w:ind w:left="200" w:right="180" w:firstLine="434"/>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of the Class A common stock by the Selling Stockholders. The aggregate proceeds to the Selling Stockholders will be the purchase price of the Class A common stock less any discounts and commissions borne by the Selling Stockholders.</w:t>
      </w:r>
    </w:p>
    <w:p>
      <w:pPr>
        <w:spacing w:after="0" w:line="177" w:lineRule="exact"/>
        <w:rPr>
          <w:sz w:val="20"/>
          <w:szCs w:val="20"/>
          <w:color w:val="auto"/>
        </w:rPr>
      </w:pPr>
    </w:p>
    <w:p>
      <w:pPr>
        <w:ind w:left="200" w:right="120" w:firstLine="434"/>
        <w:spacing w:after="0" w:line="251"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Stockholders covered by this prospectus may be offered and sold from time to time by the Selling Stockholders. The term “Selling Stockholders” includes donees, pledgees, transferees or other successors in interest selling shares of the Class A common stock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Stockholders may sell the shares of Class A common stock by one or more of, or a combination of, the following methods:</w:t>
      </w:r>
    </w:p>
    <w:p>
      <w:pPr>
        <w:spacing w:after="0" w:line="95" w:lineRule="exact"/>
        <w:rPr>
          <w:sz w:val="20"/>
          <w:szCs w:val="20"/>
          <w:color w:val="auto"/>
        </w:rPr>
      </w:pPr>
    </w:p>
    <w:p>
      <w:pPr>
        <w:ind w:left="1160" w:hanging="435"/>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25"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25" w:lineRule="exact"/>
        <w:rPr>
          <w:rFonts w:ascii="Times New Roman" w:cs="Times New Roman" w:eastAsia="Times New Roman" w:hAnsi="Times New Roman"/>
          <w:sz w:val="18"/>
          <w:szCs w:val="18"/>
          <w:color w:val="auto"/>
        </w:rPr>
      </w:pPr>
    </w:p>
    <w:p>
      <w:pPr>
        <w:ind w:left="1160" w:hanging="435"/>
        <w:spacing w:after="0" w:line="276"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69" w:lineRule="exact"/>
        <w:rPr>
          <w:rFonts w:ascii="Times New Roman" w:cs="Times New Roman" w:eastAsia="Times New Roman" w:hAnsi="Times New Roman"/>
          <w:sz w:val="18"/>
          <w:szCs w:val="18"/>
          <w:color w:val="auto"/>
        </w:rPr>
      </w:pPr>
    </w:p>
    <w:p>
      <w:pPr>
        <w:jc w:val="both"/>
        <w:ind w:left="1160" w:right="320" w:hanging="435"/>
        <w:spacing w:after="0" w:line="256"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the Selling Stockholders pursuant to Rule 10b5-1 under the Exchange Act, that are in place at the time of an offering pursuant to this prospectus and any applicable prospectus supplement hereto that provide for periodic sales of their securities on the basis of parameters described in such trading plans, including the “Rule 10b5-1 trading arrangement” (as such term is defined in Item 408(a) of Regulation S-K) adopted by 210/P10 Acquisition Partners, LLC on December 10, 2023;</w:t>
      </w:r>
    </w:p>
    <w:p>
      <w:pPr>
        <w:spacing w:after="0" w:line="88"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25" w:lineRule="exact"/>
        <w:rPr>
          <w:rFonts w:ascii="Times New Roman" w:cs="Times New Roman" w:eastAsia="Times New Roman" w:hAnsi="Times New Roman"/>
          <w:sz w:val="18"/>
          <w:szCs w:val="18"/>
          <w:color w:val="auto"/>
        </w:rPr>
      </w:pPr>
    </w:p>
    <w:p>
      <w:pPr>
        <w:ind w:left="1160" w:right="80" w:hanging="435"/>
        <w:spacing w:after="0" w:line="261"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3"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25"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40"/>
          </w:cols>
          <w:pgMar w:left="320" w:top="452"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4" w:lineRule="exact"/>
        <w:rPr>
          <w:sz w:val="20"/>
          <w:szCs w:val="20"/>
          <w:color w:val="auto"/>
        </w:rPr>
      </w:pPr>
    </w:p>
    <w:p>
      <w:pPr>
        <w:ind w:left="1160" w:hanging="435"/>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25"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addition, any securities that qualify for sale pursuant to Rule 144 may be sold under Rule 144 rather than pursuant to this prospectus.</w:t>
      </w:r>
    </w:p>
    <w:p>
      <w:pPr>
        <w:spacing w:after="0" w:line="219" w:lineRule="exact"/>
        <w:rPr>
          <w:sz w:val="20"/>
          <w:szCs w:val="20"/>
          <w:color w:val="auto"/>
        </w:rPr>
      </w:pPr>
    </w:p>
    <w:p>
      <w:pPr>
        <w:ind w:left="200" w:firstLine="434"/>
        <w:spacing w:after="0" w:line="267"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 In connection with distributions of the securities or otherwise, the Selling Stockholders may enter into hedging transactions with broker-dealers or other financial institutions. In connection with such transactions, broker-dealers or other financial institutions may engage in short sales of our securities in the course of hedging the positions they assume with the Selling Stockholders. The Selling Stockholders may also sell our securities short and redeliver the shares to close out such short positions. The Selling Stockholders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3" w:lineRule="exact"/>
        <w:rPr>
          <w:sz w:val="20"/>
          <w:szCs w:val="20"/>
          <w:color w:val="auto"/>
        </w:rPr>
      </w:pPr>
    </w:p>
    <w:p>
      <w:pPr>
        <w:ind w:left="200" w:firstLine="434"/>
        <w:spacing w:after="0" w:line="267" w:lineRule="auto"/>
        <w:rPr>
          <w:sz w:val="20"/>
          <w:szCs w:val="20"/>
          <w:color w:val="auto"/>
        </w:rPr>
      </w:pPr>
      <w:r>
        <w:rPr>
          <w:rFonts w:ascii="Times New Roman" w:cs="Times New Roman" w:eastAsia="Times New Roman" w:hAnsi="Times New Roman"/>
          <w:sz w:val="17"/>
          <w:szCs w:val="17"/>
          <w:color w:val="auto"/>
        </w:rPr>
        <w:t>The Selling Stockholders may enter into derivative transactions with third parties, or sell securities not covered by this prospectus to third parties in privately negotiated transactions. If an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Stockholders or borrowed from the Selling Stockholders or others to settle those sales or to close out any related open borrowings of securities, and may use securities received from the Selling Stockholders in settlement of those derivatives to close out any related open borrowings of securities. If applicable through securities laws, the third party in such sale transactions will be an underwriter and will be identified in the applicable prospectus supplement (or a post-effective amendment). In addition,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73" w:lineRule="exact"/>
        <w:rPr>
          <w:sz w:val="20"/>
          <w:szCs w:val="20"/>
          <w:color w:val="auto"/>
        </w:rPr>
      </w:pPr>
    </w:p>
    <w:p>
      <w:pPr>
        <w:ind w:left="200" w:firstLine="434"/>
        <w:spacing w:after="0" w:line="306"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40" w:lineRule="exact"/>
        <w:rPr>
          <w:sz w:val="20"/>
          <w:szCs w:val="20"/>
          <w:color w:val="auto"/>
        </w:rPr>
      </w:pPr>
    </w:p>
    <w:p>
      <w:pPr>
        <w:ind w:left="200" w:right="240" w:firstLine="434"/>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77" w:lineRule="exact"/>
        <w:rPr>
          <w:sz w:val="20"/>
          <w:szCs w:val="20"/>
          <w:color w:val="auto"/>
        </w:rPr>
      </w:pPr>
    </w:p>
    <w:p>
      <w:pPr>
        <w:ind w:left="200" w:right="120" w:firstLine="434"/>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7" w:lineRule="exact"/>
        <w:rPr>
          <w:sz w:val="20"/>
          <w:szCs w:val="20"/>
          <w:color w:val="auto"/>
        </w:rPr>
      </w:pPr>
    </w:p>
    <w:p>
      <w:pPr>
        <w:ind w:left="200" w:right="80" w:firstLine="434"/>
        <w:spacing w:after="0" w:line="261"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securities in the market and to the activities of the Selling Stockholders and their affiliates. In addition, we will make copies of this prospectus available to the Selling Stockholders for the</w:t>
      </w:r>
    </w:p>
    <w:p>
      <w:pPr>
        <w:spacing w:after="0" w:line="1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40"/>
          </w:cols>
          <w:pgMar w:left="320" w:top="452"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4" w:lineRule="exact"/>
        <w:rPr>
          <w:sz w:val="20"/>
          <w:szCs w:val="20"/>
          <w:color w:val="auto"/>
        </w:rPr>
      </w:pPr>
    </w:p>
    <w:p>
      <w:pPr>
        <w:ind w:left="200" w:right="460"/>
        <w:spacing w:after="0" w:line="306" w:lineRule="auto"/>
        <w:rPr>
          <w:sz w:val="20"/>
          <w:szCs w:val="20"/>
          <w:color w:val="auto"/>
        </w:rPr>
      </w:pPr>
      <w:r>
        <w:rPr>
          <w:rFonts w:ascii="Times New Roman" w:cs="Times New Roman" w:eastAsia="Times New Roman" w:hAnsi="Times New Roman"/>
          <w:sz w:val="17"/>
          <w:szCs w:val="17"/>
          <w:color w:val="auto"/>
        </w:rPr>
        <w:t>purpose of satisfying the prospectus delivery requirements of the Securities Act. The Selling Stockholders may indemnify any broker-dealer that participates in transactions involving the sale of the securities against certain liabilities, including liabilities arising under the Securities Act.</w:t>
      </w:r>
    </w:p>
    <w:p>
      <w:pPr>
        <w:spacing w:after="0" w:line="140"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post-effective amendment or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52"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1"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being offered by this prospectus will be passed upon by Kramer Levin Naftalis &amp; Frankel LLP.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1" w:lineRule="exact"/>
        <w:rPr>
          <w:sz w:val="20"/>
          <w:szCs w:val="20"/>
          <w:color w:val="auto"/>
        </w:rPr>
      </w:pPr>
    </w:p>
    <w:p>
      <w:pPr>
        <w:jc w:val="both"/>
        <w:ind w:left="200" w:right="300" w:firstLine="43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P10, Inc. as of December 31, 2023 and 2022, and for each of the years in the three-year period ended December 31, 2023, have been incorporated by reference herein in reliance upon the report of KPMG LLP, independent registered public accounting firm, incorporated by reference herein, and upon the authority of said firm as experts in accounting and auditing.</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1"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and we have filed with the SEC a registration statement on Form S-1 under the Securities Act of 1933, as amended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Our filings are available to the public on the Internet, through a database maintained by the SEC at www.sec.gov. Our filings are also available, free of charge, on our website at www.P10alts.com.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52"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1" w:lineRule="exact"/>
        <w:rPr>
          <w:sz w:val="20"/>
          <w:szCs w:val="20"/>
          <w:color w:val="auto"/>
        </w:rPr>
      </w:pPr>
    </w:p>
    <w:p>
      <w:pPr>
        <w:ind w:left="200" w:right="20" w:firstLine="434"/>
        <w:spacing w:after="0" w:line="283"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 The rules of the SEC allow us to “incorporate by reference” information into this prospectus. This means that we can disclose important information about us and our financial condition to you by referring you to other documents filed separately with the SEC. The information incorporated by reference is considered to be a part of this prospectus.</w:t>
      </w:r>
    </w:p>
    <w:p>
      <w:pPr>
        <w:spacing w:after="0" w:line="160" w:lineRule="exact"/>
        <w:rPr>
          <w:sz w:val="20"/>
          <w:szCs w:val="20"/>
          <w:color w:val="auto"/>
        </w:rPr>
      </w:pPr>
    </w:p>
    <w:p>
      <w:pPr>
        <w:ind w:left="200" w:right="400" w:firstLine="434"/>
        <w:spacing w:after="0" w:line="276"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that we have previously filed with the SEC (other than documents and information furnished to, and not filed with, the SEC) in accordance with SEC rules, unless expressly stated otherwise therein):</w:t>
      </w:r>
    </w:p>
    <w:p>
      <w:pPr>
        <w:spacing w:after="0" w:line="70" w:lineRule="exact"/>
        <w:rPr>
          <w:sz w:val="20"/>
          <w:szCs w:val="20"/>
          <w:color w:val="auto"/>
        </w:rPr>
      </w:pPr>
    </w:p>
    <w:p>
      <w:pPr>
        <w:ind w:left="1160" w:hanging="435"/>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on March 13, 2024;</w:t>
      </w:r>
    </w:p>
    <w:p>
      <w:pPr>
        <w:spacing w:after="0" w:line="125"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2024, filed on May 9, 2024;</w:t>
      </w:r>
    </w:p>
    <w:p>
      <w:pPr>
        <w:spacing w:after="0" w:line="125"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44">
        <w:r>
          <w:rPr>
            <w:rFonts w:ascii="Times New Roman" w:cs="Times New Roman" w:eastAsia="Times New Roman" w:hAnsi="Times New Roman"/>
            <w:sz w:val="18"/>
            <w:szCs w:val="18"/>
            <w:u w:val="single" w:color="auto"/>
            <w:color w:val="0000EE"/>
          </w:rPr>
          <w:t>February 9, 2024</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April 22, 2024</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May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7">
        <w:r>
          <w:rPr>
            <w:rFonts w:ascii="Times New Roman" w:cs="Times New Roman" w:eastAsia="Times New Roman" w:hAnsi="Times New Roman"/>
            <w:sz w:val="18"/>
            <w:szCs w:val="18"/>
            <w:u w:val="single" w:color="auto"/>
            <w:color w:val="0000EE"/>
          </w:rPr>
          <w:t>June 17, 2024</w:t>
        </w:r>
      </w:hyperlink>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48">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24, 2024; and</w:t>
      </w:r>
    </w:p>
    <w:p>
      <w:pPr>
        <w:spacing w:after="0" w:line="125" w:lineRule="exact"/>
        <w:rPr>
          <w:rFonts w:ascii="Times New Roman" w:cs="Times New Roman" w:eastAsia="Times New Roman" w:hAnsi="Times New Roman"/>
          <w:sz w:val="18"/>
          <w:szCs w:val="18"/>
          <w:color w:val="auto"/>
        </w:rPr>
      </w:pPr>
    </w:p>
    <w:p>
      <w:pPr>
        <w:ind w:left="1160" w:hanging="435"/>
        <w:spacing w:after="0" w:line="276"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included in the Company’s Registration Statement on </w:t>
      </w:r>
      <w:hyperlink r:id="rId4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Exchange Act filed with the SEC on October 19, 2021, including any amendment or report filed for the purpose of updating such description.</w:t>
      </w:r>
    </w:p>
    <w:p>
      <w:pPr>
        <w:spacing w:after="0" w:line="163" w:lineRule="exact"/>
        <w:rPr>
          <w:rFonts w:ascii="Times New Roman" w:cs="Times New Roman" w:eastAsia="Times New Roman" w:hAnsi="Times New Roman"/>
          <w:sz w:val="18"/>
          <w:szCs w:val="18"/>
          <w:color w:val="auto"/>
        </w:rPr>
      </w:pPr>
    </w:p>
    <w:p>
      <w:pPr>
        <w:ind w:left="200" w:right="60" w:firstLine="434"/>
        <w:spacing w:after="0" w:line="254" w:lineRule="auto"/>
        <w:rPr>
          <w:sz w:val="20"/>
          <w:szCs w:val="20"/>
          <w:color w:val="auto"/>
        </w:rPr>
      </w:pPr>
      <w:r>
        <w:rPr>
          <w:rFonts w:ascii="Times New Roman" w:cs="Times New Roman" w:eastAsia="Times New Roman" w:hAnsi="Times New Roman"/>
          <w:sz w:val="18"/>
          <w:szCs w:val="18"/>
          <w:color w:val="auto"/>
        </w:rPr>
        <w:t>Any statement made in this prospectus or contained in a document all or a portion of which is incorporated by reference herein will be deemed to be modified or superseded to the extent that a statement contained herein or in any subsequent prospectus supplement to this prospectus or, if appropriate, post-effective amendment to the registration statement that includes this prospectus, modifies or supersedes such statement. Any statement so modified will not be deemed to constitute a part hereof, except as so modified, and any statement so superseded will not be deemed to constitute a part hereof.</w:t>
      </w:r>
    </w:p>
    <w:p>
      <w:pPr>
        <w:spacing w:after="0" w:line="181" w:lineRule="exact"/>
        <w:rPr>
          <w:rFonts w:ascii="Times New Roman" w:cs="Times New Roman" w:eastAsia="Times New Roman" w:hAnsi="Times New Roman"/>
          <w:sz w:val="18"/>
          <w:szCs w:val="18"/>
          <w:color w:val="auto"/>
        </w:rPr>
      </w:pPr>
    </w:p>
    <w:p>
      <w:pPr>
        <w:ind w:left="200" w:right="540" w:firstLine="434"/>
        <w:spacing w:after="0" w:line="278" w:lineRule="auto"/>
        <w:rPr>
          <w:sz w:val="20"/>
          <w:szCs w:val="20"/>
          <w:color w:val="auto"/>
        </w:rPr>
      </w:pPr>
      <w:r>
        <w:rPr>
          <w:rFonts w:ascii="Times New Roman" w:cs="Times New Roman" w:eastAsia="Times New Roman" w:hAnsi="Times New Roman"/>
          <w:sz w:val="18"/>
          <w:szCs w:val="18"/>
          <w:color w:val="auto"/>
        </w:rPr>
        <w:t>You may read and copy any materials we file with the SEC at the SEC’s website mentioned under the heading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The information on the SEC’s website is not incorporated by reference in this prospectus.</w:t>
      </w:r>
    </w:p>
    <w:p>
      <w:pPr>
        <w:spacing w:after="0" w:line="161" w:lineRule="exact"/>
        <w:rPr>
          <w:rFonts w:ascii="Times New Roman" w:cs="Times New Roman" w:eastAsia="Times New Roman" w:hAnsi="Times New Roman"/>
          <w:sz w:val="18"/>
          <w:szCs w:val="18"/>
          <w:color w:val="auto"/>
        </w:rPr>
      </w:pPr>
    </w:p>
    <w:p>
      <w:pPr>
        <w:ind w:left="200" w:right="300" w:firstLine="434"/>
        <w:spacing w:after="0" w:line="276" w:lineRule="auto"/>
        <w:rPr>
          <w:sz w:val="20"/>
          <w:szCs w:val="20"/>
          <w:color w:val="auto"/>
        </w:rPr>
      </w:pPr>
      <w:r>
        <w:rPr>
          <w:rFonts w:ascii="Times New Roman" w:cs="Times New Roman" w:eastAsia="Times New Roman" w:hAnsi="Times New Roman"/>
          <w:sz w:val="18"/>
          <w:szCs w:val="18"/>
          <w:color w:val="auto"/>
        </w:rPr>
        <w:t>A copy of any document incorporated by reference in this prospectus may be obtained at no cost by writing or telephoning us at the following address and telephone number:</w:t>
      </w:r>
    </w:p>
    <w:p>
      <w:pPr>
        <w:spacing w:after="0" w:line="163"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P10, Inc.</w:t>
      </w:r>
    </w:p>
    <w:p>
      <w:pPr>
        <w:spacing w:after="0" w:line="25"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6"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Dallas, Texas 75205</w:t>
      </w:r>
    </w:p>
    <w:p>
      <w:pPr>
        <w:spacing w:after="0" w:line="6"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Attention: Amanda Coussens</w:t>
      </w:r>
    </w:p>
    <w:p>
      <w:pPr>
        <w:spacing w:after="0" w:line="6"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(214) 865-7998</w:t>
      </w:r>
    </w:p>
    <w:p>
      <w:pPr>
        <w:spacing w:after="0" w:line="200" w:lineRule="exact"/>
        <w:rPr>
          <w:rFonts w:ascii="Times New Roman" w:cs="Times New Roman" w:eastAsia="Times New Roman" w:hAnsi="Times New Roman"/>
          <w:sz w:val="18"/>
          <w:szCs w:val="18"/>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We maintain a website at www.P10alts.com.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w:t>
      </w:r>
    </w:p>
    <w:p>
      <w:pPr>
        <w:spacing w:after="0" w:line="115"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320" w:top="452" w:right="5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243840</wp:posOffset>
            </wp:positionV>
            <wp:extent cx="6897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897370" cy="1714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294640</wp:posOffset>
            </wp:positionV>
            <wp:extent cx="6897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6897370" cy="8255"/>
                    </a:xfrm>
                    <a:prstGeom prst="rect">
                      <a:avLst/>
                    </a:prstGeom>
                    <a:noFill/>
                  </pic:spPr>
                </pic:pic>
              </a:graphicData>
            </a:graphic>
          </wp:anchor>
        </w:drawing>
      </w:r>
    </w:p>
    <w:p>
      <w:pPr>
        <w:sectPr>
          <w:pgSz w:w="11900" w:h="16838" w:orient="portrait"/>
          <w:cols w:equalWidth="0" w:num="1">
            <w:col w:w="10139"/>
          </w:cols>
          <w:pgMar w:left="320" w:top="4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56,553,931</w:t>
      </w:r>
    </w:p>
    <w:p>
      <w:pPr>
        <w:spacing w:after="0" w:line="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Shares of</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Class A Common Stock</w:t>
      </w:r>
    </w:p>
    <w:p>
      <w:pPr>
        <w:spacing w:after="0" w:line="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by Selling</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1107440</wp:posOffset>
            </wp:positionV>
            <wp:extent cx="1454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236220</wp:posOffset>
            </wp:positionV>
            <wp:extent cx="1454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1698625</wp:posOffset>
            </wp:positionV>
            <wp:extent cx="6897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6897370" cy="825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1766570</wp:posOffset>
            </wp:positionV>
            <wp:extent cx="6897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6897370" cy="17145"/>
                    </a:xfrm>
                    <a:prstGeom prst="rect">
                      <a:avLst/>
                    </a:prstGeom>
                    <a:noFill/>
                  </pic:spPr>
                </pic:pic>
              </a:graphicData>
            </a:graphic>
          </wp:anchor>
        </w:drawing>
      </w:r>
    </w:p>
    <w:p>
      <w:pPr>
        <w:sectPr>
          <w:pgSz w:w="11900" w:h="16838" w:orient="portrait"/>
          <w:cols w:equalWidth="0" w:num="1">
            <w:col w:w="10139"/>
          </w:cols>
          <w:pgMar w:left="320" w:top="452"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4" w:lineRule="exact"/>
        <w:rPr>
          <w:sz w:val="20"/>
          <w:szCs w:val="20"/>
          <w:color w:val="auto"/>
        </w:rPr>
      </w:pPr>
    </w:p>
    <w:p>
      <w:pPr>
        <w:ind w:left="200" w:right="700" w:firstLine="434"/>
        <w:spacing w:after="0" w:line="276"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us) that we may incur in connection with the securities being registered hereby.</w:t>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6"/>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82,847.55</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5" w:lineRule="exact"/>
        <w:rPr>
          <w:sz w:val="20"/>
          <w:szCs w:val="20"/>
          <w:color w:val="auto"/>
        </w:rPr>
      </w:pPr>
    </w:p>
    <w:p>
      <w:pPr>
        <w:ind w:left="400" w:right="360" w:hanging="207"/>
        <w:spacing w:after="0" w:line="276" w:lineRule="auto"/>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expenses are not presently known. To the extent required, any applicable prospectus supplement will set forth the estimated aggregate amount of expenses payable in respect of any offering of securities.</w:t>
      </w: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14" w:lineRule="exact"/>
        <w:rPr>
          <w:sz w:val="20"/>
          <w:szCs w:val="20"/>
          <w:color w:val="auto"/>
        </w:rPr>
      </w:pPr>
    </w:p>
    <w:p>
      <w:pPr>
        <w:ind w:left="200" w:firstLine="434"/>
        <w:spacing w:after="0" w:line="268" w:lineRule="auto"/>
        <w:rPr>
          <w:sz w:val="20"/>
          <w:szCs w:val="20"/>
          <w:color w:val="auto"/>
        </w:rPr>
      </w:pPr>
      <w:r>
        <w:rPr>
          <w:rFonts w:ascii="Times New Roman" w:cs="Times New Roman" w:eastAsia="Times New Roman" w:hAnsi="Times New Roman"/>
          <w:sz w:val="17"/>
          <w:szCs w:val="17"/>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76" w:lineRule="exact"/>
        <w:rPr>
          <w:sz w:val="20"/>
          <w:szCs w:val="20"/>
          <w:color w:val="auto"/>
        </w:rPr>
      </w:pPr>
    </w:p>
    <w:p>
      <w:pPr>
        <w:ind w:left="200" w:firstLine="434"/>
        <w:spacing w:after="0" w:line="267" w:lineRule="auto"/>
        <w:rPr>
          <w:sz w:val="20"/>
          <w:szCs w:val="20"/>
          <w:color w:val="auto"/>
        </w:rPr>
      </w:pPr>
      <w:r>
        <w:rPr>
          <w:rFonts w:ascii="Times New Roman" w:cs="Times New Roman" w:eastAsia="Times New Roman" w:hAnsi="Times New Roman"/>
          <w:sz w:val="17"/>
          <w:szCs w:val="17"/>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73"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320" w:top="452" w:right="5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4" w:lineRule="exact"/>
        <w:rPr>
          <w:sz w:val="20"/>
          <w:szCs w:val="20"/>
          <w:color w:val="auto"/>
        </w:rPr>
      </w:pPr>
    </w:p>
    <w:p>
      <w:pPr>
        <w:ind w:left="200" w:right="60" w:firstLine="434"/>
        <w:spacing w:after="0" w:line="276" w:lineRule="auto"/>
        <w:rPr>
          <w:sz w:val="20"/>
          <w:szCs w:val="20"/>
          <w:color w:val="auto"/>
        </w:rPr>
      </w:pPr>
      <w:r>
        <w:rPr>
          <w:rFonts w:ascii="Times New Roman" w:cs="Times New Roman" w:eastAsia="Times New Roman" w:hAnsi="Times New Roman"/>
          <w:sz w:val="18"/>
          <w:szCs w:val="18"/>
          <w:color w:val="auto"/>
        </w:rPr>
        <w:t>Additionally, our Charter eliminates our directors’ liability to the fullest extent permitted under the DGCL. The DGCL provides that directors of a corporation will not be personally liable for monetary damages for breach of their fiduciary duties as directors, except for liability for:</w:t>
      </w:r>
    </w:p>
    <w:p>
      <w:pPr>
        <w:spacing w:after="0" w:line="70" w:lineRule="exact"/>
        <w:rPr>
          <w:sz w:val="20"/>
          <w:szCs w:val="20"/>
          <w:color w:val="auto"/>
        </w:rPr>
      </w:pPr>
    </w:p>
    <w:p>
      <w:pPr>
        <w:ind w:left="1160" w:hanging="435"/>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his duty of loyalty to us or our stockholders;</w:t>
      </w:r>
    </w:p>
    <w:p>
      <w:pPr>
        <w:spacing w:after="0" w:line="125"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25" w:lineRule="exact"/>
        <w:rPr>
          <w:rFonts w:ascii="Times New Roman" w:cs="Times New Roman" w:eastAsia="Times New Roman" w:hAnsi="Times New Roman"/>
          <w:sz w:val="18"/>
          <w:szCs w:val="18"/>
          <w:color w:val="auto"/>
        </w:rPr>
      </w:pPr>
    </w:p>
    <w:p>
      <w:pPr>
        <w:ind w:left="1160" w:right="80" w:hanging="435"/>
        <w:spacing w:after="0" w:line="276"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General Corporation Law of the State of Delaware; or</w:t>
      </w:r>
    </w:p>
    <w:p>
      <w:pPr>
        <w:spacing w:after="0" w:line="69"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 or improper distributions to stockholders.</w:t>
      </w:r>
    </w:p>
    <w:p>
      <w:pPr>
        <w:spacing w:after="0" w:line="219" w:lineRule="exact"/>
        <w:rPr>
          <w:sz w:val="20"/>
          <w:szCs w:val="20"/>
          <w:color w:val="auto"/>
        </w:rPr>
      </w:pPr>
    </w:p>
    <w:p>
      <w:pPr>
        <w:ind w:left="200" w:right="360" w:firstLine="434"/>
        <w:spacing w:after="0" w:line="276" w:lineRule="auto"/>
        <w:rPr>
          <w:sz w:val="20"/>
          <w:szCs w:val="20"/>
          <w:color w:val="auto"/>
        </w:rPr>
      </w:pPr>
      <w:r>
        <w:rPr>
          <w:rFonts w:ascii="Times New Roman" w:cs="Times New Roman" w:eastAsia="Times New Roman" w:hAnsi="Times New Roman"/>
          <w:sz w:val="18"/>
          <w:szCs w:val="18"/>
          <w:color w:val="auto"/>
        </w:rPr>
        <w:t>If the DGCL is amended to authorize corporate action eliminating or further limiting the personal liability of directors, then the liability of the Company’s directors will be eliminated or limited to the fullest extent permitted by the DGCL, as so amended.</w:t>
      </w:r>
    </w:p>
    <w:p>
      <w:pPr>
        <w:spacing w:after="0" w:line="163" w:lineRule="exact"/>
        <w:rPr>
          <w:sz w:val="20"/>
          <w:szCs w:val="20"/>
          <w:color w:val="auto"/>
        </w:rPr>
      </w:pPr>
    </w:p>
    <w:p>
      <w:pPr>
        <w:ind w:left="200" w:right="300" w:firstLine="434"/>
        <w:spacing w:after="0" w:line="283" w:lineRule="auto"/>
        <w:rPr>
          <w:sz w:val="20"/>
          <w:szCs w:val="20"/>
          <w:color w:val="auto"/>
        </w:rPr>
      </w:pPr>
      <w:r>
        <w:rPr>
          <w:rFonts w:ascii="Times New Roman" w:cs="Times New Roman" w:eastAsia="Times New Roman" w:hAnsi="Times New Roman"/>
          <w:sz w:val="17"/>
          <w:szCs w:val="17"/>
          <w:color w:val="auto"/>
        </w:rPr>
        <w:t>In addition, we have entered into separate indemnification agreements with our directors and officers. These agreements, among other things, require us to indemnify our directors and officers for certain expenses, including attorneys’ fees, judgments, fines, ERISA excise taxes, penalties and amounts paid in settlement by or on behalf of the indemnitee actually and reasonably incurred by such indemnitee in connection therewith.</w:t>
      </w:r>
    </w:p>
    <w:p>
      <w:pPr>
        <w:spacing w:after="0" w:line="160"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The foregoing summaries are subject to the text of the DGCL, the registrant’s amended and restated certificate of incorporation and amended and restated bylaws, and the indemnification agreements referred to above, and are qualified in their entirety by reference thereto.</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4" w:lineRule="exact"/>
        <w:rPr>
          <w:sz w:val="20"/>
          <w:szCs w:val="20"/>
          <w:color w:val="auto"/>
        </w:rPr>
      </w:pPr>
    </w:p>
    <w:p>
      <w:pPr>
        <w:ind w:left="200" w:firstLine="434"/>
        <w:spacing w:after="0" w:line="265" w:lineRule="auto"/>
        <w:rPr>
          <w:sz w:val="20"/>
          <w:szCs w:val="20"/>
          <w:color w:val="auto"/>
        </w:rPr>
      </w:pPr>
      <w:r>
        <w:rPr>
          <w:rFonts w:ascii="Times New Roman" w:cs="Times New Roman" w:eastAsia="Times New Roman" w:hAnsi="Times New Roman"/>
          <w:sz w:val="17"/>
          <w:szCs w:val="17"/>
          <w:color w:val="auto"/>
        </w:rPr>
        <w:t>On October 20, 2021, in connection with our initial public offering, the Company undertook certain transactions as part of the P10 Reorganization, pursuant to which, among other things, P10 Intermediate Holdings, a subsidiary of P10 Holdings in which P10 Holdings owned all of the outstanding common units and in which members of the Company’s management, including employees, and other investors, owned preferred units, with P10 Intermediate Holdings surviving. In connection with this transaction, the Company issued an aggregate of 97,155,596 shares of the Company’s Class B common, with the preferred unit holders received Class B common stock of the Company in exchange for their preferred units, on a 1-for-1 basis (one share of Class B common stock for each preferred unit). Holders of Class B common stock may elect to convert shares of Class B common stock on</w:t>
      </w:r>
    </w:p>
    <w:p>
      <w:pPr>
        <w:spacing w:after="0" w:line="2" w:lineRule="exact"/>
        <w:rPr>
          <w:sz w:val="20"/>
          <w:szCs w:val="20"/>
          <w:color w:val="auto"/>
        </w:rPr>
      </w:pPr>
    </w:p>
    <w:p>
      <w:pPr>
        <w:ind w:left="200" w:right="120"/>
        <w:spacing w:after="0" w:line="248" w:lineRule="auto"/>
        <w:rPr>
          <w:sz w:val="20"/>
          <w:szCs w:val="20"/>
          <w:color w:val="auto"/>
        </w:rPr>
      </w:pPr>
      <w:r>
        <w:rPr>
          <w:rFonts w:ascii="Times New Roman" w:cs="Times New Roman" w:eastAsia="Times New Roman" w:hAnsi="Times New Roman"/>
          <w:sz w:val="18"/>
          <w:szCs w:val="18"/>
          <w:color w:val="auto"/>
        </w:rPr>
        <w:t>a one-for-one basis into Class A common stock at any time. After a Sunset (as defined below) becomes effective, each share of Class B common stock will automatically convert into Class A common stock. A “Sunset” is triggered by any of the earlier of the following: (i) the Sunset Holders (as defined in the Company’s amended and restated certificate of incorporation)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Company’s amended and restated certificate of incorporation.</w:t>
      </w:r>
    </w:p>
    <w:p>
      <w:pPr>
        <w:spacing w:after="0" w:line="188"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On October 13, 2022, P10 Intermediate and the Company completed the acquisition (the “Acquisition”) of all of the issued and outstanding membership interests of WTI, in accordance with the terms and conditions of the and Purchase Agreement, dated August 25, 2022 (the “Sale and Purchase Agreement”). The purchase price paid at the closing of the Acquisition, which was subject to certain customary closing adjustments, consisted of</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60"/>
          </w:cols>
          <w:pgMar w:left="320" w:top="452"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4" w:lineRule="exact"/>
        <w:rPr>
          <w:sz w:val="20"/>
          <w:szCs w:val="20"/>
          <w:color w:val="auto"/>
        </w:rPr>
      </w:pPr>
    </w:p>
    <w:p>
      <w:pPr>
        <w:ind w:left="200" w:right="40"/>
        <w:spacing w:after="0" w:line="250" w:lineRule="auto"/>
        <w:rPr>
          <w:sz w:val="20"/>
          <w:szCs w:val="20"/>
          <w:color w:val="auto"/>
        </w:rPr>
      </w:pPr>
      <w:r>
        <w:rPr>
          <w:rFonts w:ascii="Times New Roman" w:cs="Times New Roman" w:eastAsia="Times New Roman" w:hAnsi="Times New Roman"/>
          <w:sz w:val="18"/>
          <w:szCs w:val="18"/>
          <w:color w:val="auto"/>
        </w:rPr>
        <w:t>approximately of $97,000,008 in cash and an aggregate of 3,916,666 membership units representing limited liability company interests of P10 Intermediate (“Buyer Units”). Subject to certain conditions, the Buyer Units are exchangeable into shares of Class A common stock of the Company on a one-for-one basis, pursuant to the Exchange Agreement entered into on August 25, 2022, by and among P10 Intermediate, the Company and the other signatory parties thereto (the “Exchange Agreement”). The Class A units of the Company acquired under the Exchange Agreement are subject to a restricted period in which the holder cannot offer, pledge, sell, contract to sell, sell any option or contract to purchase, purchase any option or contract to sell, grant any option, right or warrant to purchase, lend, or otherwise transfer or dispose of, directly or indirectly, such Class A common stock beneficially owned. The restricted period terminates as follows: (i) with respect to one-third of the Class A common stock held by such stockholder, on October 21, 2022; (ii) with respect to two-thirds of the Class A common stock held by such stockholder, on October 21, 2023; and (iii) with respect to all of the Class A common stock held by such stockholder, on October 21, 2024.</w:t>
      </w:r>
    </w:p>
    <w:p>
      <w:pPr>
        <w:spacing w:after="0" w:line="189"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In addition, the Seller Recipients (as defined in the Sale and Purchase Agreement) are eligible to receive additional consideration upon the achievement of certain earn-out milestones during the earn-out period from January 1, 2023 to December 31, 2027 (as may be extended in certain events) pursuant to the Sale and Purchase Agreement, subject to potential reduction in accordance with the terms of the Sale and Purchase Agreement, and employees of WTI are eligible to receive bonus compensation for achievement of these earn-out milestones from an employee retention bonus plan established at closing. The earn-out milestones and aggregate consideration and bonuses payable is as follows: (i) $35,000,000 in consideration in the aggregate (without interest) based upon the achievement of $20,000,000 in EBITDA in any such four-quarter period; (ii) $17,500,000 in consideration in the aggregate (without interest) based upon the achievement of $22,500,000 in EBITDA in any such four-quarter period; and (iii) $17,500,000 in consideration in the aggregate (without interest) based upon the achievement of $25,000,000 in EBITDA in any such four-quarter period. Pursuant to the Sale and Purchase Agreement, any future earn-out payments payable to the Seller Recipients will be forfeited in the event such Seller Recipient’s employment with WTI or one of its Affiliates is terminated by WTI for Cause (as defined in his Employment Agreement) or by such Seller Recipient without Good Reason (as defined in his Employment Agreement) prior to the last day of a quarter in which any applicable earn-out milestone is achieved. Any earn-out payment will be paid in cash; provided, that up to 50% of the earn-out payments payable to the Seller Recipients pursuant to the Sale and Purchase Agreement, at a Seller Recipient’s option, will be paid in Units of P10 Intermediate which may be converted into shares of Class A common stock of the Company.</w:t>
      </w:r>
    </w:p>
    <w:p>
      <w:pPr>
        <w:spacing w:after="0" w:line="188" w:lineRule="exact"/>
        <w:rPr>
          <w:sz w:val="20"/>
          <w:szCs w:val="20"/>
          <w:color w:val="auto"/>
        </w:rPr>
      </w:pPr>
    </w:p>
    <w:p>
      <w:pPr>
        <w:ind w:left="200" w:right="20" w:firstLine="434"/>
        <w:spacing w:after="0" w:line="254" w:lineRule="auto"/>
        <w:rPr>
          <w:sz w:val="20"/>
          <w:szCs w:val="20"/>
          <w:color w:val="auto"/>
        </w:rPr>
      </w:pPr>
      <w:r>
        <w:rPr>
          <w:rFonts w:ascii="Times New Roman" w:cs="Times New Roman" w:eastAsia="Times New Roman" w:hAnsi="Times New Roman"/>
          <w:sz w:val="18"/>
          <w:szCs w:val="18"/>
          <w:color w:val="auto"/>
        </w:rPr>
        <w:t>In connection with the closing, the Company also granted options to acquire 1,000,000 shares of the Company’s common stock in the aggregate to induce the Seller Recipients to continue their employment with the Company and its subsidiaries following closing. Moreover, the Company granted additional options to acquire 3,000,000 shares of the Company’s common stock in the aggregate to continuing employees who are not Seller Recipients, with such options cliff vesting on the date that is five years following the grant date, with a per share exercise price equal to the value of a share of the Company’s common stock on the grant date.</w:t>
      </w:r>
    </w:p>
    <w:p>
      <w:pPr>
        <w:spacing w:after="0" w:line="183" w:lineRule="exact"/>
        <w:rPr>
          <w:sz w:val="20"/>
          <w:szCs w:val="20"/>
          <w:color w:val="auto"/>
        </w:rPr>
      </w:pPr>
    </w:p>
    <w:p>
      <w:pPr>
        <w:ind w:left="200" w:right="120" w:firstLine="434"/>
        <w:spacing w:after="0" w:line="261" w:lineRule="auto"/>
        <w:rPr>
          <w:sz w:val="20"/>
          <w:szCs w:val="20"/>
          <w:color w:val="auto"/>
        </w:rPr>
      </w:pPr>
      <w:r>
        <w:rPr>
          <w:rFonts w:ascii="Times New Roman" w:cs="Times New Roman" w:eastAsia="Times New Roman" w:hAnsi="Times New Roman"/>
          <w:sz w:val="18"/>
          <w:szCs w:val="18"/>
          <w:color w:val="auto"/>
        </w:rPr>
        <w:t>The above descriptions of the Sale and Purchase Agreement and the Exchange Agreement do not purport to be complete and are subject to, and qualified in their entirety by, the full text of the Sale and Purchase Agreement and Exchange Agreement, which were filed as Exhibit 10.25 and Exhibit 10.26, respectively, to the registration statement of which this prospectus forms a part.</w:t>
      </w:r>
    </w:p>
    <w:p>
      <w:pPr>
        <w:spacing w:after="0" w:line="177" w:lineRule="exact"/>
        <w:rPr>
          <w:sz w:val="20"/>
          <w:szCs w:val="20"/>
          <w:color w:val="auto"/>
        </w:rPr>
      </w:pPr>
    </w:p>
    <w:p>
      <w:pPr>
        <w:ind w:left="200" w:right="300" w:firstLine="434"/>
        <w:spacing w:after="0" w:line="276" w:lineRule="auto"/>
        <w:rPr>
          <w:sz w:val="20"/>
          <w:szCs w:val="20"/>
          <w:color w:val="auto"/>
        </w:rPr>
      </w:pPr>
      <w:r>
        <w:rPr>
          <w:rFonts w:ascii="Times New Roman" w:cs="Times New Roman" w:eastAsia="Times New Roman" w:hAnsi="Times New Roman"/>
          <w:sz w:val="18"/>
          <w:szCs w:val="18"/>
          <w:color w:val="auto"/>
        </w:rPr>
        <w:t>The securities described above were issued in reliance upon an exemption from the registration requirements of the Securities Act, pursuant to Section 4(a)(2) thereof as a transaction not involving any public offering.</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40"/>
          </w:cols>
          <w:pgMar w:left="320" w:top="452"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2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520" w:type="dxa"/>
            <w:vAlign w:val="bottom"/>
            <w:gridSpan w:val="27"/>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Amended and Restated Certificate of Incorporation of P10, Inc. (incorporated by reference to Exhibit 3.1 to the Company’s Current</w:t>
              </w:r>
            </w:hyperlink>
          </w:p>
        </w:tc>
      </w:tr>
      <w:tr>
        <w:trPr>
          <w:trHeight w:val="193"/>
        </w:trPr>
        <w:tc>
          <w:tcPr>
            <w:tcW w:w="1320" w:type="dxa"/>
            <w:vAlign w:val="bottom"/>
          </w:tcPr>
          <w:p>
            <w:pPr>
              <w:spacing w:after="0"/>
              <w:rPr>
                <w:sz w:val="16"/>
                <w:szCs w:val="16"/>
                <w:color w:val="auto"/>
              </w:rPr>
            </w:pPr>
          </w:p>
        </w:tc>
        <w:tc>
          <w:tcPr>
            <w:tcW w:w="3440" w:type="dxa"/>
            <w:vAlign w:val="bottom"/>
            <w:tcBorders>
              <w:top w:val="single" w:sz="8" w:color="0000EE"/>
              <w:bottom w:val="single" w:sz="8" w:color="0000EE"/>
            </w:tcBorders>
            <w:gridSpan w:val="4"/>
          </w:tcPr>
          <w:p>
            <w:pPr>
              <w:spacing w:after="0" w:line="193"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Report on Form 8-K filed on October 26, 2021).</w:t>
              </w:r>
            </w:hyperlink>
          </w:p>
        </w:tc>
        <w:tc>
          <w:tcPr>
            <w:tcW w:w="5900" w:type="dxa"/>
            <w:vAlign w:val="bottom"/>
            <w:tcBorders>
              <w:top w:val="single" w:sz="8" w:color="0000EE"/>
            </w:tcBorders>
            <w:gridSpan w:val="16"/>
          </w:tcPr>
          <w:p>
            <w:pPr>
              <w:spacing w:after="0"/>
              <w:rPr>
                <w:sz w:val="16"/>
                <w:szCs w:val="16"/>
                <w:color w:val="auto"/>
              </w:rPr>
            </w:pPr>
          </w:p>
        </w:tc>
        <w:tc>
          <w:tcPr>
            <w:tcW w:w="180" w:type="dxa"/>
            <w:vAlign w:val="bottom"/>
            <w:gridSpan w:val="7"/>
          </w:tcPr>
          <w:p>
            <w:pPr>
              <w:spacing w:after="0"/>
              <w:rPr>
                <w:sz w:val="16"/>
                <w:szCs w:val="16"/>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4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Amended and Restated Bylaws of P10, Inc. (incorporated by reference to Exhibit 3.2 to the Company’s Current Report on Form 8-K</w:t>
              </w:r>
            </w:hyperlink>
          </w:p>
        </w:tc>
        <w:tc>
          <w:tcPr>
            <w:tcW w:w="100" w:type="dxa"/>
            <w:vAlign w:val="bottom"/>
            <w:gridSpan w:val="3"/>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1940" w:type="dxa"/>
            <w:vAlign w:val="bottom"/>
            <w:tcBorders>
              <w:bottom w:val="single" w:sz="8" w:color="0000EE"/>
            </w:tcBorders>
            <w:gridSpan w:val="2"/>
          </w:tcPr>
          <w:p>
            <w:pPr>
              <w:spacing w:after="0" w:line="193" w:lineRule="exact"/>
              <w:rPr>
                <w:rFonts w:ascii="Times New Roman" w:cs="Times New Roman" w:eastAsia="Times New Roman" w:hAnsi="Times New Roman"/>
                <w:sz w:val="18"/>
                <w:szCs w:val="18"/>
                <w:color w:val="0000EE"/>
                <w:w w:val="97"/>
              </w:rPr>
            </w:pPr>
            <w:hyperlink r:id="rId62">
              <w:r>
                <w:rPr>
                  <w:rFonts w:ascii="Times New Roman" w:cs="Times New Roman" w:eastAsia="Times New Roman" w:hAnsi="Times New Roman"/>
                  <w:sz w:val="18"/>
                  <w:szCs w:val="18"/>
                  <w:color w:val="0000EE"/>
                  <w:w w:val="97"/>
                </w:rPr>
                <w:t>filed on October 26, 2021).</w:t>
              </w:r>
            </w:hyperlink>
          </w:p>
        </w:tc>
        <w:tc>
          <w:tcPr>
            <w:tcW w:w="7580" w:type="dxa"/>
            <w:vAlign w:val="bottom"/>
            <w:gridSpan w:val="25"/>
          </w:tcPr>
          <w:p>
            <w:pPr>
              <w:spacing w:after="0"/>
              <w:rPr>
                <w:sz w:val="16"/>
                <w:szCs w:val="16"/>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5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Description of Securities (incorporated by reference to Exhibit 4.3 to the Company’s Annual Report on Form 10-K filed on March 13,</w:t>
              </w:r>
            </w:hyperlink>
          </w:p>
        </w:tc>
      </w:tr>
      <w:tr>
        <w:trPr>
          <w:trHeight w:val="193"/>
        </w:trPr>
        <w:tc>
          <w:tcPr>
            <w:tcW w:w="1320" w:type="dxa"/>
            <w:vAlign w:val="bottom"/>
          </w:tcPr>
          <w:p>
            <w:pPr>
              <w:spacing w:after="0"/>
              <w:rPr>
                <w:sz w:val="16"/>
                <w:szCs w:val="16"/>
                <w:color w:val="auto"/>
              </w:rPr>
            </w:pPr>
          </w:p>
        </w:tc>
        <w:tc>
          <w:tcPr>
            <w:tcW w:w="420" w:type="dxa"/>
            <w:vAlign w:val="bottom"/>
            <w:tcBorders>
              <w:bottom w:val="single" w:sz="8" w:color="0000EE"/>
            </w:tcBorders>
          </w:tcPr>
          <w:p>
            <w:pPr>
              <w:spacing w:after="0" w:line="193" w:lineRule="exact"/>
              <w:rPr>
                <w:rFonts w:ascii="Times New Roman" w:cs="Times New Roman" w:eastAsia="Times New Roman" w:hAnsi="Times New Roman"/>
                <w:sz w:val="18"/>
                <w:szCs w:val="18"/>
                <w:color w:val="0000EE"/>
                <w:w w:val="95"/>
              </w:rPr>
            </w:pPr>
            <w:hyperlink r:id="rId63">
              <w:r>
                <w:rPr>
                  <w:rFonts w:ascii="Times New Roman" w:cs="Times New Roman" w:eastAsia="Times New Roman" w:hAnsi="Times New Roman"/>
                  <w:sz w:val="18"/>
                  <w:szCs w:val="18"/>
                  <w:color w:val="0000EE"/>
                  <w:w w:val="95"/>
                </w:rPr>
                <w:t>2024)</w:t>
              </w:r>
            </w:hyperlink>
          </w:p>
        </w:tc>
        <w:tc>
          <w:tcPr>
            <w:tcW w:w="1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35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Opinion of Kramer Levin Naftalis &amp; Frankel LLP</w:t>
            </w:r>
          </w:p>
        </w:tc>
        <w:tc>
          <w:tcPr>
            <w:tcW w:w="5960" w:type="dxa"/>
            <w:vAlign w:val="bottom"/>
            <w:gridSpan w:val="22"/>
          </w:tcPr>
          <w:p>
            <w:pPr>
              <w:spacing w:after="0"/>
              <w:rPr>
                <w:sz w:val="24"/>
                <w:szCs w:val="24"/>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4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Controlled Company Agreement, dated as of October 20, 2021, by and among P10, Inc. and the parties listed on the signature pages</w:t>
              </w:r>
            </w:hyperlink>
          </w:p>
        </w:tc>
        <w:tc>
          <w:tcPr>
            <w:tcW w:w="120" w:type="dxa"/>
            <w:vAlign w:val="bottom"/>
            <w:gridSpan w:val="4"/>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9520" w:type="dxa"/>
            <w:vAlign w:val="bottom"/>
            <w:gridSpan w:val="27"/>
          </w:tcPr>
          <w:p>
            <w:pPr>
              <w:spacing w:after="0" w:line="193"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thereto (incorporated by reference to Exhibit 10.1 to the Company’s Current Report on Form 8-K filed on October 26, 2021).</w:t>
              </w:r>
            </w:hyperlink>
          </w:p>
        </w:tc>
      </w:tr>
      <w:tr>
        <w:trPr>
          <w:trHeight w:val="20"/>
        </w:trPr>
        <w:tc>
          <w:tcPr>
            <w:tcW w:w="132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Amendment No. 1 to Controlled Company Agreement, dated as of May 16, 2023 (incorporated by reference to Exhibit 10.5 to the</w:t>
              </w:r>
            </w:hyperlink>
          </w:p>
        </w:tc>
        <w:tc>
          <w:tcPr>
            <w:tcW w:w="280" w:type="dxa"/>
            <w:vAlign w:val="bottom"/>
            <w:gridSpan w:val="10"/>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5040" w:type="dxa"/>
            <w:vAlign w:val="bottom"/>
            <w:tcBorders>
              <w:bottom w:val="single" w:sz="8" w:color="0000EE"/>
            </w:tcBorders>
            <w:gridSpan w:val="8"/>
          </w:tcPr>
          <w:p>
            <w:pPr>
              <w:spacing w:after="0" w:line="193"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Company’s Quarterly Report on Form 10-Q filed on August 14, 2023).</w:t>
              </w:r>
            </w:hyperlink>
          </w:p>
        </w:tc>
        <w:tc>
          <w:tcPr>
            <w:tcW w:w="4480" w:type="dxa"/>
            <w:vAlign w:val="bottom"/>
            <w:gridSpan w:val="19"/>
          </w:tcPr>
          <w:p>
            <w:pPr>
              <w:spacing w:after="0"/>
              <w:rPr>
                <w:sz w:val="16"/>
                <w:szCs w:val="16"/>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3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Stockholders Agreement, dated as of October 20, 2021, by and among the Company and each of the other persons and entities party</w:t>
              </w:r>
            </w:hyperlink>
          </w:p>
        </w:tc>
        <w:tc>
          <w:tcPr>
            <w:tcW w:w="140" w:type="dxa"/>
            <w:vAlign w:val="bottom"/>
            <w:gridSpan w:val="5"/>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9520" w:type="dxa"/>
            <w:vAlign w:val="bottom"/>
            <w:gridSpan w:val="27"/>
          </w:tcPr>
          <w:p>
            <w:pPr>
              <w:spacing w:after="0" w:line="193"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thereto (incorporated by reference to Exhibit 10.2 to the Company’s Current Report on Form 8-K filed on October 26, 2021).</w:t>
              </w:r>
            </w:hyperlink>
          </w:p>
        </w:tc>
      </w:tr>
      <w:tr>
        <w:trPr>
          <w:trHeight w:val="20"/>
        </w:trPr>
        <w:tc>
          <w:tcPr>
            <w:tcW w:w="132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20" w:type="dxa"/>
            <w:vAlign w:val="bottom"/>
            <w:gridSpan w:val="27"/>
          </w:tcPr>
          <w:p>
            <w:pPr>
              <w:spacing w:after="0"/>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Form of Indemnification Agreement to be entered into between the Company and certain of its directors and officers (incorporated by</w:t>
              </w:r>
            </w:hyperlink>
          </w:p>
        </w:tc>
      </w:tr>
      <w:tr>
        <w:trPr>
          <w:trHeight w:val="193"/>
        </w:trPr>
        <w:tc>
          <w:tcPr>
            <w:tcW w:w="1320" w:type="dxa"/>
            <w:vAlign w:val="bottom"/>
          </w:tcPr>
          <w:p>
            <w:pPr>
              <w:spacing w:after="0"/>
              <w:rPr>
                <w:sz w:val="16"/>
                <w:szCs w:val="16"/>
                <w:color w:val="auto"/>
              </w:rPr>
            </w:pPr>
          </w:p>
        </w:tc>
        <w:tc>
          <w:tcPr>
            <w:tcW w:w="7880" w:type="dxa"/>
            <w:vAlign w:val="bottom"/>
            <w:tcBorders>
              <w:top w:val="single" w:sz="8" w:color="0000EE"/>
              <w:bottom w:val="single" w:sz="8" w:color="0000EE"/>
            </w:tcBorders>
            <w:gridSpan w:val="10"/>
          </w:tcPr>
          <w:p>
            <w:pPr>
              <w:spacing w:after="0" w:line="193"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reference to Exhibit 10.3 to the Company’s Registration Statement on Form S-1, filed on September 27, 2021).</w:t>
              </w:r>
            </w:hyperlink>
          </w:p>
        </w:tc>
        <w:tc>
          <w:tcPr>
            <w:tcW w:w="1620" w:type="dxa"/>
            <w:vAlign w:val="bottom"/>
            <w:tcBorders>
              <w:top w:val="single" w:sz="8" w:color="0000EE"/>
            </w:tcBorders>
            <w:gridSpan w:val="16"/>
          </w:tcPr>
          <w:p>
            <w:pPr>
              <w:spacing w:after="0"/>
              <w:rPr>
                <w:sz w:val="16"/>
                <w:szCs w:val="16"/>
                <w:color w:val="auto"/>
              </w:rPr>
            </w:pPr>
          </w:p>
        </w:tc>
        <w:tc>
          <w:tcPr>
            <w:tcW w:w="20" w:type="dxa"/>
            <w:vAlign w:val="bottom"/>
          </w:tcPr>
          <w:p>
            <w:pPr>
              <w:spacing w:after="0"/>
              <w:rPr>
                <w:sz w:val="16"/>
                <w:szCs w:val="16"/>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3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P10, Inc. 2021 Equity Incentive Plan, as amended and restated (incorporated by reference to Exhibit 10.1 to the Company’s Current</w:t>
              </w:r>
            </w:hyperlink>
          </w:p>
        </w:tc>
        <w:tc>
          <w:tcPr>
            <w:tcW w:w="160" w:type="dxa"/>
            <w:vAlign w:val="bottom"/>
            <w:gridSpan w:val="6"/>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3640" w:type="dxa"/>
            <w:vAlign w:val="bottom"/>
            <w:tcBorders>
              <w:bottom w:val="single" w:sz="8" w:color="0000EE"/>
            </w:tcBorders>
            <w:gridSpan w:val="6"/>
          </w:tcPr>
          <w:p>
            <w:pPr>
              <w:spacing w:after="0" w:line="193" w:lineRule="exact"/>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Report on Form 8-K, filed on December 13, 2022).</w:t>
              </w:r>
            </w:hyperlink>
          </w:p>
        </w:tc>
        <w:tc>
          <w:tcPr>
            <w:tcW w:w="5880" w:type="dxa"/>
            <w:vAlign w:val="bottom"/>
            <w:gridSpan w:val="21"/>
          </w:tcPr>
          <w:p>
            <w:pPr>
              <w:spacing w:after="0"/>
              <w:rPr>
                <w:sz w:val="16"/>
                <w:szCs w:val="16"/>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1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Amendment No. 1 to P10, Inc. 2021 Equity Incentive Plan (incorporated by reference to Exhibit 10.1 to the Registrant’s Current</w:t>
              </w:r>
            </w:hyperlink>
          </w:p>
        </w:tc>
        <w:tc>
          <w:tcPr>
            <w:tcW w:w="400" w:type="dxa"/>
            <w:vAlign w:val="bottom"/>
            <w:gridSpan w:val="12"/>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9520" w:type="dxa"/>
            <w:vAlign w:val="bottom"/>
            <w:gridSpan w:val="27"/>
          </w:tcPr>
          <w:p>
            <w:pPr>
              <w:spacing w:after="0" w:line="193"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Report on Form 8-K filed on June 17, 2024).</w:t>
              </w:r>
            </w:hyperlink>
          </w:p>
        </w:tc>
      </w:tr>
      <w:tr>
        <w:trPr>
          <w:trHeight w:val="20"/>
        </w:trPr>
        <w:tc>
          <w:tcPr>
            <w:tcW w:w="132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3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Form of Restricted Stock Award Agreement under the 2021 Equity Incentive Plan (incorporated by reference to Exhibit 10.2 to the</w:t>
              </w:r>
            </w:hyperlink>
          </w:p>
        </w:tc>
        <w:tc>
          <w:tcPr>
            <w:tcW w:w="200" w:type="dxa"/>
            <w:vAlign w:val="bottom"/>
            <w:gridSpan w:val="8"/>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5440" w:type="dxa"/>
            <w:vAlign w:val="bottom"/>
            <w:tcBorders>
              <w:bottom w:val="single" w:sz="8" w:color="0000EE"/>
            </w:tcBorders>
            <w:gridSpan w:val="9"/>
          </w:tcPr>
          <w:p>
            <w:pPr>
              <w:spacing w:after="0" w:line="193" w:lineRule="exact"/>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Company’s Registration Statement on Form S-1, filed on October 18, 2021).</w:t>
              </w:r>
            </w:hyperlink>
          </w:p>
        </w:tc>
        <w:tc>
          <w:tcPr>
            <w:tcW w:w="4080" w:type="dxa"/>
            <w:vAlign w:val="bottom"/>
            <w:gridSpan w:val="18"/>
          </w:tcPr>
          <w:p>
            <w:pPr>
              <w:spacing w:after="0"/>
              <w:rPr>
                <w:sz w:val="16"/>
                <w:szCs w:val="16"/>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9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Form of Stock Option Agreement under the 2021 Incentive Plan (incorporated by reference to Exhibit 10.1 to the Company’s</w:t>
              </w:r>
            </w:hyperlink>
          </w:p>
        </w:tc>
        <w:tc>
          <w:tcPr>
            <w:tcW w:w="620" w:type="dxa"/>
            <w:vAlign w:val="bottom"/>
            <w:gridSpan w:val="14"/>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4000" w:type="dxa"/>
            <w:vAlign w:val="bottom"/>
            <w:tcBorders>
              <w:bottom w:val="single" w:sz="8" w:color="0000EE"/>
            </w:tcBorders>
            <w:gridSpan w:val="7"/>
          </w:tcPr>
          <w:p>
            <w:pPr>
              <w:spacing w:after="0" w:line="193"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Quarterly Report onForm 10-Q filed on May 15, 2023).</w:t>
              </w:r>
            </w:hyperlink>
          </w:p>
        </w:tc>
        <w:tc>
          <w:tcPr>
            <w:tcW w:w="5520" w:type="dxa"/>
            <w:vAlign w:val="bottom"/>
            <w:gridSpan w:val="20"/>
          </w:tcPr>
          <w:p>
            <w:pPr>
              <w:spacing w:after="0"/>
              <w:rPr>
                <w:sz w:val="16"/>
                <w:szCs w:val="16"/>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Amended &amp; Restated Employment Agreement, dated as of May 12, 2023, by and between P10 Intermediate Holdings LLC, and</w:t>
              </w:r>
            </w:hyperlink>
          </w:p>
        </w:tc>
        <w:tc>
          <w:tcPr>
            <w:tcW w:w="420" w:type="dxa"/>
            <w:vAlign w:val="bottom"/>
            <w:gridSpan w:val="13"/>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9360" w:type="dxa"/>
            <w:vAlign w:val="bottom"/>
            <w:tcBorders>
              <w:bottom w:val="single" w:sz="8" w:color="0000EE"/>
            </w:tcBorders>
            <w:gridSpan w:val="21"/>
          </w:tcPr>
          <w:p>
            <w:pPr>
              <w:spacing w:after="0" w:line="193"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Robert Alpert (incorporated by reference to Exhibit 10.3 to the Company’s Quarterly Report on Form 10-Q filed on May 15, 2023).</w:t>
              </w:r>
            </w:hyperlink>
          </w:p>
        </w:tc>
        <w:tc>
          <w:tcPr>
            <w:tcW w:w="160" w:type="dxa"/>
            <w:vAlign w:val="bottom"/>
            <w:gridSpan w:val="6"/>
          </w:tcPr>
          <w:p>
            <w:pPr>
              <w:spacing w:after="0"/>
              <w:rPr>
                <w:sz w:val="16"/>
                <w:szCs w:val="16"/>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3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Executive Transition Agreement, dated as of October 20, 2023, by and between P10 Intermediate Holdings, LLC and Robert Alpert</w:t>
              </w:r>
            </w:hyperlink>
          </w:p>
        </w:tc>
        <w:tc>
          <w:tcPr>
            <w:tcW w:w="160" w:type="dxa"/>
            <w:vAlign w:val="bottom"/>
            <w:gridSpan w:val="6"/>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9520" w:type="dxa"/>
            <w:vAlign w:val="bottom"/>
            <w:gridSpan w:val="27"/>
          </w:tcPr>
          <w:p>
            <w:pPr>
              <w:spacing w:after="0" w:line="193"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(incorporated by reference to Exhibit 10.2 to the Company’s Quarterly Report on Form 10-Q filed on November 13, 2023).</w:t>
              </w:r>
            </w:hyperlink>
          </w:p>
        </w:tc>
      </w:tr>
      <w:tr>
        <w:trPr>
          <w:trHeight w:val="20"/>
        </w:trPr>
        <w:tc>
          <w:tcPr>
            <w:tcW w:w="1320" w:type="dxa"/>
            <w:vAlign w:val="bottom"/>
          </w:tcPr>
          <w:p>
            <w:pPr>
              <w:spacing w:after="0" w:line="20" w:lineRule="exact"/>
              <w:rPr>
                <w:sz w:val="1"/>
                <w:szCs w:val="1"/>
                <w:color w:val="auto"/>
              </w:rPr>
            </w:pPr>
          </w:p>
        </w:tc>
        <w:tc>
          <w:tcPr>
            <w:tcW w:w="8740" w:type="dxa"/>
            <w:vAlign w:val="bottom"/>
            <w:gridSpan w:val="11"/>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3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Amended &amp; Restated Employment Agreement, dated as of May 12, 2023, by and between P10 Intermediate Holdings LLC, and C.</w:t>
              </w:r>
            </w:hyperlink>
          </w:p>
        </w:tc>
        <w:tc>
          <w:tcPr>
            <w:tcW w:w="200" w:type="dxa"/>
            <w:vAlign w:val="bottom"/>
            <w:gridSpan w:val="8"/>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9220" w:type="dxa"/>
            <w:vAlign w:val="bottom"/>
            <w:tcBorders>
              <w:bottom w:val="single" w:sz="8" w:color="0000EE"/>
            </w:tcBorders>
            <w:gridSpan w:val="16"/>
          </w:tcPr>
          <w:p>
            <w:pPr>
              <w:spacing w:after="0" w:line="193"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Clark Webb (incorporated by reference to Exhibit 10.4 to the Company’s Quarterly Report on Form 10-Q filed on May 15, 2023).</w:t>
              </w:r>
            </w:hyperlink>
          </w:p>
        </w:tc>
        <w:tc>
          <w:tcPr>
            <w:tcW w:w="300" w:type="dxa"/>
            <w:vAlign w:val="bottom"/>
            <w:gridSpan w:val="11"/>
          </w:tcPr>
          <w:p>
            <w:pPr>
              <w:spacing w:after="0"/>
              <w:rPr>
                <w:sz w:val="16"/>
                <w:szCs w:val="16"/>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4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75">
              <w:r>
                <w:rPr>
                  <w:rFonts w:ascii="Times New Roman" w:cs="Times New Roman" w:eastAsia="Times New Roman" w:hAnsi="Times New Roman"/>
                  <w:sz w:val="18"/>
                  <w:szCs w:val="18"/>
                  <w:color w:val="0000EE"/>
                  <w:w w:val="98"/>
                </w:rPr>
                <w:t>Executive Transition Agreement, dated as of October 20, 2023, by and between P10 Intermediate Holdings, LLC and C. Clark Webb</w:t>
              </w:r>
            </w:hyperlink>
          </w:p>
        </w:tc>
        <w:tc>
          <w:tcPr>
            <w:tcW w:w="80" w:type="dxa"/>
            <w:vAlign w:val="bottom"/>
            <w:gridSpan w:val="2"/>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9520" w:type="dxa"/>
            <w:vAlign w:val="bottom"/>
            <w:gridSpan w:val="27"/>
          </w:tcPr>
          <w:p>
            <w:pPr>
              <w:spacing w:after="0" w:line="193"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(incorporated by reference to Exhibit 10.3 to the Company’s Quarterly Report on Form 10-Q filed on November 13, 2023).</w:t>
              </w:r>
            </w:hyperlink>
          </w:p>
        </w:tc>
      </w:tr>
      <w:tr>
        <w:trPr>
          <w:trHeight w:val="20"/>
        </w:trPr>
        <w:tc>
          <w:tcPr>
            <w:tcW w:w="1320" w:type="dxa"/>
            <w:vAlign w:val="bottom"/>
          </w:tcPr>
          <w:p>
            <w:pPr>
              <w:spacing w:after="0" w:line="20" w:lineRule="exact"/>
              <w:rPr>
                <w:sz w:val="1"/>
                <w:szCs w:val="1"/>
                <w:color w:val="auto"/>
              </w:rPr>
            </w:pPr>
          </w:p>
        </w:tc>
        <w:tc>
          <w:tcPr>
            <w:tcW w:w="8740" w:type="dxa"/>
            <w:vAlign w:val="bottom"/>
            <w:gridSpan w:val="11"/>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29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Employment Agreement, dated as of October 20, 2023, by and between P10 Intermediate Holdings, LLC and Luke A. Sarsfield III</w:t>
              </w:r>
            </w:hyperlink>
          </w:p>
        </w:tc>
        <w:tc>
          <w:tcPr>
            <w:tcW w:w="220" w:type="dxa"/>
            <w:vAlign w:val="bottom"/>
            <w:gridSpan w:val="9"/>
          </w:tcPr>
          <w:p>
            <w:pPr>
              <w:spacing w:after="0"/>
              <w:rPr>
                <w:sz w:val="24"/>
                <w:szCs w:val="24"/>
                <w:color w:val="auto"/>
              </w:rPr>
            </w:pPr>
          </w:p>
        </w:tc>
      </w:tr>
      <w:tr>
        <w:trPr>
          <w:trHeight w:val="193"/>
        </w:trPr>
        <w:tc>
          <w:tcPr>
            <w:tcW w:w="1320" w:type="dxa"/>
            <w:vAlign w:val="bottom"/>
          </w:tcPr>
          <w:p>
            <w:pPr>
              <w:spacing w:after="0"/>
              <w:rPr>
                <w:sz w:val="16"/>
                <w:szCs w:val="16"/>
                <w:color w:val="auto"/>
              </w:rPr>
            </w:pPr>
          </w:p>
        </w:tc>
        <w:tc>
          <w:tcPr>
            <w:tcW w:w="9520" w:type="dxa"/>
            <w:vAlign w:val="bottom"/>
            <w:gridSpan w:val="27"/>
          </w:tcPr>
          <w:p>
            <w:pPr>
              <w:spacing w:after="0" w:line="193"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(incorporated by reference to Exhibit 10.1 to the Company’s Quarterly Report on Form 10-Q filed on November 13, 2023).</w:t>
              </w:r>
            </w:hyperlink>
          </w:p>
        </w:tc>
      </w:tr>
      <w:tr>
        <w:trPr>
          <w:trHeight w:val="20"/>
        </w:trPr>
        <w:tc>
          <w:tcPr>
            <w:tcW w:w="13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40"/>
          </w:cols>
          <w:pgMar w:left="320" w:top="452" w:right="5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Amended &amp; Restated Employment Agreement, dated as of February 27, 2024, by and between P10 Intermediate Holdings, LLC and</w:t>
              </w:r>
            </w:hyperlink>
          </w:p>
        </w:tc>
        <w:tc>
          <w:tcPr>
            <w:tcW w:w="380" w:type="dxa"/>
            <w:vAlign w:val="bottom"/>
            <w:gridSpan w:val="10"/>
          </w:tcPr>
          <w:p>
            <w:pPr>
              <w:spacing w:after="0"/>
              <w:rPr>
                <w:sz w:val="17"/>
                <w:szCs w:val="17"/>
                <w:color w:val="auto"/>
              </w:rPr>
            </w:pPr>
          </w:p>
        </w:tc>
      </w:tr>
      <w:tr>
        <w:trPr>
          <w:trHeight w:val="193"/>
        </w:trPr>
        <w:tc>
          <w:tcPr>
            <w:tcW w:w="980" w:type="dxa"/>
            <w:vAlign w:val="bottom"/>
          </w:tcPr>
          <w:p>
            <w:pPr>
              <w:spacing w:after="0"/>
              <w:rPr>
                <w:sz w:val="16"/>
                <w:szCs w:val="16"/>
                <w:color w:val="auto"/>
              </w:rPr>
            </w:pPr>
          </w:p>
        </w:tc>
        <w:tc>
          <w:tcPr>
            <w:tcW w:w="9600" w:type="dxa"/>
            <w:vAlign w:val="bottom"/>
            <w:tcBorders>
              <w:bottom w:val="single" w:sz="8" w:color="0000EE"/>
            </w:tcBorders>
            <w:gridSpan w:val="13"/>
          </w:tcPr>
          <w:p>
            <w:pPr>
              <w:spacing w:after="0" w:line="193"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Amanda Coussens (incorporated by reference to Exhibit 10.1 to the Company’s Quarterly Report on Form 10-Q filed on May 9, 2024).</w:t>
              </w:r>
            </w:hyperlink>
          </w:p>
        </w:tc>
        <w:tc>
          <w:tcPr>
            <w:tcW w:w="260" w:type="dxa"/>
            <w:vAlign w:val="bottom"/>
            <w:gridSpan w:val="8"/>
          </w:tcPr>
          <w:p>
            <w:pPr>
              <w:spacing w:after="0"/>
              <w:rPr>
                <w:sz w:val="16"/>
                <w:szCs w:val="16"/>
                <w:color w:val="auto"/>
              </w:rPr>
            </w:pPr>
          </w:p>
        </w:tc>
      </w:tr>
      <w:tr>
        <w:trPr>
          <w:trHeight w:val="29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860" w:type="dxa"/>
            <w:vAlign w:val="bottom"/>
            <w:gridSpan w:val="21"/>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Employment Agreement, dated as of February 27, 2024, by and between P10 Intermediate Holdings, LLC and Richard J. (Arjay) Jensen</w:t>
              </w:r>
            </w:hyperlink>
          </w:p>
        </w:tc>
      </w:tr>
      <w:tr>
        <w:trPr>
          <w:trHeight w:val="193"/>
        </w:trPr>
        <w:tc>
          <w:tcPr>
            <w:tcW w:w="980" w:type="dxa"/>
            <w:vAlign w:val="bottom"/>
          </w:tcPr>
          <w:p>
            <w:pPr>
              <w:spacing w:after="0"/>
              <w:rPr>
                <w:sz w:val="16"/>
                <w:szCs w:val="16"/>
                <w:color w:val="auto"/>
              </w:rPr>
            </w:pPr>
          </w:p>
        </w:tc>
        <w:tc>
          <w:tcPr>
            <w:tcW w:w="8240" w:type="dxa"/>
            <w:vAlign w:val="bottom"/>
            <w:tcBorders>
              <w:top w:val="single" w:sz="8" w:color="0000EE"/>
              <w:bottom w:val="single" w:sz="8" w:color="0000EE"/>
            </w:tcBorders>
            <w:gridSpan w:val="6"/>
          </w:tcPr>
          <w:p>
            <w:pPr>
              <w:spacing w:after="0" w:line="193" w:lineRule="exact"/>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(incorporated by reference to Exhibit 10.2 to the Company’s Quarterly Report on Form 10-Q filed on May 9, 2024).</w:t>
              </w:r>
            </w:hyperlink>
          </w:p>
        </w:tc>
        <w:tc>
          <w:tcPr>
            <w:tcW w:w="1440" w:type="dxa"/>
            <w:vAlign w:val="bottom"/>
            <w:tcBorders>
              <w:top w:val="single" w:sz="8" w:color="0000EE"/>
            </w:tcBorders>
            <w:gridSpan w:val="11"/>
          </w:tcPr>
          <w:p>
            <w:pPr>
              <w:spacing w:after="0"/>
              <w:rPr>
                <w:sz w:val="16"/>
                <w:szCs w:val="16"/>
                <w:color w:val="auto"/>
              </w:rPr>
            </w:pPr>
          </w:p>
        </w:tc>
        <w:tc>
          <w:tcPr>
            <w:tcW w:w="180" w:type="dxa"/>
            <w:vAlign w:val="bottom"/>
            <w:gridSpan w:val="4"/>
          </w:tcPr>
          <w:p>
            <w:pPr>
              <w:spacing w:after="0"/>
              <w:rPr>
                <w:sz w:val="16"/>
                <w:szCs w:val="16"/>
                <w:color w:val="auto"/>
              </w:rPr>
            </w:pPr>
          </w:p>
        </w:tc>
      </w:tr>
      <w:tr>
        <w:trPr>
          <w:trHeight w:val="29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Employment Agreement, dated as of February 27, 2024, by and between P10 Intermediate Holdings, LLC and Mark Hood (incorporated</w:t>
              </w:r>
            </w:hyperlink>
          </w:p>
        </w:tc>
        <w:tc>
          <w:tcPr>
            <w:tcW w:w="140" w:type="dxa"/>
            <w:vAlign w:val="bottom"/>
            <w:gridSpan w:val="3"/>
          </w:tcPr>
          <w:p>
            <w:pPr>
              <w:spacing w:after="0"/>
              <w:rPr>
                <w:sz w:val="24"/>
                <w:szCs w:val="24"/>
                <w:color w:val="auto"/>
              </w:rPr>
            </w:pPr>
          </w:p>
        </w:tc>
      </w:tr>
      <w:tr>
        <w:trPr>
          <w:trHeight w:val="193"/>
        </w:trPr>
        <w:tc>
          <w:tcPr>
            <w:tcW w:w="980" w:type="dxa"/>
            <w:vAlign w:val="bottom"/>
          </w:tcPr>
          <w:p>
            <w:pPr>
              <w:spacing w:after="0"/>
              <w:rPr>
                <w:sz w:val="16"/>
                <w:szCs w:val="16"/>
                <w:color w:val="auto"/>
              </w:rPr>
            </w:pPr>
          </w:p>
        </w:tc>
        <w:tc>
          <w:tcPr>
            <w:tcW w:w="7240" w:type="dxa"/>
            <w:vAlign w:val="bottom"/>
            <w:tcBorders>
              <w:bottom w:val="single" w:sz="8" w:color="0000EE"/>
            </w:tcBorders>
            <w:gridSpan w:val="5"/>
          </w:tcPr>
          <w:p>
            <w:pPr>
              <w:spacing w:after="0" w:line="193" w:lineRule="exact"/>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by reference to Exhibit 10.3 to the Company’s Quarterly Report on Form 10-Q filed on May 9, 2024).</w:t>
              </w:r>
            </w:hyperlink>
          </w:p>
        </w:tc>
        <w:tc>
          <w:tcPr>
            <w:tcW w:w="2620" w:type="dxa"/>
            <w:vAlign w:val="bottom"/>
            <w:gridSpan w:val="16"/>
          </w:tcPr>
          <w:p>
            <w:pPr>
              <w:spacing w:after="0"/>
              <w:rPr>
                <w:sz w:val="16"/>
                <w:szCs w:val="16"/>
                <w:color w:val="auto"/>
              </w:rPr>
            </w:pPr>
          </w:p>
        </w:tc>
      </w:tr>
      <w:tr>
        <w:trPr>
          <w:trHeight w:val="29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6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Letter Agreement re: Sale and Purchase of Five Points Capital, Inc. (Management Fees - Seller), dated January 16, 2020, by and among</w:t>
              </w:r>
            </w:hyperlink>
          </w:p>
        </w:tc>
        <w:tc>
          <w:tcPr>
            <w:tcW w:w="220" w:type="dxa"/>
            <w:vAlign w:val="bottom"/>
            <w:gridSpan w:val="6"/>
          </w:tcPr>
          <w:p>
            <w:pPr>
              <w:spacing w:after="0"/>
              <w:rPr>
                <w:sz w:val="24"/>
                <w:szCs w:val="24"/>
                <w:color w:val="auto"/>
              </w:rPr>
            </w:pPr>
          </w:p>
        </w:tc>
      </w:tr>
      <w:tr>
        <w:trPr>
          <w:trHeight w:val="193"/>
        </w:trPr>
        <w:tc>
          <w:tcPr>
            <w:tcW w:w="980" w:type="dxa"/>
            <w:vAlign w:val="bottom"/>
          </w:tcPr>
          <w:p>
            <w:pPr>
              <w:spacing w:after="0"/>
              <w:rPr>
                <w:sz w:val="16"/>
                <w:szCs w:val="16"/>
                <w:color w:val="auto"/>
              </w:rPr>
            </w:pPr>
          </w:p>
        </w:tc>
        <w:tc>
          <w:tcPr>
            <w:tcW w:w="9720" w:type="dxa"/>
            <w:vAlign w:val="bottom"/>
            <w:tcBorders>
              <w:bottom w:val="single" w:sz="8" w:color="0000EE"/>
            </w:tcBorders>
            <w:gridSpan w:val="18"/>
          </w:tcPr>
          <w:p>
            <w:pPr>
              <w:spacing w:after="0" w:line="193" w:lineRule="exact"/>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P10 Intermediate Holdings LLC, Five Points Capital, Inc., David G. Townsend, in his individual capacity and as Trustee of the David G.</w:t>
              </w:r>
            </w:hyperlink>
          </w:p>
        </w:tc>
        <w:tc>
          <w:tcPr>
            <w:tcW w:w="140" w:type="dxa"/>
            <w:vAlign w:val="bottom"/>
            <w:gridSpan w:val="3"/>
          </w:tcPr>
          <w:p>
            <w:pPr>
              <w:spacing w:after="0"/>
              <w:rPr>
                <w:sz w:val="16"/>
                <w:szCs w:val="16"/>
                <w:color w:val="auto"/>
              </w:rPr>
            </w:pPr>
          </w:p>
        </w:tc>
      </w:tr>
      <w:tr>
        <w:trPr>
          <w:trHeight w:val="193"/>
        </w:trPr>
        <w:tc>
          <w:tcPr>
            <w:tcW w:w="980" w:type="dxa"/>
            <w:vAlign w:val="bottom"/>
          </w:tcPr>
          <w:p>
            <w:pPr>
              <w:spacing w:after="0"/>
              <w:rPr>
                <w:sz w:val="16"/>
                <w:szCs w:val="16"/>
                <w:color w:val="auto"/>
              </w:rPr>
            </w:pPr>
          </w:p>
        </w:tc>
        <w:tc>
          <w:tcPr>
            <w:tcW w:w="9720" w:type="dxa"/>
            <w:vAlign w:val="bottom"/>
            <w:tcBorders>
              <w:bottom w:val="single" w:sz="8" w:color="0000EE"/>
            </w:tcBorders>
            <w:gridSpan w:val="18"/>
          </w:tcPr>
          <w:p>
            <w:pPr>
              <w:spacing w:after="0" w:line="193" w:lineRule="exact"/>
              <w:rPr>
                <w:rFonts w:ascii="Times New Roman" w:cs="Times New Roman" w:eastAsia="Times New Roman" w:hAnsi="Times New Roman"/>
                <w:sz w:val="18"/>
                <w:szCs w:val="18"/>
                <w:color w:val="0000EE"/>
                <w:w w:val="97"/>
              </w:rPr>
            </w:pPr>
            <w:hyperlink r:id="rId81">
              <w:r>
                <w:rPr>
                  <w:rFonts w:ascii="Times New Roman" w:cs="Times New Roman" w:eastAsia="Times New Roman" w:hAnsi="Times New Roman"/>
                  <w:sz w:val="18"/>
                  <w:szCs w:val="18"/>
                  <w:color w:val="0000EE"/>
                  <w:w w:val="97"/>
                </w:rPr>
                <w:t>Townsend Revocable Living Trust Agreement Dated 9-9-2004, Martin P. Gilmore in his individual capacity and as Trustee of the Martin</w:t>
              </w:r>
            </w:hyperlink>
          </w:p>
        </w:tc>
        <w:tc>
          <w:tcPr>
            <w:tcW w:w="140" w:type="dxa"/>
            <w:vAlign w:val="bottom"/>
            <w:gridSpan w:val="3"/>
          </w:tcPr>
          <w:p>
            <w:pPr>
              <w:spacing w:after="0"/>
              <w:rPr>
                <w:sz w:val="16"/>
                <w:szCs w:val="16"/>
                <w:color w:val="auto"/>
              </w:rPr>
            </w:pPr>
          </w:p>
        </w:tc>
      </w:tr>
      <w:tr>
        <w:trPr>
          <w:trHeight w:val="193"/>
        </w:trPr>
        <w:tc>
          <w:tcPr>
            <w:tcW w:w="980" w:type="dxa"/>
            <w:vAlign w:val="bottom"/>
          </w:tcPr>
          <w:p>
            <w:pPr>
              <w:spacing w:after="0"/>
              <w:rPr>
                <w:sz w:val="16"/>
                <w:szCs w:val="16"/>
                <w:color w:val="auto"/>
              </w:rPr>
            </w:pPr>
          </w:p>
        </w:tc>
        <w:tc>
          <w:tcPr>
            <w:tcW w:w="9780" w:type="dxa"/>
            <w:vAlign w:val="bottom"/>
            <w:tcBorders>
              <w:bottom w:val="single" w:sz="8" w:color="0000EE"/>
            </w:tcBorders>
            <w:gridSpan w:val="19"/>
          </w:tcPr>
          <w:p>
            <w:pPr>
              <w:spacing w:after="0" w:line="193" w:lineRule="exact"/>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Paul Gilmore 2008 Revocable Trust dated March 17, 2008, Thomas H. Westbrook and Christopher N. Jones and each signatory identified</w:t>
              </w:r>
            </w:hyperlink>
          </w:p>
        </w:tc>
        <w:tc>
          <w:tcPr>
            <w:tcW w:w="80" w:type="dxa"/>
            <w:vAlign w:val="bottom"/>
            <w:gridSpan w:val="2"/>
          </w:tcPr>
          <w:p>
            <w:pPr>
              <w:spacing w:after="0"/>
              <w:rPr>
                <w:sz w:val="16"/>
                <w:szCs w:val="16"/>
                <w:color w:val="auto"/>
              </w:rPr>
            </w:pPr>
          </w:p>
        </w:tc>
      </w:tr>
      <w:tr>
        <w:trPr>
          <w:trHeight w:val="193"/>
        </w:trPr>
        <w:tc>
          <w:tcPr>
            <w:tcW w:w="980" w:type="dxa"/>
            <w:vAlign w:val="bottom"/>
          </w:tcPr>
          <w:p>
            <w:pPr>
              <w:spacing w:after="0"/>
              <w:rPr>
                <w:sz w:val="16"/>
                <w:szCs w:val="16"/>
                <w:color w:val="auto"/>
              </w:rPr>
            </w:pPr>
          </w:p>
        </w:tc>
        <w:tc>
          <w:tcPr>
            <w:tcW w:w="9640" w:type="dxa"/>
            <w:vAlign w:val="bottom"/>
            <w:tcBorders>
              <w:bottom w:val="single" w:sz="8" w:color="0000EE"/>
            </w:tcBorders>
            <w:gridSpan w:val="15"/>
          </w:tcPr>
          <w:p>
            <w:pPr>
              <w:spacing w:after="0" w:line="193" w:lineRule="exact"/>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as a “GP Entity” on the signature pages thereto (incorporated by reference to Exhibit 10.14 to the Company’s Registration Statement on</w:t>
              </w:r>
            </w:hyperlink>
          </w:p>
        </w:tc>
        <w:tc>
          <w:tcPr>
            <w:tcW w:w="220" w:type="dxa"/>
            <w:vAlign w:val="bottom"/>
            <w:gridSpan w:val="6"/>
          </w:tcPr>
          <w:p>
            <w:pPr>
              <w:spacing w:after="0"/>
              <w:rPr>
                <w:sz w:val="16"/>
                <w:szCs w:val="16"/>
                <w:color w:val="auto"/>
              </w:rPr>
            </w:pPr>
          </w:p>
        </w:tc>
      </w:tr>
      <w:tr>
        <w:trPr>
          <w:trHeight w:val="193"/>
        </w:trPr>
        <w:tc>
          <w:tcPr>
            <w:tcW w:w="980" w:type="dxa"/>
            <w:vAlign w:val="bottom"/>
          </w:tcPr>
          <w:p>
            <w:pPr>
              <w:spacing w:after="0"/>
              <w:rPr>
                <w:sz w:val="16"/>
                <w:szCs w:val="16"/>
                <w:color w:val="auto"/>
              </w:rPr>
            </w:pPr>
          </w:p>
        </w:tc>
        <w:tc>
          <w:tcPr>
            <w:tcW w:w="9860" w:type="dxa"/>
            <w:vAlign w:val="bottom"/>
            <w:gridSpan w:val="21"/>
          </w:tcPr>
          <w:p>
            <w:pPr>
              <w:spacing w:after="0" w:line="193"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S-1, filed on September 27, 2021).</w:t>
              </w:r>
            </w:hyperlink>
          </w:p>
        </w:tc>
      </w:tr>
      <w:tr>
        <w:trPr>
          <w:trHeight w:val="20"/>
        </w:trPr>
        <w:tc>
          <w:tcPr>
            <w:tcW w:w="98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Letter Agreement re: Sale and Purchase of Five Points Capital, Inc. (Management Fees - Partners), dated January 16, 2020, by and among</w:t>
              </w:r>
            </w:hyperlink>
          </w:p>
        </w:tc>
        <w:tc>
          <w:tcPr>
            <w:tcW w:w="60" w:type="dxa"/>
            <w:vAlign w:val="bottom"/>
          </w:tcPr>
          <w:p>
            <w:pPr>
              <w:spacing w:after="0"/>
              <w:rPr>
                <w:sz w:val="24"/>
                <w:szCs w:val="24"/>
                <w:color w:val="auto"/>
              </w:rPr>
            </w:pPr>
          </w:p>
        </w:tc>
      </w:tr>
      <w:tr>
        <w:trPr>
          <w:trHeight w:val="193"/>
        </w:trPr>
        <w:tc>
          <w:tcPr>
            <w:tcW w:w="980" w:type="dxa"/>
            <w:vAlign w:val="bottom"/>
          </w:tcPr>
          <w:p>
            <w:pPr>
              <w:spacing w:after="0"/>
              <w:rPr>
                <w:sz w:val="16"/>
                <w:szCs w:val="16"/>
                <w:color w:val="auto"/>
              </w:rPr>
            </w:pPr>
          </w:p>
        </w:tc>
        <w:tc>
          <w:tcPr>
            <w:tcW w:w="9480" w:type="dxa"/>
            <w:vAlign w:val="bottom"/>
            <w:tcBorders>
              <w:bottom w:val="single" w:sz="8" w:color="0000EE"/>
            </w:tcBorders>
            <w:gridSpan w:val="11"/>
          </w:tcPr>
          <w:p>
            <w:pPr>
              <w:spacing w:after="0" w:line="193"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P10 Intermediate Holdings LLC, Five Points Capital, Inc., Jonathan B. Blanco, S. Whitfield Edwards, Scott L. Snow and Marshall C.</w:t>
              </w:r>
            </w:hyperlink>
          </w:p>
        </w:tc>
        <w:tc>
          <w:tcPr>
            <w:tcW w:w="380" w:type="dxa"/>
            <w:vAlign w:val="bottom"/>
            <w:gridSpan w:val="10"/>
          </w:tcPr>
          <w:p>
            <w:pPr>
              <w:spacing w:after="0"/>
              <w:rPr>
                <w:sz w:val="16"/>
                <w:szCs w:val="16"/>
                <w:color w:val="auto"/>
              </w:rPr>
            </w:pPr>
          </w:p>
        </w:tc>
      </w:tr>
      <w:tr>
        <w:trPr>
          <w:trHeight w:val="193"/>
        </w:trPr>
        <w:tc>
          <w:tcPr>
            <w:tcW w:w="980" w:type="dxa"/>
            <w:vAlign w:val="bottom"/>
          </w:tcPr>
          <w:p>
            <w:pPr>
              <w:spacing w:after="0"/>
              <w:rPr>
                <w:sz w:val="16"/>
                <w:szCs w:val="16"/>
                <w:color w:val="auto"/>
              </w:rPr>
            </w:pPr>
          </w:p>
        </w:tc>
        <w:tc>
          <w:tcPr>
            <w:tcW w:w="9620" w:type="dxa"/>
            <w:vAlign w:val="bottom"/>
            <w:tcBorders>
              <w:bottom w:val="single" w:sz="8" w:color="0000EE"/>
            </w:tcBorders>
            <w:gridSpan w:val="14"/>
          </w:tcPr>
          <w:p>
            <w:pPr>
              <w:spacing w:after="0" w:line="193"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White (incorporated by reference to Exhibit 10.15 to the Company’s Registration Statement on FormS-1, filed on September 27, 2021).</w:t>
              </w:r>
            </w:hyperlink>
          </w:p>
        </w:tc>
        <w:tc>
          <w:tcPr>
            <w:tcW w:w="240" w:type="dxa"/>
            <w:vAlign w:val="bottom"/>
            <w:gridSpan w:val="7"/>
          </w:tcPr>
          <w:p>
            <w:pPr>
              <w:spacing w:after="0"/>
              <w:rPr>
                <w:sz w:val="16"/>
                <w:szCs w:val="16"/>
                <w:color w:val="auto"/>
              </w:rPr>
            </w:pPr>
          </w:p>
        </w:tc>
      </w:tr>
      <w:tr>
        <w:trPr>
          <w:trHeight w:val="29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60" w:type="dxa"/>
            <w:vAlign w:val="bottom"/>
            <w:gridSpan w:val="21"/>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Letter Agreement re: Sale and Purchase of TrueBridge Capital Partners LLC, dated August 24, 2020, by and among P10 Intermediate</w:t>
              </w:r>
            </w:hyperlink>
          </w:p>
        </w:tc>
      </w:tr>
      <w:tr>
        <w:trPr>
          <w:trHeight w:val="20"/>
        </w:trPr>
        <w:tc>
          <w:tcPr>
            <w:tcW w:w="98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9860" w:type="dxa"/>
            <w:vAlign w:val="bottom"/>
            <w:gridSpan w:val="21"/>
          </w:tcPr>
          <w:p>
            <w:pPr>
              <w:spacing w:after="0" w:line="193"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Holdings LLC, TrueBridge Capital Partners LLC, Edwin Poston and Mel A. Williams (incorporated by reference to Exhibit 10.16 to the</w:t>
              </w:r>
            </w:hyperlink>
          </w:p>
        </w:tc>
      </w:tr>
      <w:tr>
        <w:trPr>
          <w:trHeight w:val="193"/>
        </w:trPr>
        <w:tc>
          <w:tcPr>
            <w:tcW w:w="980" w:type="dxa"/>
            <w:vAlign w:val="bottom"/>
          </w:tcPr>
          <w:p>
            <w:pPr>
              <w:spacing w:after="0"/>
              <w:rPr>
                <w:sz w:val="16"/>
                <w:szCs w:val="16"/>
                <w:color w:val="auto"/>
              </w:rPr>
            </w:pPr>
          </w:p>
        </w:tc>
        <w:tc>
          <w:tcPr>
            <w:tcW w:w="9660" w:type="dxa"/>
            <w:vAlign w:val="bottom"/>
            <w:tcBorders>
              <w:top w:val="single" w:sz="8" w:color="0000EE"/>
            </w:tcBorders>
            <w:gridSpan w:val="16"/>
          </w:tcPr>
          <w:p>
            <w:pPr>
              <w:spacing w:after="0" w:line="193"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Company’s Registration Statement on Form S-1, filed on September 27, 2021).</w:t>
              </w:r>
            </w:hyperlink>
          </w:p>
        </w:tc>
        <w:tc>
          <w:tcPr>
            <w:tcW w:w="200" w:type="dxa"/>
            <w:vAlign w:val="bottom"/>
            <w:gridSpan w:val="5"/>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9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1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Fifth Amendment to Credit and Guaranty Agreement, dated as of December 14, 2020, by and among P10 RCP Holdco LLC, P10</w:t>
              </w:r>
            </w:hyperlink>
          </w:p>
        </w:tc>
        <w:tc>
          <w:tcPr>
            <w:tcW w:w="680" w:type="dxa"/>
            <w:vAlign w:val="bottom"/>
            <w:gridSpan w:val="14"/>
          </w:tcPr>
          <w:p>
            <w:pPr>
              <w:spacing w:after="0"/>
              <w:rPr>
                <w:sz w:val="24"/>
                <w:szCs w:val="24"/>
                <w:color w:val="auto"/>
              </w:rPr>
            </w:pPr>
          </w:p>
        </w:tc>
      </w:tr>
      <w:tr>
        <w:trPr>
          <w:trHeight w:val="193"/>
        </w:trPr>
        <w:tc>
          <w:tcPr>
            <w:tcW w:w="980" w:type="dxa"/>
            <w:vAlign w:val="bottom"/>
          </w:tcPr>
          <w:p>
            <w:pPr>
              <w:spacing w:after="0"/>
              <w:rPr>
                <w:sz w:val="16"/>
                <w:szCs w:val="16"/>
                <w:color w:val="auto"/>
              </w:rPr>
            </w:pPr>
          </w:p>
        </w:tc>
        <w:tc>
          <w:tcPr>
            <w:tcW w:w="9860" w:type="dxa"/>
            <w:vAlign w:val="bottom"/>
            <w:gridSpan w:val="21"/>
          </w:tcPr>
          <w:p>
            <w:pPr>
              <w:spacing w:after="0" w:line="193"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Holdings, Inc., P10 Intermediate Holdings LLC, RCP Advisors 2, LLC, RCP Advisors 3, LLC, Five Points Capital, Inc., TrueBridge</w:t>
              </w:r>
            </w:hyperlink>
          </w:p>
        </w:tc>
      </w:tr>
      <w:tr>
        <w:trPr>
          <w:trHeight w:val="193"/>
        </w:trPr>
        <w:tc>
          <w:tcPr>
            <w:tcW w:w="980" w:type="dxa"/>
            <w:vAlign w:val="bottom"/>
          </w:tcPr>
          <w:p>
            <w:pPr>
              <w:spacing w:after="0"/>
              <w:rPr>
                <w:sz w:val="16"/>
                <w:szCs w:val="16"/>
                <w:color w:val="auto"/>
              </w:rPr>
            </w:pPr>
          </w:p>
        </w:tc>
        <w:tc>
          <w:tcPr>
            <w:tcW w:w="9400" w:type="dxa"/>
            <w:vAlign w:val="bottom"/>
            <w:tcBorders>
              <w:top w:val="single" w:sz="8" w:color="0000EE"/>
              <w:bottom w:val="single" w:sz="8" w:color="0000EE"/>
            </w:tcBorders>
            <w:gridSpan w:val="10"/>
          </w:tcPr>
          <w:p>
            <w:pPr>
              <w:spacing w:after="0" w:line="193"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Capital Partners LLC and HPS Investment Partners, LLC (incorporated by reference to Exhibit 10.17 to the Company’s Registration</w:t>
              </w:r>
            </w:hyperlink>
          </w:p>
        </w:tc>
        <w:tc>
          <w:tcPr>
            <w:tcW w:w="80" w:type="dxa"/>
            <w:vAlign w:val="bottom"/>
            <w:tcBorders>
              <w:top w:val="single" w:sz="8" w:color="0000EE"/>
            </w:tcBorders>
          </w:tcPr>
          <w:p>
            <w:pPr>
              <w:spacing w:after="0"/>
              <w:rPr>
                <w:sz w:val="16"/>
                <w:szCs w:val="16"/>
                <w:color w:val="auto"/>
              </w:rPr>
            </w:pPr>
          </w:p>
        </w:tc>
        <w:tc>
          <w:tcPr>
            <w:tcW w:w="380" w:type="dxa"/>
            <w:vAlign w:val="bottom"/>
            <w:gridSpan w:val="10"/>
          </w:tcPr>
          <w:p>
            <w:pPr>
              <w:spacing w:after="0"/>
              <w:rPr>
                <w:sz w:val="16"/>
                <w:szCs w:val="16"/>
                <w:color w:val="auto"/>
              </w:rPr>
            </w:pPr>
          </w:p>
        </w:tc>
      </w:tr>
      <w:tr>
        <w:trPr>
          <w:trHeight w:val="193"/>
        </w:trPr>
        <w:tc>
          <w:tcPr>
            <w:tcW w:w="980" w:type="dxa"/>
            <w:vAlign w:val="bottom"/>
          </w:tcPr>
          <w:p>
            <w:pPr>
              <w:spacing w:after="0"/>
              <w:rPr>
                <w:sz w:val="16"/>
                <w:szCs w:val="16"/>
                <w:color w:val="auto"/>
              </w:rPr>
            </w:pPr>
          </w:p>
        </w:tc>
        <w:tc>
          <w:tcPr>
            <w:tcW w:w="3860" w:type="dxa"/>
            <w:vAlign w:val="bottom"/>
            <w:tcBorders>
              <w:bottom w:val="single" w:sz="8" w:color="0000EE"/>
            </w:tcBorders>
            <w:gridSpan w:val="3"/>
          </w:tcPr>
          <w:p>
            <w:pPr>
              <w:spacing w:after="0" w:line="193"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Statement on Form S-1, filed on September 27, 2021).</w:t>
              </w:r>
            </w:hyperlink>
          </w:p>
        </w:tc>
        <w:tc>
          <w:tcPr>
            <w:tcW w:w="6000" w:type="dxa"/>
            <w:vAlign w:val="bottom"/>
            <w:gridSpan w:val="18"/>
          </w:tcPr>
          <w:p>
            <w:pPr>
              <w:spacing w:after="0"/>
              <w:rPr>
                <w:sz w:val="16"/>
                <w:szCs w:val="16"/>
                <w:color w:val="auto"/>
              </w:rPr>
            </w:pPr>
          </w:p>
        </w:tc>
      </w:tr>
      <w:tr>
        <w:trPr>
          <w:trHeight w:val="29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860" w:type="dxa"/>
            <w:vAlign w:val="bottom"/>
            <w:gridSpan w:val="21"/>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Enhanced Reorganization Agreement, dated as of November 19, 2020, by and among Enhanced Capital Group, LLC, a Delaware limited</w:t>
              </w:r>
            </w:hyperlink>
          </w:p>
        </w:tc>
      </w:tr>
      <w:tr>
        <w:trPr>
          <w:trHeight w:val="20"/>
        </w:trPr>
        <w:tc>
          <w:tcPr>
            <w:tcW w:w="98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1800" w:type="dxa"/>
            <w:vAlign w:val="bottom"/>
            <w:tcBorders>
              <w:right w:val="single" w:sz="8" w:color="0000EE"/>
            </w:tcBorders>
            <w:gridSpan w:val="2"/>
            <w:shd w:val="clear" w:color="auto" w:fill="0000EE"/>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9860" w:type="dxa"/>
            <w:vAlign w:val="bottom"/>
            <w:tcBorders>
              <w:bottom w:val="single" w:sz="8" w:color="0000EE"/>
            </w:tcBorders>
            <w:gridSpan w:val="21"/>
          </w:tcPr>
          <w:p>
            <w:pPr>
              <w:spacing w:after="0" w:line="193"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liability company, Enhanced Tax Credit Finance, LLC, a Delaware limited liability company, Enhanced Capital Partners, LLC, a Delaware</w:t>
              </w:r>
            </w:hyperlink>
          </w:p>
        </w:tc>
      </w:tr>
      <w:tr>
        <w:trPr>
          <w:trHeight w:val="193"/>
        </w:trPr>
        <w:tc>
          <w:tcPr>
            <w:tcW w:w="980" w:type="dxa"/>
            <w:vAlign w:val="bottom"/>
          </w:tcPr>
          <w:p>
            <w:pPr>
              <w:spacing w:after="0"/>
              <w:rPr>
                <w:sz w:val="16"/>
                <w:szCs w:val="16"/>
                <w:color w:val="auto"/>
              </w:rPr>
            </w:pPr>
          </w:p>
        </w:tc>
        <w:tc>
          <w:tcPr>
            <w:tcW w:w="9600" w:type="dxa"/>
            <w:vAlign w:val="bottom"/>
            <w:tcBorders>
              <w:bottom w:val="single" w:sz="8" w:color="0000EE"/>
            </w:tcBorders>
            <w:gridSpan w:val="13"/>
          </w:tcPr>
          <w:p>
            <w:pPr>
              <w:spacing w:after="0" w:line="193"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limited liability company, Enhanced Permanent Capital,LLC, a Delaware limited liability company, Enhanced Capital Holdings, Inc., a</w:t>
              </w:r>
            </w:hyperlink>
          </w:p>
        </w:tc>
        <w:tc>
          <w:tcPr>
            <w:tcW w:w="260" w:type="dxa"/>
            <w:vAlign w:val="bottom"/>
            <w:gridSpan w:val="8"/>
          </w:tcPr>
          <w:p>
            <w:pPr>
              <w:spacing w:after="0"/>
              <w:rPr>
                <w:sz w:val="16"/>
                <w:szCs w:val="16"/>
                <w:color w:val="auto"/>
              </w:rPr>
            </w:pPr>
          </w:p>
        </w:tc>
      </w:tr>
      <w:tr>
        <w:trPr>
          <w:trHeight w:val="193"/>
        </w:trPr>
        <w:tc>
          <w:tcPr>
            <w:tcW w:w="980" w:type="dxa"/>
            <w:vAlign w:val="bottom"/>
          </w:tcPr>
          <w:p>
            <w:pPr>
              <w:spacing w:after="0"/>
              <w:rPr>
                <w:sz w:val="16"/>
                <w:szCs w:val="16"/>
                <w:color w:val="auto"/>
              </w:rPr>
            </w:pPr>
          </w:p>
        </w:tc>
        <w:tc>
          <w:tcPr>
            <w:tcW w:w="9860" w:type="dxa"/>
            <w:vAlign w:val="bottom"/>
            <w:gridSpan w:val="21"/>
          </w:tcPr>
          <w:p>
            <w:pPr>
              <w:spacing w:after="0" w:line="193"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Delaware corporation, and solely for purposes of Section 3.1(c), Michael Korengold (incorporated by reference to Exhibit 10.18 to the</w:t>
              </w:r>
            </w:hyperlink>
          </w:p>
        </w:tc>
      </w:tr>
      <w:tr>
        <w:trPr>
          <w:trHeight w:val="193"/>
        </w:trPr>
        <w:tc>
          <w:tcPr>
            <w:tcW w:w="980" w:type="dxa"/>
            <w:vAlign w:val="bottom"/>
          </w:tcPr>
          <w:p>
            <w:pPr>
              <w:spacing w:after="0"/>
              <w:rPr>
                <w:sz w:val="16"/>
                <w:szCs w:val="16"/>
                <w:color w:val="auto"/>
              </w:rPr>
            </w:pPr>
          </w:p>
        </w:tc>
        <w:tc>
          <w:tcPr>
            <w:tcW w:w="5620" w:type="dxa"/>
            <w:vAlign w:val="bottom"/>
            <w:tcBorders>
              <w:top w:val="single" w:sz="8" w:color="0000EE"/>
              <w:bottom w:val="single" w:sz="8" w:color="0000EE"/>
            </w:tcBorders>
            <w:gridSpan w:val="4"/>
          </w:tcPr>
          <w:p>
            <w:pPr>
              <w:spacing w:after="0" w:line="193"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Company’s RegistrationStatement on Form S-1, filed on September 27, 2021).</w:t>
              </w:r>
            </w:hyperlink>
          </w:p>
        </w:tc>
        <w:tc>
          <w:tcPr>
            <w:tcW w:w="3920" w:type="dxa"/>
            <w:vAlign w:val="bottom"/>
            <w:tcBorders>
              <w:top w:val="single" w:sz="8" w:color="0000EE"/>
            </w:tcBorders>
            <w:gridSpan w:val="8"/>
          </w:tcPr>
          <w:p>
            <w:pPr>
              <w:spacing w:after="0"/>
              <w:rPr>
                <w:sz w:val="16"/>
                <w:szCs w:val="16"/>
                <w:color w:val="auto"/>
              </w:rPr>
            </w:pPr>
          </w:p>
        </w:tc>
        <w:tc>
          <w:tcPr>
            <w:tcW w:w="320" w:type="dxa"/>
            <w:vAlign w:val="bottom"/>
            <w:gridSpan w:val="9"/>
          </w:tcPr>
          <w:p>
            <w:pPr>
              <w:spacing w:after="0"/>
              <w:rPr>
                <w:sz w:val="16"/>
                <w:szCs w:val="16"/>
                <w:color w:val="auto"/>
              </w:rPr>
            </w:pPr>
          </w:p>
        </w:tc>
      </w:tr>
      <w:tr>
        <w:trPr>
          <w:trHeight w:val="29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Amendment No. 1 to the Enhanced Reorganization Agreement, dated as of December 14, 2020, by and among Enhanced Capital Group,</w:t>
              </w:r>
            </w:hyperlink>
          </w:p>
        </w:tc>
        <w:tc>
          <w:tcPr>
            <w:tcW w:w="140" w:type="dxa"/>
            <w:vAlign w:val="bottom"/>
            <w:gridSpan w:val="3"/>
          </w:tcPr>
          <w:p>
            <w:pPr>
              <w:spacing w:after="0"/>
              <w:rPr>
                <w:sz w:val="24"/>
                <w:szCs w:val="24"/>
                <w:color w:val="auto"/>
              </w:rPr>
            </w:pPr>
          </w:p>
        </w:tc>
      </w:tr>
      <w:tr>
        <w:trPr>
          <w:trHeight w:val="193"/>
        </w:trPr>
        <w:tc>
          <w:tcPr>
            <w:tcW w:w="980" w:type="dxa"/>
            <w:vAlign w:val="bottom"/>
          </w:tcPr>
          <w:p>
            <w:pPr>
              <w:spacing w:after="0"/>
              <w:rPr>
                <w:sz w:val="16"/>
                <w:szCs w:val="16"/>
                <w:color w:val="auto"/>
              </w:rPr>
            </w:pPr>
          </w:p>
        </w:tc>
        <w:tc>
          <w:tcPr>
            <w:tcW w:w="9860" w:type="dxa"/>
            <w:vAlign w:val="bottom"/>
            <w:gridSpan w:val="21"/>
          </w:tcPr>
          <w:p>
            <w:pPr>
              <w:spacing w:after="0" w:line="193"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LLC, a Delaware limited liability company, Enhanced Tax Credit Finance, LLC, a Delaware limited liability company, Enhanced Capital</w:t>
              </w:r>
            </w:hyperlink>
          </w:p>
        </w:tc>
      </w:tr>
      <w:tr>
        <w:trPr>
          <w:trHeight w:val="193"/>
        </w:trPr>
        <w:tc>
          <w:tcPr>
            <w:tcW w:w="980" w:type="dxa"/>
            <w:vAlign w:val="bottom"/>
          </w:tcPr>
          <w:p>
            <w:pPr>
              <w:spacing w:after="0"/>
              <w:rPr>
                <w:sz w:val="16"/>
                <w:szCs w:val="16"/>
                <w:color w:val="auto"/>
              </w:rPr>
            </w:pPr>
          </w:p>
        </w:tc>
        <w:tc>
          <w:tcPr>
            <w:tcW w:w="9320" w:type="dxa"/>
            <w:vAlign w:val="bottom"/>
            <w:tcBorders>
              <w:top w:val="single" w:sz="8" w:color="0000EE"/>
              <w:bottom w:val="single" w:sz="8" w:color="0000EE"/>
            </w:tcBorders>
            <w:gridSpan w:val="8"/>
          </w:tcPr>
          <w:p>
            <w:pPr>
              <w:spacing w:after="0" w:line="193"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Partners, LLC, a Delaware limited liability company, Enhanced Permanent Capital,LLC, a Delaware limited liability company, and</w:t>
              </w:r>
            </w:hyperlink>
          </w:p>
        </w:tc>
        <w:tc>
          <w:tcPr>
            <w:tcW w:w="400" w:type="dxa"/>
            <w:vAlign w:val="bottom"/>
            <w:tcBorders>
              <w:top w:val="single" w:sz="8" w:color="0000EE"/>
            </w:tcBorders>
            <w:gridSpan w:val="10"/>
          </w:tcPr>
          <w:p>
            <w:pPr>
              <w:spacing w:after="0"/>
              <w:rPr>
                <w:sz w:val="16"/>
                <w:szCs w:val="16"/>
                <w:color w:val="auto"/>
              </w:rPr>
            </w:pPr>
          </w:p>
        </w:tc>
        <w:tc>
          <w:tcPr>
            <w:tcW w:w="140" w:type="dxa"/>
            <w:vAlign w:val="bottom"/>
            <w:gridSpan w:val="3"/>
          </w:tcPr>
          <w:p>
            <w:pPr>
              <w:spacing w:after="0"/>
              <w:rPr>
                <w:sz w:val="16"/>
                <w:szCs w:val="16"/>
                <w:color w:val="auto"/>
              </w:rPr>
            </w:pPr>
          </w:p>
        </w:tc>
      </w:tr>
      <w:tr>
        <w:trPr>
          <w:trHeight w:val="193"/>
        </w:trPr>
        <w:tc>
          <w:tcPr>
            <w:tcW w:w="980" w:type="dxa"/>
            <w:vAlign w:val="bottom"/>
          </w:tcPr>
          <w:p>
            <w:pPr>
              <w:spacing w:after="0"/>
              <w:rPr>
                <w:sz w:val="16"/>
                <w:szCs w:val="16"/>
                <w:color w:val="auto"/>
              </w:rPr>
            </w:pPr>
          </w:p>
        </w:tc>
        <w:tc>
          <w:tcPr>
            <w:tcW w:w="9860" w:type="dxa"/>
            <w:vAlign w:val="bottom"/>
            <w:gridSpan w:val="21"/>
          </w:tcPr>
          <w:p>
            <w:pPr>
              <w:spacing w:after="0" w:line="193"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Enhanced Capital Holdings, Inc., a Delaware corporation (incorporated by reference to Exhibit 10.19 to the Company’s Registration</w:t>
              </w:r>
            </w:hyperlink>
          </w:p>
        </w:tc>
      </w:tr>
      <w:tr>
        <w:trPr>
          <w:trHeight w:val="193"/>
        </w:trPr>
        <w:tc>
          <w:tcPr>
            <w:tcW w:w="980" w:type="dxa"/>
            <w:vAlign w:val="bottom"/>
          </w:tcPr>
          <w:p>
            <w:pPr>
              <w:spacing w:after="0"/>
              <w:rPr>
                <w:sz w:val="16"/>
                <w:szCs w:val="16"/>
                <w:color w:val="auto"/>
              </w:rPr>
            </w:pPr>
          </w:p>
        </w:tc>
        <w:tc>
          <w:tcPr>
            <w:tcW w:w="382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Statement on Form S-1,filed on September 27, 2021).</w:t>
              </w:r>
            </w:hyperlink>
          </w:p>
        </w:tc>
        <w:tc>
          <w:tcPr>
            <w:tcW w:w="5560" w:type="dxa"/>
            <w:vAlign w:val="bottom"/>
            <w:tcBorders>
              <w:top w:val="single" w:sz="8" w:color="0000EE"/>
            </w:tcBorders>
            <w:gridSpan w:val="7"/>
          </w:tcPr>
          <w:p>
            <w:pPr>
              <w:spacing w:after="0"/>
              <w:rPr>
                <w:sz w:val="16"/>
                <w:szCs w:val="16"/>
                <w:color w:val="auto"/>
              </w:rPr>
            </w:pPr>
          </w:p>
        </w:tc>
        <w:tc>
          <w:tcPr>
            <w:tcW w:w="480" w:type="dxa"/>
            <w:vAlign w:val="bottom"/>
            <w:gridSpan w:val="12"/>
          </w:tcPr>
          <w:p>
            <w:pPr>
              <w:spacing w:after="0"/>
              <w:rPr>
                <w:sz w:val="16"/>
                <w:szCs w:val="16"/>
                <w:color w:val="auto"/>
              </w:rPr>
            </w:pPr>
          </w:p>
        </w:tc>
      </w:tr>
    </w:tbl>
    <w:p>
      <w:pPr>
        <w:spacing w:after="0" w:line="1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40"/>
          </w:cols>
          <w:pgMar w:left="320" w:top="452"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080" w:right="140" w:hanging="878"/>
        <w:spacing w:after="0" w:line="254"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88">
        <w:r>
          <w:rPr>
            <w:rFonts w:ascii="Times New Roman" w:cs="Times New Roman" w:eastAsia="Times New Roman" w:hAnsi="Times New Roman"/>
            <w:sz w:val="18"/>
            <w:szCs w:val="18"/>
            <w:u w:val="single" w:color="auto"/>
            <w:color w:val="0000EE"/>
          </w:rPr>
          <w:t>Amendment No. 2 to the Enhanced Reorganization Agreement, dated as of December 23, 2020, but effective as of December 14, 2020, by</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and among Enhanced Capital Group, LLC, a Delaware limited liability company, Enhanced Tax Credit Finance, LLC, a Delaware limited</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liability company, Enhanced Capital Partners, LLC, a Delaware limited liability company, Enhanced Permanent Capital,LLC, a Delaware</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limited liability company, and Enhanced Capital Holdings, Inc., a Delaware corporation (incorporated by reference to Exhibit 10.20 to the</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Company’s Registration Statement on Form S-1,filed on September 27, 2021).</w:t>
        </w:r>
      </w:hyperlink>
    </w:p>
    <w:p>
      <w:pPr>
        <w:spacing w:after="0" w:line="76" w:lineRule="exact"/>
        <w:rPr>
          <w:rFonts w:ascii="Times New Roman" w:cs="Times New Roman" w:eastAsia="Times New Roman" w:hAnsi="Times New Roman"/>
          <w:sz w:val="18"/>
          <w:szCs w:val="18"/>
          <w:u w:val="single" w:color="auto"/>
          <w:color w:val="0000EE"/>
        </w:rPr>
      </w:pPr>
    </w:p>
    <w:p>
      <w:pPr>
        <w:jc w:val="both"/>
        <w:ind w:left="1080" w:right="240" w:hanging="878"/>
        <w:spacing w:after="0" w:line="25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89">
        <w:r>
          <w:rPr>
            <w:rFonts w:ascii="Times New Roman" w:cs="Times New Roman" w:eastAsia="Times New Roman" w:hAnsi="Times New Roman"/>
            <w:sz w:val="18"/>
            <w:szCs w:val="18"/>
            <w:u w:val="single" w:color="auto"/>
            <w:color w:val="0000EE"/>
          </w:rPr>
          <w:t>Administrative Services Agreement, dated as of November 19, 2020, by and between Enhanced Capital Group, LLC, a Delaware limited</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liability company, and Enhanced Capital Holdings, Inc., a Delaware corporation. Certain information in this document has been omitted</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pursuant to Regulation S-K, Item 601(a)(6) because it contains personally identifiable information (incorporated by reference to Exhibit</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10.21 to the Company’s Registration Statement on Form S-1, filed on September 27, 2021).</w:t>
        </w:r>
      </w:hyperlink>
    </w:p>
    <w:p>
      <w:pPr>
        <w:spacing w:after="0" w:line="75" w:lineRule="exact"/>
        <w:rPr>
          <w:rFonts w:ascii="Times New Roman" w:cs="Times New Roman" w:eastAsia="Times New Roman" w:hAnsi="Times New Roman"/>
          <w:sz w:val="18"/>
          <w:szCs w:val="18"/>
          <w:u w:val="single" w:color="auto"/>
          <w:color w:val="0000EE"/>
        </w:rPr>
      </w:pPr>
    </w:p>
    <w:p>
      <w:pPr>
        <w:ind w:left="1080" w:right="160" w:hanging="878"/>
        <w:spacing w:after="0" w:line="25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90">
        <w:r>
          <w:rPr>
            <w:rFonts w:ascii="Times New Roman" w:cs="Times New Roman" w:eastAsia="Times New Roman" w:hAnsi="Times New Roman"/>
            <w:sz w:val="18"/>
            <w:szCs w:val="18"/>
            <w:u w:val="single" w:color="auto"/>
            <w:color w:val="0000EE"/>
          </w:rPr>
          <w:t>Advisory Agreement, dated as of November 19, 2020, by and between Enhanced Capital Group, LLC, a Delaware limited liability</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company, and Enhanced Permanent Capital, LLC, a Delaware limited liability company (incorporated by reference to Exhibit 10.22 to the</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Company’s Registration Statement on Form S-1, filed on September 27, 2021). Certain information in this document has been omitted</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pursuant to Regulation S-K, Item 601(a)(6) because it containspersonally identifiable information.</w:t>
        </w:r>
      </w:hyperlink>
    </w:p>
    <w:p>
      <w:pPr>
        <w:spacing w:after="0" w:line="75" w:lineRule="exact"/>
        <w:rPr>
          <w:rFonts w:ascii="Times New Roman" w:cs="Times New Roman" w:eastAsia="Times New Roman" w:hAnsi="Times New Roman"/>
          <w:sz w:val="18"/>
          <w:szCs w:val="18"/>
          <w:u w:val="single" w:color="auto"/>
          <w:color w:val="0000EE"/>
        </w:rPr>
      </w:pPr>
    </w:p>
    <w:p>
      <w:pPr>
        <w:ind w:left="1080" w:right="580" w:hanging="878"/>
        <w:spacing w:after="0" w:line="27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91">
        <w:r>
          <w:rPr>
            <w:rFonts w:ascii="Times New Roman" w:cs="Times New Roman" w:eastAsia="Times New Roman" w:hAnsi="Times New Roman"/>
            <w:sz w:val="18"/>
            <w:szCs w:val="18"/>
            <w:u w:val="single" w:color="auto"/>
            <w:color w:val="0000EE"/>
          </w:rPr>
          <w:t>Form of Company Lock-Up Agreement, by and between P10, Inc. and the party listed on the signature pagethereto (incorporated by</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reference to Exhibit 10.28 to the Company’s Registration Statement on Form S-1, filed on October 12, 2021).</w:t>
        </w:r>
      </w:hyperlink>
    </w:p>
    <w:p>
      <w:pPr>
        <w:spacing w:after="0" w:line="56" w:lineRule="exact"/>
        <w:rPr>
          <w:sz w:val="20"/>
          <w:szCs w:val="20"/>
          <w:color w:val="auto"/>
        </w:rPr>
      </w:pPr>
    </w:p>
    <w:p>
      <w:pPr>
        <w:ind w:left="1080" w:right="200" w:hanging="878"/>
        <w:spacing w:after="0" w:line="25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92">
        <w:r>
          <w:rPr>
            <w:rFonts w:ascii="Times New Roman" w:cs="Times New Roman" w:eastAsia="Times New Roman" w:hAnsi="Times New Roman"/>
            <w:sz w:val="18"/>
            <w:szCs w:val="18"/>
            <w:u w:val="single" w:color="auto"/>
            <w:color w:val="0000EE"/>
          </w:rPr>
          <w:t>Sale and Purchase Agreement, dated August 25, 2022, by and among Westech Investment Advisors LLC, P10, Inc., Westech Investment</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Management, Inc., Maurice C. Werdegar, David R. Wanek, the Bonnie Sue Swenson Survivors Trust and Jay L. Cohan, and David R.</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Wanek (in his capacity as the Seller Representative) (incorporated by reference to Exhibit 10.1 to the Company’s Current Report on Form</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8-K filed on August 26, 2022).</w:t>
        </w:r>
      </w:hyperlink>
    </w:p>
    <w:p>
      <w:pPr>
        <w:spacing w:after="0" w:line="75" w:lineRule="exact"/>
        <w:rPr>
          <w:rFonts w:ascii="Times New Roman" w:cs="Times New Roman" w:eastAsia="Times New Roman" w:hAnsi="Times New Roman"/>
          <w:sz w:val="18"/>
          <w:szCs w:val="18"/>
          <w:u w:val="single" w:color="auto"/>
          <w:color w:val="0000EE"/>
        </w:rPr>
      </w:pPr>
    </w:p>
    <w:p>
      <w:pPr>
        <w:ind w:left="1080" w:right="240" w:hanging="878"/>
        <w:spacing w:after="0" w:line="306" w:lineRule="auto"/>
        <w:tabs>
          <w:tab w:leader="none" w:pos="1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93">
        <w:r>
          <w:rPr>
            <w:rFonts w:ascii="Times New Roman" w:cs="Times New Roman" w:eastAsia="Times New Roman" w:hAnsi="Times New Roman"/>
            <w:sz w:val="17"/>
            <w:szCs w:val="17"/>
            <w:u w:val="single" w:color="auto"/>
            <w:color w:val="0000EE"/>
          </w:rPr>
          <w:t>Exchange Agreement, dated August 25, 2022 by and among P10, Inc., P10 Holdings Inc., P10 Intermediate Holdings LLC, and the other</w:t>
        </w:r>
      </w:hyperlink>
      <w:r>
        <w:rPr>
          <w:rFonts w:ascii="Times New Roman" w:cs="Times New Roman" w:eastAsia="Times New Roman" w:hAnsi="Times New Roman"/>
          <w:sz w:val="17"/>
          <w:szCs w:val="17"/>
          <w:u w:val="single" w:color="auto"/>
          <w:color w:val="0000EE"/>
        </w:rPr>
        <w:t xml:space="preserve"> </w:t>
      </w:r>
      <w:hyperlink r:id="rId93">
        <w:r>
          <w:rPr>
            <w:rFonts w:ascii="Times New Roman" w:cs="Times New Roman" w:eastAsia="Times New Roman" w:hAnsi="Times New Roman"/>
            <w:sz w:val="17"/>
            <w:szCs w:val="17"/>
            <w:u w:val="single" w:color="auto"/>
            <w:color w:val="0000EE"/>
          </w:rPr>
          <w:t>signatories thereto (incorporated by reference to Exhibit 10.2 to the Company’s Current Report on Form 8-K filed on August 26, 2022).</w:t>
        </w:r>
      </w:hyperlink>
    </w:p>
    <w:p>
      <w:pPr>
        <w:spacing w:after="0" w:line="34" w:lineRule="exact"/>
        <w:rPr>
          <w:sz w:val="20"/>
          <w:szCs w:val="20"/>
          <w:color w:val="auto"/>
        </w:rPr>
      </w:pPr>
    </w:p>
    <w:p>
      <w:pPr>
        <w:ind w:left="1080" w:hanging="878"/>
        <w:spacing w:after="0" w:line="261"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94">
        <w:r>
          <w:rPr>
            <w:rFonts w:ascii="Times New Roman" w:cs="Times New Roman" w:eastAsia="Times New Roman" w:hAnsi="Times New Roman"/>
            <w:sz w:val="18"/>
            <w:szCs w:val="18"/>
            <w:u w:val="single" w:color="auto"/>
            <w:color w:val="0000EE"/>
          </w:rPr>
          <w:t>Increase Joinder and Credit Agreement First Amendment, dated August 25, 2022, by and among P10, Inc., the Guarantors party thereto</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from time to time, the Lenders party thereto from time to time and JPMorgan Chase Bank, N.A., as administrative agent and collateral agent</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(incorporated by reference to Exhibit 10.3 to the Company’s Current Report in Form 8-K filed on August 26, 2022).</w:t>
        </w:r>
      </w:hyperlink>
    </w:p>
    <w:p>
      <w:pPr>
        <w:spacing w:after="0" w:line="70" w:lineRule="exact"/>
        <w:rPr>
          <w:rFonts w:ascii="Times New Roman" w:cs="Times New Roman" w:eastAsia="Times New Roman" w:hAnsi="Times New Roman"/>
          <w:sz w:val="18"/>
          <w:szCs w:val="18"/>
          <w:u w:val="single" w:color="auto"/>
          <w:color w:val="0000EE"/>
        </w:rPr>
      </w:pPr>
    </w:p>
    <w:p>
      <w:pPr>
        <w:ind w:left="200"/>
        <w:spacing w:after="0"/>
        <w:tabs>
          <w:tab w:leader="none" w:pos="1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95">
        <w:r>
          <w:rPr>
            <w:rFonts w:ascii="Times New Roman" w:cs="Times New Roman" w:eastAsia="Times New Roman" w:hAnsi="Times New Roman"/>
            <w:sz w:val="17"/>
            <w:szCs w:val="17"/>
            <w:u w:val="single" w:color="auto"/>
            <w:color w:val="0000EE"/>
          </w:rPr>
          <w:t>List of Subsidiaries (incorporated by reference to Exhibit 21.1 to the Company’s Annual Report on Form 10-K filed on March 13, 2024).</w:t>
        </w:r>
      </w:hyperlink>
    </w:p>
    <w:p>
      <w:pPr>
        <w:spacing w:after="0" w:line="112" w:lineRule="exact"/>
        <w:rPr>
          <w:rFonts w:ascii="Times New Roman" w:cs="Times New Roman" w:eastAsia="Times New Roman" w:hAnsi="Times New Roman"/>
          <w:sz w:val="18"/>
          <w:szCs w:val="18"/>
          <w:u w:val="single" w:color="auto"/>
          <w:color w:val="0000EE"/>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KPMG LLP, Independent Registered Public Accounting Firm</w:t>
      </w:r>
    </w:p>
    <w:p>
      <w:pPr>
        <w:spacing w:after="0" w:line="112" w:lineRule="exact"/>
        <w:rPr>
          <w:rFonts w:ascii="Times New Roman" w:cs="Times New Roman" w:eastAsia="Times New Roman" w:hAnsi="Times New Roman"/>
          <w:sz w:val="18"/>
          <w:szCs w:val="18"/>
          <w:u w:val="single" w:color="auto"/>
          <w:color w:val="0000EE"/>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Kramer Levin Naftalis &amp; Frankel LLP (included in Exhibit 5.1)</w:t>
      </w:r>
    </w:p>
    <w:p>
      <w:pPr>
        <w:spacing w:after="0" w:line="112" w:lineRule="exact"/>
        <w:rPr>
          <w:rFonts w:ascii="Times New Roman" w:cs="Times New Roman" w:eastAsia="Times New Roman" w:hAnsi="Times New Roman"/>
          <w:sz w:val="18"/>
          <w:szCs w:val="18"/>
          <w:u w:val="single" w:color="auto"/>
          <w:color w:val="0000EE"/>
        </w:rPr>
      </w:pPr>
    </w:p>
    <w:p>
      <w:pPr>
        <w:ind w:left="200"/>
        <w:spacing w:after="0"/>
        <w:tabs>
          <w:tab w:leader="none" w:pos="1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96">
        <w:r>
          <w:rPr>
            <w:rFonts w:ascii="Times New Roman" w:cs="Times New Roman" w:eastAsia="Times New Roman" w:hAnsi="Times New Roman"/>
            <w:sz w:val="17"/>
            <w:szCs w:val="17"/>
            <w:u w:val="single" w:color="auto"/>
            <w:color w:val="0000EE"/>
          </w:rPr>
          <w:t>Power of Attorney (included on signature page of the Company’s Registration Statement on Form S-1 (333-279769) filed on May 29, 2024)</w:t>
        </w:r>
      </w:hyperlink>
    </w:p>
    <w:p>
      <w:pPr>
        <w:spacing w:after="0" w:line="112" w:lineRule="exact"/>
        <w:rPr>
          <w:rFonts w:ascii="Times New Roman" w:cs="Times New Roman" w:eastAsia="Times New Roman" w:hAnsi="Times New Roman"/>
          <w:sz w:val="18"/>
          <w:szCs w:val="18"/>
          <w:u w:val="single" w:color="auto"/>
          <w:color w:val="0000EE"/>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46" w:lineRule="exact"/>
        <w:rPr>
          <w:rFonts w:ascii="Times New Roman" w:cs="Times New Roman" w:eastAsia="Times New Roman" w:hAnsi="Times New Roman"/>
          <w:sz w:val="18"/>
          <w:szCs w:val="18"/>
          <w:u w:val="single" w:color="auto"/>
          <w:color w:val="0000EE"/>
        </w:rPr>
      </w:pPr>
    </w:p>
    <w:p>
      <w:pPr>
        <w:ind w:left="620" w:hanging="427"/>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 w:lineRule="exact"/>
        <w:rPr>
          <w:rFonts w:ascii="Times New Roman" w:cs="Times New Roman" w:eastAsia="Times New Roman" w:hAnsi="Times New Roman"/>
          <w:sz w:val="18"/>
          <w:szCs w:val="18"/>
          <w:u w:val="single" w:color="auto"/>
          <w:color w:val="0000EE"/>
        </w:rPr>
      </w:pPr>
    </w:p>
    <w:p>
      <w:pPr>
        <w:ind w:left="620" w:hanging="427"/>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compensation plans and arrangements.</w:t>
      </w:r>
    </w:p>
    <w:p>
      <w:pPr>
        <w:spacing w:after="0" w:line="133" w:lineRule="exact"/>
        <w:rPr>
          <w:rFonts w:ascii="Times New Roman" w:cs="Times New Roman" w:eastAsia="Times New Roman" w:hAnsi="Times New Roman"/>
          <w:sz w:val="18"/>
          <w:szCs w:val="18"/>
          <w:u w:val="single" w:color="auto"/>
          <w:color w:val="0000EE"/>
        </w:rPr>
      </w:pPr>
    </w:p>
    <w:p>
      <w:pPr>
        <w:jc w:val="center"/>
        <w:ind w:right="-2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40"/>
          </w:cols>
          <w:pgMar w:left="320" w:top="452" w:right="5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8" w:lineRule="exact"/>
        <w:rPr>
          <w:sz w:val="20"/>
          <w:szCs w:val="20"/>
          <w:color w:val="auto"/>
        </w:rPr>
      </w:pPr>
    </w:p>
    <w:p>
      <w:pPr>
        <w:ind w:left="620" w:hanging="427"/>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26" w:lineRule="exact"/>
        <w:rPr>
          <w:sz w:val="20"/>
          <w:szCs w:val="20"/>
          <w:color w:val="auto"/>
        </w:rPr>
      </w:pPr>
    </w:p>
    <w:p>
      <w:pPr>
        <w:ind w:left="620" w:hanging="427"/>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26" w:lineRule="exact"/>
        <w:rPr>
          <w:sz w:val="20"/>
          <w:szCs w:val="20"/>
          <w:color w:val="auto"/>
        </w:rPr>
      </w:pPr>
    </w:p>
    <w:p>
      <w:pPr>
        <w:ind w:left="620" w:hanging="427"/>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25" w:lineRule="exact"/>
        <w:rPr>
          <w:rFonts w:ascii="Times New Roman" w:cs="Times New Roman" w:eastAsia="Times New Roman" w:hAnsi="Times New Roman"/>
          <w:sz w:val="18"/>
          <w:szCs w:val="18"/>
          <w:color w:val="auto"/>
        </w:rPr>
      </w:pPr>
    </w:p>
    <w:p>
      <w:pPr>
        <w:ind w:left="620" w:right="140" w:hanging="427"/>
        <w:spacing w:after="0" w:line="251"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Tables” or “Calculation of Registration Fee” table, as applicable, in the effective registration statement; and</w:t>
      </w:r>
    </w:p>
    <w:p>
      <w:pPr>
        <w:spacing w:after="0" w:line="95" w:lineRule="exact"/>
        <w:rPr>
          <w:rFonts w:ascii="Times New Roman" w:cs="Times New Roman" w:eastAsia="Times New Roman" w:hAnsi="Times New Roman"/>
          <w:sz w:val="18"/>
          <w:szCs w:val="18"/>
          <w:color w:val="auto"/>
        </w:rPr>
      </w:pPr>
    </w:p>
    <w:p>
      <w:pPr>
        <w:ind w:left="620" w:right="220" w:hanging="427"/>
        <w:spacing w:after="0" w:line="276"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ind w:left="200" w:right="180"/>
        <w:spacing w:after="0" w:line="25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as amended,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620" w:right="60" w:hanging="427"/>
        <w:spacing w:after="0" w:line="261"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3" w:lineRule="exact"/>
        <w:rPr>
          <w:rFonts w:ascii="Times New Roman" w:cs="Times New Roman" w:eastAsia="Times New Roman" w:hAnsi="Times New Roman"/>
          <w:sz w:val="18"/>
          <w:szCs w:val="18"/>
          <w:color w:val="auto"/>
        </w:rPr>
      </w:pPr>
    </w:p>
    <w:p>
      <w:pPr>
        <w:ind w:left="620" w:hanging="427"/>
        <w:spacing w:after="0" w:line="276"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9" w:lineRule="exact"/>
        <w:rPr>
          <w:rFonts w:ascii="Times New Roman" w:cs="Times New Roman" w:eastAsia="Times New Roman" w:hAnsi="Times New Roman"/>
          <w:sz w:val="18"/>
          <w:szCs w:val="18"/>
          <w:color w:val="auto"/>
        </w:rPr>
      </w:pPr>
    </w:p>
    <w:p>
      <w:pPr>
        <w:ind w:left="620" w:hanging="427"/>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26" w:lineRule="exact"/>
        <w:rPr>
          <w:sz w:val="20"/>
          <w:szCs w:val="20"/>
          <w:color w:val="auto"/>
        </w:rPr>
      </w:pPr>
    </w:p>
    <w:p>
      <w:pPr>
        <w:ind w:left="620" w:right="180" w:hanging="427"/>
        <w:spacing w:after="0" w:line="276"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9" w:lineRule="exact"/>
        <w:rPr>
          <w:rFonts w:ascii="Times New Roman" w:cs="Times New Roman" w:eastAsia="Times New Roman" w:hAnsi="Times New Roman"/>
          <w:sz w:val="18"/>
          <w:szCs w:val="18"/>
          <w:color w:val="auto"/>
        </w:rPr>
      </w:pPr>
    </w:p>
    <w:p>
      <w:pPr>
        <w:ind w:left="620" w:hanging="427"/>
        <w:spacing w:after="0" w:line="249"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20"/>
          </w:cols>
          <w:pgMar w:left="320" w:top="452" w:right="5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4" w:lineRule="exact"/>
        <w:rPr>
          <w:sz w:val="20"/>
          <w:szCs w:val="20"/>
          <w:color w:val="auto"/>
        </w:rPr>
      </w:pPr>
    </w:p>
    <w:p>
      <w:pPr>
        <w:ind w:left="620" w:right="20" w:hanging="427"/>
        <w:spacing w:after="0" w:line="254"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sz w:val="20"/>
          <w:szCs w:val="20"/>
          <w:color w:val="auto"/>
        </w:rPr>
      </w:pPr>
    </w:p>
    <w:p>
      <w:pPr>
        <w:ind w:left="620" w:hanging="427"/>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25" w:lineRule="exact"/>
        <w:rPr>
          <w:rFonts w:ascii="Times New Roman" w:cs="Times New Roman" w:eastAsia="Times New Roman" w:hAnsi="Times New Roman"/>
          <w:sz w:val="18"/>
          <w:szCs w:val="18"/>
          <w:color w:val="auto"/>
        </w:rPr>
      </w:pPr>
    </w:p>
    <w:p>
      <w:pPr>
        <w:ind w:left="620" w:hanging="427"/>
        <w:spacing w:after="0" w:line="276"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9" w:lineRule="exact"/>
        <w:rPr>
          <w:rFonts w:ascii="Times New Roman" w:cs="Times New Roman" w:eastAsia="Times New Roman" w:hAnsi="Times New Roman"/>
          <w:sz w:val="18"/>
          <w:szCs w:val="18"/>
          <w:color w:val="auto"/>
        </w:rPr>
      </w:pPr>
    </w:p>
    <w:p>
      <w:pPr>
        <w:ind w:left="620" w:right="360" w:hanging="427"/>
        <w:spacing w:after="0" w:line="276"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9" w:lineRule="exact"/>
        <w:rPr>
          <w:rFonts w:ascii="Times New Roman" w:cs="Times New Roman" w:eastAsia="Times New Roman" w:hAnsi="Times New Roman"/>
          <w:sz w:val="18"/>
          <w:szCs w:val="18"/>
          <w:color w:val="auto"/>
        </w:rPr>
      </w:pPr>
    </w:p>
    <w:p>
      <w:pPr>
        <w:ind w:left="620" w:hanging="427"/>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26" w:lineRule="exact"/>
        <w:rPr>
          <w:sz w:val="20"/>
          <w:szCs w:val="20"/>
          <w:color w:val="auto"/>
        </w:rPr>
      </w:pPr>
    </w:p>
    <w:p>
      <w:pPr>
        <w:ind w:left="620" w:right="60" w:hanging="427"/>
        <w:spacing w:after="0" w:line="251"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60"/>
          </w:cols>
          <w:pgMar w:left="320" w:top="452"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left="200" w:right="200" w:firstLine="434"/>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July 19, 2024.</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By: /s/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15240</wp:posOffset>
            </wp:positionV>
            <wp:extent cx="2560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Name: Luke A. Sarsfield III</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Title: Chairman of the Board and Chief</w:t>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Executive Officer</w:t>
      </w:r>
    </w:p>
    <w:p>
      <w:pPr>
        <w:spacing w:after="0" w:line="213" w:lineRule="exact"/>
        <w:rPr>
          <w:sz w:val="20"/>
          <w:szCs w:val="20"/>
          <w:color w:val="auto"/>
        </w:rPr>
      </w:pPr>
    </w:p>
    <w:p>
      <w:pPr>
        <w:ind w:left="200" w:right="700" w:firstLine="434"/>
        <w:spacing w:after="0" w:line="29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following persons in the capacities indicated have signed this Registration Statement on the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July, 2024.</w:t>
      </w:r>
    </w:p>
    <w:p>
      <w:pPr>
        <w:spacing w:after="0" w:line="48"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0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Luke A. Sarsfield III</w:t>
            </w:r>
          </w:p>
        </w:tc>
        <w:tc>
          <w:tcPr>
            <w:tcW w:w="2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 (Principal Executive</w:t>
            </w:r>
          </w:p>
        </w:tc>
      </w:tr>
      <w:tr>
        <w:trPr>
          <w:trHeight w:val="22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Luke A. Sarsfield III</w:t>
            </w:r>
          </w:p>
        </w:tc>
        <w:tc>
          <w:tcPr>
            <w:tcW w:w="2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Officer) and Director</w:t>
            </w:r>
          </w:p>
        </w:tc>
      </w:tr>
      <w:tr>
        <w:trPr>
          <w:trHeight w:val="420"/>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Amanda Coussens</w:t>
            </w:r>
          </w:p>
        </w:tc>
        <w:tc>
          <w:tcPr>
            <w:tcW w:w="2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 Accounting</w:t>
            </w:r>
          </w:p>
        </w:tc>
      </w:tr>
      <w:tr>
        <w:trPr>
          <w:trHeight w:val="22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Amanda Coussens</w:t>
            </w:r>
          </w:p>
        </w:tc>
        <w:tc>
          <w:tcPr>
            <w:tcW w:w="2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20"/>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Robert Alpert</w:t>
            </w:r>
          </w:p>
        </w:tc>
        <w:tc>
          <w:tcPr>
            <w:tcW w:w="22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0"/>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Travis Barnes</w:t>
            </w:r>
          </w:p>
        </w:tc>
        <w:tc>
          <w:tcPr>
            <w:tcW w:w="22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0"/>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Tracey Benford</w:t>
            </w:r>
          </w:p>
        </w:tc>
        <w:tc>
          <w:tcPr>
            <w:tcW w:w="22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0"/>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Scott Gwilliam</w:t>
            </w:r>
          </w:p>
        </w:tc>
        <w:tc>
          <w:tcPr>
            <w:tcW w:w="22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0"/>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David McCoy</w:t>
            </w:r>
          </w:p>
        </w:tc>
        <w:tc>
          <w:tcPr>
            <w:tcW w:w="22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0"/>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Edwin Poston</w:t>
            </w:r>
          </w:p>
        </w:tc>
        <w:tc>
          <w:tcPr>
            <w:tcW w:w="22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0"/>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Robert B. Stewart, Jr.</w:t>
            </w:r>
          </w:p>
        </w:tc>
        <w:tc>
          <w:tcPr>
            <w:tcW w:w="22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0"/>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 Clark Webb</w:t>
            </w:r>
          </w:p>
        </w:tc>
        <w:tc>
          <w:tcPr>
            <w:tcW w:w="220" w:type="dxa"/>
            <w:vAlign w:val="bottom"/>
          </w:tcPr>
          <w:p>
            <w:pPr>
              <w:spacing w:after="0"/>
              <w:rPr>
                <w:sz w:val="19"/>
                <w:szCs w:val="19"/>
                <w:color w:val="auto"/>
              </w:rPr>
            </w:pPr>
          </w:p>
        </w:tc>
        <w:tc>
          <w:tcPr>
            <w:tcW w:w="5780" w:type="dxa"/>
            <w:vAlign w:val="bottom"/>
          </w:tcPr>
          <w:p>
            <w:pPr>
              <w:spacing w:after="0"/>
              <w:rPr>
                <w:sz w:val="19"/>
                <w:szCs w:val="19"/>
                <w:color w:val="auto"/>
              </w:rPr>
            </w:pPr>
          </w:p>
        </w:tc>
      </w:tr>
    </w:tbl>
    <w:p>
      <w:pPr>
        <w:spacing w:after="0" w:line="215" w:lineRule="exact"/>
        <w:rPr>
          <w:sz w:val="20"/>
          <w:szCs w:val="20"/>
          <w:color w:val="auto"/>
        </w:rPr>
      </w:pPr>
    </w:p>
    <w:p>
      <w:pPr>
        <w:ind w:left="200" w:right="8800" w:hanging="7"/>
        <w:spacing w:after="0" w:line="276" w:lineRule="auto"/>
        <w:tabs>
          <w:tab w:leader="none" w:pos="3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Amanda Coussens Amanda Coussens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-288925</wp:posOffset>
            </wp:positionV>
            <wp:extent cx="24511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sectPr>
          <w:pgSz w:w="11900" w:h="16838" w:orient="portrait"/>
          <w:cols w:equalWidth="0" w:num="1">
            <w:col w:w="11060"/>
          </w:cols>
          <w:pgMar w:left="320" w:top="452" w:right="5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168910</wp:posOffset>
            </wp:positionV>
            <wp:extent cx="1538605" cy="2368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a:extLst>
                        <a:ext uri="{28A0092B-C50C-407E-A947-70E740481C1C}"/>
                      </a:extLst>
                    </a:blip>
                    <a:srcRect/>
                    <a:stretch>
                      <a:fillRect/>
                    </a:stretch>
                  </pic:blipFill>
                  <pic:spPr bwMode="auto">
                    <a:xfrm>
                      <a:off x="0" y="0"/>
                      <a:ext cx="1538605" cy="236855"/>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168910</wp:posOffset>
            </wp:positionV>
            <wp:extent cx="608330" cy="583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a:extLst>
                        <a:ext uri="{28A0092B-C50C-407E-A947-70E740481C1C}"/>
                      </a:extLst>
                    </a:blip>
                    <a:srcRect/>
                    <a:stretch>
                      <a:fillRect/>
                    </a:stretch>
                  </pic:blipFill>
                  <pic:spPr bwMode="auto">
                    <a:xfrm>
                      <a:off x="0" y="0"/>
                      <a:ext cx="608330" cy="58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1177 Avenue of the Americas</w:t>
      </w:r>
    </w:p>
    <w:p>
      <w:pPr>
        <w:spacing w:after="0" w:line="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T  212.715.9100</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F  212.715.8000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19,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P10,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75205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2" w:lineRule="exact"/>
        <w:rPr>
          <w:sz w:val="20"/>
          <w:szCs w:val="20"/>
          <w:color w:val="auto"/>
        </w:rPr>
      </w:pPr>
    </w:p>
    <w:p>
      <w:pPr>
        <w:ind w:firstLine="434"/>
        <w:spacing w:after="0" w:line="266" w:lineRule="auto"/>
        <w:rPr>
          <w:sz w:val="20"/>
          <w:szCs w:val="20"/>
          <w:color w:val="auto"/>
        </w:rPr>
      </w:pPr>
      <w:r>
        <w:rPr>
          <w:rFonts w:ascii="Times New Roman" w:cs="Times New Roman" w:eastAsia="Times New Roman" w:hAnsi="Times New Roman"/>
          <w:sz w:val="17"/>
          <w:szCs w:val="17"/>
          <w:color w:val="auto"/>
        </w:rPr>
        <w:t>We have acted as counsel to P10, Inc., a Delaware corporation (the “Registrant”), in connection with the preparation and filing by the Registrant of a Registration Statement on Form S-1 (as amended, the “Registration Statement”) with the Securities and Exchange Commission (the “Commission”) with respect to the registration under the Securities Act of 1933, as amended (the “Act”), of the proposed resale by the selling stockholders named in the Registration Statement of up to 56,553,931 shares of the Registrant’s Class A common stock, par value $0.001 per share (the “Class A Common Stock”), consisting of (i) 4,572,455 outstanding shares of Class A Common Stock (the “Issued Shares”), (ii) up to 50,667,351 shares of Class A Common Stock (the “Conversion Shares”) issuable upon conversion of shares of the Company’s Class B common stock, par value $0.001 per share, (iii) up to 442,064 shares of Class A Common Stock issuable upon vesting and settlement of restricted stock units (the “RSU Shares”), (iv) up to 21,875 outstanding restricted shares of Class A Common Stock that remain subject to vesting (the “Issued Restricted Shares”) and (v) up to 850,186 shares of Class A Common Stock issuable upon exercise of stock options (the “Option Shares”, and together with the Conversion Shares and the RSU Shares, the “Issuable Shares”, and the Issuable Shares, together with the Issued Shares and Issued Restricted Shares, the “Shares”).</w:t>
      </w:r>
    </w:p>
    <w:p>
      <w:pPr>
        <w:spacing w:after="0" w:line="176" w:lineRule="exact"/>
        <w:rPr>
          <w:sz w:val="20"/>
          <w:szCs w:val="20"/>
          <w:color w:val="auto"/>
        </w:rPr>
      </w:pPr>
    </w:p>
    <w:p>
      <w:pPr>
        <w:ind w:right="80" w:firstLine="434"/>
        <w:spacing w:after="0" w:line="256" w:lineRule="auto"/>
        <w:rPr>
          <w:sz w:val="20"/>
          <w:szCs w:val="20"/>
          <w:color w:val="auto"/>
        </w:rPr>
      </w:pPr>
      <w:r>
        <w:rPr>
          <w:rFonts w:ascii="Times New Roman" w:cs="Times New Roman" w:eastAsia="Times New Roman" w:hAnsi="Times New Roman"/>
          <w:sz w:val="18"/>
          <w:szCs w:val="18"/>
          <w:color w:val="auto"/>
        </w:rPr>
        <w:t>We have reviewed copies of (i) the Registration Statement and the related form of prospectus included therein, in substantially the form filed or to be filed with the Commission pursuant to the Act, (ii) the Registrant’s certificate of incorporation and bylaws, each as currently in effect on the date hereof, and (iii) resolutions of the Board of Directors of the Registrant authorizing the issuance of the Shares and the filing of the Registration Statement.</w:t>
      </w:r>
    </w:p>
    <w:p>
      <w:pPr>
        <w:spacing w:after="0" w:line="182" w:lineRule="exact"/>
        <w:rPr>
          <w:sz w:val="20"/>
          <w:szCs w:val="20"/>
          <w:color w:val="auto"/>
        </w:rPr>
      </w:pPr>
    </w:p>
    <w:p>
      <w:pPr>
        <w:jc w:val="both"/>
        <w:ind w:right="140" w:firstLine="434"/>
        <w:spacing w:after="0" w:line="261" w:lineRule="auto"/>
        <w:rPr>
          <w:sz w:val="20"/>
          <w:szCs w:val="20"/>
          <w:color w:val="auto"/>
        </w:rPr>
      </w:pPr>
      <w:r>
        <w:rPr>
          <w:rFonts w:ascii="Times New Roman" w:cs="Times New Roman" w:eastAsia="Times New Roman" w:hAnsi="Times New Roman"/>
          <w:sz w:val="18"/>
          <w:szCs w:val="18"/>
          <w:color w:val="auto"/>
        </w:rPr>
        <w:t>We have also reviewed such other documents and made such other investigations as we have deemed appropriate. As to various questions of fact material to this opinion, we have relied upon statements, representations and certificates of officers or representatives of the Registrant, public officials and others. We have not independently verified the facts so relied on.</w:t>
      </w:r>
    </w:p>
    <w:p>
      <w:pPr>
        <w:spacing w:after="0" w:line="350" w:lineRule="exact"/>
        <w:rPr>
          <w:sz w:val="20"/>
          <w:szCs w:val="20"/>
          <w:color w:val="auto"/>
        </w:rPr>
      </w:pPr>
    </w:p>
    <w:p>
      <w:pPr>
        <w:spacing w:after="0"/>
        <w:tabs>
          <w:tab w:leader="none" w:pos="7720" w:val="left"/>
        </w:tabs>
        <w:rPr>
          <w:sz w:val="20"/>
          <w:szCs w:val="20"/>
          <w:color w:val="auto"/>
        </w:rPr>
      </w:pPr>
      <w:r>
        <w:rPr>
          <w:rFonts w:ascii="Times New Roman" w:cs="Times New Roman" w:eastAsia="Times New Roman" w:hAnsi="Times New Roman"/>
          <w:sz w:val="18"/>
          <w:szCs w:val="18"/>
          <w:color w:val="auto"/>
        </w:rPr>
        <w:t>KRAMER LEVIN NAFTALIS &amp; FRANKEL LLP</w:t>
      </w:r>
      <w:r>
        <w:rPr>
          <w:sz w:val="20"/>
          <w:szCs w:val="20"/>
          <w:color w:val="auto"/>
        </w:rPr>
        <w:tab/>
      </w:r>
      <w:r>
        <w:rPr>
          <w:rFonts w:ascii="Times New Roman" w:cs="Times New Roman" w:eastAsia="Times New Roman" w:hAnsi="Times New Roman"/>
          <w:sz w:val="17"/>
          <w:szCs w:val="17"/>
          <w:color w:val="auto"/>
        </w:rPr>
        <w:t>NEW YORK | SILICON VALLEY | PARIS</w:t>
      </w:r>
    </w:p>
    <w:p>
      <w:pPr>
        <w:sectPr>
          <w:pgSz w:w="11900" w:h="16838" w:orient="portrait"/>
          <w:cols w:equalWidth="0" w:num="1">
            <w:col w:w="10860"/>
          </w:cols>
          <w:pgMar w:left="520" w:top="119"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6351905</wp:posOffset>
            </wp:positionH>
            <wp:positionV relativeFrom="paragraph">
              <wp:posOffset>-118110</wp:posOffset>
            </wp:positionV>
            <wp:extent cx="541020" cy="541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extLst>
                    </a:blip>
                    <a:srcRect/>
                    <a:stretch>
                      <a:fillRect/>
                    </a:stretch>
                  </pic:blipFill>
                  <pic:spPr bwMode="auto">
                    <a:xfrm>
                      <a:off x="0" y="0"/>
                      <a:ext cx="541020" cy="5410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19, 2024</w:t>
      </w:r>
    </w:p>
    <w:p>
      <w:pPr>
        <w:spacing w:after="0" w:line="200" w:lineRule="exact"/>
        <w:rPr>
          <w:sz w:val="20"/>
          <w:szCs w:val="20"/>
          <w:color w:val="auto"/>
        </w:rPr>
      </w:pPr>
    </w:p>
    <w:p>
      <w:pPr>
        <w:spacing w:after="0" w:line="359" w:lineRule="exact"/>
        <w:rPr>
          <w:sz w:val="20"/>
          <w:szCs w:val="20"/>
          <w:color w:val="auto"/>
        </w:rPr>
      </w:pPr>
    </w:p>
    <w:p>
      <w:pPr>
        <w:ind w:right="120" w:firstLine="434"/>
        <w:spacing w:after="0" w:line="25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limitations and assumptions set forth herein, we are of the opinion that (i) the Issued Shares and the Issued Restricted Shares have been legally issued and are fully paid and non-assessable; and (ii) the Issuable Shares will, when issued upon conversion, vesting or exercise, as applicable, and sold in the manner described in the Registration Statement, be legally issued, fully paid and non-assessable.</w:t>
      </w:r>
    </w:p>
    <w:p>
      <w:pPr>
        <w:spacing w:after="0" w:line="182" w:lineRule="exact"/>
        <w:rPr>
          <w:sz w:val="20"/>
          <w:szCs w:val="20"/>
          <w:color w:val="auto"/>
        </w:rPr>
      </w:pPr>
    </w:p>
    <w:p>
      <w:pPr>
        <w:ind w:firstLine="434"/>
        <w:spacing w:after="0" w:line="276" w:lineRule="auto"/>
        <w:rPr>
          <w:sz w:val="20"/>
          <w:szCs w:val="20"/>
          <w:color w:val="auto"/>
        </w:rPr>
      </w:pPr>
      <w:r>
        <w:rPr>
          <w:rFonts w:ascii="Times New Roman" w:cs="Times New Roman" w:eastAsia="Times New Roman" w:hAnsi="Times New Roman"/>
          <w:sz w:val="18"/>
          <w:szCs w:val="18"/>
          <w:color w:val="auto"/>
        </w:rPr>
        <w:t>We do not express any opinion with respect to any law other than the General Corporation Law of the State of Delaware. This opinion is rendered only with respect to the laws and legal interpretations and the facts and circumstances in effect on the date hereof.</w:t>
      </w:r>
    </w:p>
    <w:p>
      <w:pPr>
        <w:spacing w:after="0" w:line="163" w:lineRule="exact"/>
        <w:rPr>
          <w:sz w:val="20"/>
          <w:szCs w:val="20"/>
          <w:color w:val="auto"/>
        </w:rPr>
      </w:pPr>
    </w:p>
    <w:p>
      <w:pPr>
        <w:ind w:right="300" w:firstLine="434"/>
        <w:spacing w:after="0" w:line="261" w:lineRule="auto"/>
        <w:rPr>
          <w:sz w:val="20"/>
          <w:szCs w:val="20"/>
          <w:color w:val="auto"/>
        </w:rPr>
      </w:pPr>
      <w:r>
        <w:rPr>
          <w:rFonts w:ascii="Times New Roman" w:cs="Times New Roman" w:eastAsia="Times New Roman" w:hAnsi="Times New Roman"/>
          <w:sz w:val="18"/>
          <w:szCs w:val="18"/>
          <w:color w:val="auto"/>
        </w:rPr>
        <w:t>We hereby consent to the use of this opinion as an exhibit to the Registration Statement and to the use of our name under the caption “Legal Matters” in the prospectus included in the Registration Statement. In giving this consent, we do not thereby admit that we are within the category of persons whose consent is required under Section 7 of the Act or the rules and regulations promulgated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Kramer Levin Naftalis &amp; Frankel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KRAMER LEVIN NAFTALIS &amp; FRANKEL LLP</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520" w:top="266" w:right="5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1"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8"/>
          <w:szCs w:val="18"/>
          <w:color w:val="auto"/>
        </w:rPr>
        <w:t>We consent to the use of our report dated March 12, 2024, with respect to the consolidated financial statements of P10, Inc., incorporated herein by reference, and to the reference to our firm under the heading “Experts” in the prospectus.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19, 2024</w:t>
      </w:r>
    </w:p>
    <w:p>
      <w:pPr>
        <w:sectPr>
          <w:pgSz w:w="11900" w:h="16838" w:orient="portrait"/>
          <w:cols w:equalWidth="0" w:num="1">
            <w:col w:w="10860"/>
          </w:cols>
          <w:pgMar w:left="520" w:top="119" w:right="5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1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1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(Form Type)</w:t>
      </w:r>
    </w:p>
    <w:p>
      <w:pPr>
        <w:spacing w:after="0" w:line="19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u w:val="single" w:color="auto"/>
          <w:color w:val="auto"/>
        </w:rPr>
        <w:t>Table 1—Newly Registered and Carry Forward Securities</w:t>
      </w:r>
    </w:p>
    <w:p>
      <w:pPr>
        <w:spacing w:after="0" w:line="244" w:lineRule="exact"/>
        <w:rPr>
          <w:sz w:val="20"/>
          <w:szCs w:val="20"/>
          <w:color w:val="auto"/>
        </w:rPr>
      </w:pPr>
    </w:p>
    <w:tbl>
      <w:tblPr>
        <w:tblLayout w:type="fixed"/>
        <w:tblInd w:w="897" w:type="dxa"/>
        <w:tblCellMar>
          <w:top w:w="0" w:type="dxa"/>
          <w:left w:w="0" w:type="dxa"/>
          <w:bottom w:w="0" w:type="dxa"/>
          <w:right w:w="0" w:type="dxa"/>
        </w:tblCellMar>
      </w:tblPr>
      <w:tr>
        <w:trPr>
          <w:trHeight w:val="146"/>
        </w:trPr>
        <w:tc>
          <w:tcPr>
            <w:tcW w:w="1200" w:type="dxa"/>
            <w:vAlign w:val="bottom"/>
            <w:tcBorders>
              <w:top w:val="single" w:sz="8" w:color="auto"/>
              <w:left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11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Proposed</w:t>
            </w: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Calculation</w:t>
            </w:r>
          </w:p>
        </w:tc>
        <w:tc>
          <w:tcPr>
            <w:tcW w:w="1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Maximum</w:t>
            </w:r>
          </w:p>
        </w:tc>
        <w:tc>
          <w:tcPr>
            <w:tcW w:w="80" w:type="dxa"/>
            <w:vAlign w:val="bottom"/>
          </w:tcPr>
          <w:p>
            <w:pPr>
              <w:spacing w:after="0"/>
              <w:rPr>
                <w:sz w:val="11"/>
                <w:szCs w:val="11"/>
                <w:color w:val="auto"/>
              </w:rPr>
            </w:pPr>
          </w:p>
        </w:tc>
        <w:tc>
          <w:tcPr>
            <w:tcW w:w="13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Maximum</w:t>
            </w:r>
          </w:p>
        </w:tc>
        <w:tc>
          <w:tcPr>
            <w:tcW w:w="10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Security</w:t>
            </w:r>
          </w:p>
        </w:tc>
        <w:tc>
          <w:tcPr>
            <w:tcW w:w="8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or Carry</w:t>
            </w:r>
          </w:p>
        </w:tc>
        <w:tc>
          <w:tcPr>
            <w:tcW w:w="1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80" w:type="dxa"/>
            <w:vAlign w:val="bottom"/>
          </w:tcPr>
          <w:p>
            <w:pPr>
              <w:spacing w:after="0"/>
              <w:rPr>
                <w:sz w:val="11"/>
                <w:szCs w:val="11"/>
                <w:color w:val="auto"/>
              </w:rPr>
            </w:pPr>
          </w:p>
        </w:tc>
        <w:tc>
          <w:tcPr>
            <w:tcW w:w="13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Aggregate</w:t>
            </w:r>
          </w:p>
        </w:tc>
        <w:tc>
          <w:tcPr>
            <w:tcW w:w="10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Amount of</w:t>
            </w:r>
          </w:p>
        </w:tc>
        <w:tc>
          <w:tcPr>
            <w:tcW w:w="0" w:type="dxa"/>
            <w:vAlign w:val="bottom"/>
          </w:tcPr>
          <w:p>
            <w:pPr>
              <w:spacing w:after="0"/>
              <w:rPr>
                <w:sz w:val="1"/>
                <w:szCs w:val="1"/>
                <w:color w:val="auto"/>
              </w:rPr>
            </w:pPr>
          </w:p>
        </w:tc>
      </w:tr>
      <w:tr>
        <w:trPr>
          <w:trHeight w:val="133"/>
        </w:trPr>
        <w:tc>
          <w:tcPr>
            <w:tcW w:w="12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Class</w:t>
            </w:r>
          </w:p>
        </w:tc>
        <w:tc>
          <w:tcPr>
            <w:tcW w:w="8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Forward</w:t>
            </w:r>
          </w:p>
        </w:tc>
        <w:tc>
          <w:tcPr>
            <w:tcW w:w="11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7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Price Per</w:t>
            </w:r>
          </w:p>
        </w:tc>
        <w:tc>
          <w:tcPr>
            <w:tcW w:w="80" w:type="dxa"/>
            <w:vAlign w:val="bottom"/>
          </w:tcPr>
          <w:p>
            <w:pPr>
              <w:spacing w:after="0"/>
              <w:rPr>
                <w:sz w:val="11"/>
                <w:szCs w:val="11"/>
                <w:color w:val="auto"/>
              </w:rPr>
            </w:pPr>
          </w:p>
        </w:tc>
        <w:tc>
          <w:tcPr>
            <w:tcW w:w="13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Offering</w:t>
            </w:r>
          </w:p>
        </w:tc>
        <w:tc>
          <w:tcPr>
            <w:tcW w:w="10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Fee</w:t>
            </w:r>
          </w:p>
        </w:tc>
        <w:tc>
          <w:tcPr>
            <w:tcW w:w="9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Registration</w:t>
            </w:r>
          </w:p>
        </w:tc>
        <w:tc>
          <w:tcPr>
            <w:tcW w:w="0" w:type="dxa"/>
            <w:vAlign w:val="bottom"/>
          </w:tcPr>
          <w:p>
            <w:pPr>
              <w:spacing w:after="0"/>
              <w:rPr>
                <w:sz w:val="1"/>
                <w:szCs w:val="1"/>
                <w:color w:val="auto"/>
              </w:rPr>
            </w:pPr>
          </w:p>
        </w:tc>
      </w:tr>
      <w:tr>
        <w:trPr>
          <w:trHeight w:val="173"/>
        </w:trPr>
        <w:tc>
          <w:tcPr>
            <w:tcW w:w="1200" w:type="dxa"/>
            <w:vAlign w:val="bottom"/>
            <w:tcBorders>
              <w:left w:val="single" w:sz="8" w:color="auto"/>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Security 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Rule</w:t>
            </w:r>
          </w:p>
        </w:tc>
        <w:tc>
          <w:tcPr>
            <w:tcW w:w="1100" w:type="dxa"/>
            <w:vAlign w:val="bottom"/>
            <w:tcBorders>
              <w:bottom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2"/>
                <w:szCs w:val="12"/>
                <w:b w:val="1"/>
                <w:bCs w:val="1"/>
                <w:color w:val="auto"/>
                <w:w w:val="96"/>
              </w:rPr>
              <w:t>Registered</w:t>
            </w:r>
            <w:r>
              <w:rPr>
                <w:rFonts w:ascii="Times New Roman" w:cs="Times New Roman" w:eastAsia="Times New Roman" w:hAnsi="Times New Roman"/>
                <w:sz w:val="18"/>
                <w:szCs w:val="18"/>
                <w:b w:val="1"/>
                <w:bCs w:val="1"/>
                <w:color w:val="auto"/>
                <w:w w:val="96"/>
                <w:vertAlign w:val="superscript"/>
              </w:rPr>
              <w:t>(1)</w:t>
            </w:r>
          </w:p>
        </w:tc>
        <w:tc>
          <w:tcPr>
            <w:tcW w:w="740" w:type="dxa"/>
            <w:vAlign w:val="bottom"/>
            <w:tcBorders>
              <w:bottom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Unit</w:t>
            </w:r>
            <w:r>
              <w:rPr>
                <w:rFonts w:ascii="Times New Roman" w:cs="Times New Roman" w:eastAsia="Times New Roman" w:hAnsi="Times New Roman"/>
                <w:sz w:val="8"/>
                <w:szCs w:val="8"/>
                <w:b w:val="1"/>
                <w:bCs w:val="1"/>
                <w:color w:val="auto"/>
              </w:rPr>
              <w:t>(3) (4)</w:t>
            </w: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Price(1)</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Newly Registered Securities</w:t>
            </w:r>
          </w:p>
        </w:tc>
        <w:tc>
          <w:tcPr>
            <w:tcW w:w="1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200" w:type="dxa"/>
            <w:vAlign w:val="bottom"/>
            <w:tcBorders>
              <w:left w:val="single" w:sz="8" w:color="auto"/>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Class A</w:t>
            </w: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8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0" w:type="dxa"/>
            <w:vAlign w:val="bottom"/>
            <w:tcBorders>
              <w:left w:val="single" w:sz="8" w:color="auto"/>
              <w:right w:val="single" w:sz="8" w:color="auto"/>
            </w:tcBorders>
            <w:vMerge w:val="restart"/>
          </w:tcPr>
          <w:p>
            <w:pPr>
              <w:jc w:val="center"/>
              <w:ind w:left="31"/>
              <w:spacing w:after="0"/>
              <w:rPr>
                <w:sz w:val="20"/>
                <w:szCs w:val="20"/>
                <w:color w:val="auto"/>
              </w:rPr>
            </w:pPr>
            <w:r>
              <w:rPr>
                <w:rFonts w:ascii="Times New Roman" w:cs="Times New Roman" w:eastAsia="Times New Roman" w:hAnsi="Times New Roman"/>
                <w:sz w:val="18"/>
                <w:szCs w:val="18"/>
                <w:color w:val="auto"/>
              </w:rPr>
              <w:t>Fees to</w:t>
            </w: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8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00" w:type="dxa"/>
            <w:vAlign w:val="bottom"/>
            <w:tcBorders>
              <w:left w:val="single" w:sz="8" w:color="auto"/>
              <w:right w:val="single" w:sz="8" w:color="auto"/>
            </w:tcBorders>
            <w:vMerge w:val="continue"/>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value</w:t>
            </w: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0" w:type="dxa"/>
            <w:vAlign w:val="bottom"/>
            <w:tcBorders>
              <w:left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3"/>
              </w:rPr>
              <w:t>be</w:t>
            </w: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$0.001</w:t>
            </w:r>
          </w:p>
        </w:tc>
        <w:tc>
          <w:tcPr>
            <w:tcW w:w="8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200" w:type="dxa"/>
            <w:vAlign w:val="bottom"/>
            <w:tcBorders>
              <w:left w:val="single" w:sz="8" w:color="auto"/>
              <w:bottom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9"/>
              </w:rPr>
              <w:t>Paid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Equity</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457(c)</w:t>
            </w:r>
          </w:p>
        </w:tc>
        <w:tc>
          <w:tcPr>
            <w:tcW w:w="1100" w:type="dxa"/>
            <w:vAlign w:val="bottom"/>
            <w:tcBorders>
              <w:bottom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color w:val="auto"/>
                <w:w w:val="92"/>
              </w:rPr>
              <w:t>56,553,931</w:t>
            </w:r>
            <w:r>
              <w:rPr>
                <w:rFonts w:ascii="Times New Roman" w:cs="Times New Roman" w:eastAsia="Times New Roman" w:hAnsi="Times New Roman"/>
                <w:sz w:val="26"/>
                <w:szCs w:val="26"/>
                <w:color w:val="auto"/>
                <w:w w:val="92"/>
                <w:vertAlign w:val="superscript"/>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$9.925</w:t>
            </w:r>
          </w:p>
        </w:tc>
        <w:tc>
          <w:tcPr>
            <w:tcW w:w="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$561,297,765.18</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$0.00014760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$82,847.55</w:t>
            </w:r>
          </w:p>
        </w:tc>
        <w:tc>
          <w:tcPr>
            <w:tcW w:w="0" w:type="dxa"/>
            <w:vAlign w:val="bottom"/>
          </w:tcPr>
          <w:p>
            <w:pPr>
              <w:spacing w:after="0"/>
              <w:rPr>
                <w:sz w:val="1"/>
                <w:szCs w:val="1"/>
                <w:color w:val="auto"/>
              </w:rPr>
            </w:pPr>
          </w:p>
        </w:tc>
      </w:tr>
      <w:tr>
        <w:trPr>
          <w:trHeight w:val="229"/>
        </w:trPr>
        <w:tc>
          <w:tcPr>
            <w:tcW w:w="120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3"/>
          </w:tcPr>
          <w:p>
            <w:pPr>
              <w:jc w:val="center"/>
              <w:ind w:right="789"/>
              <w:spacing w:after="0"/>
              <w:rPr>
                <w:sz w:val="20"/>
                <w:szCs w:val="20"/>
                <w:color w:val="auto"/>
              </w:rPr>
            </w:pPr>
            <w:r>
              <w:rPr>
                <w:rFonts w:ascii="Times New Roman" w:cs="Times New Roman" w:eastAsia="Times New Roman" w:hAnsi="Times New Roman"/>
                <w:sz w:val="18"/>
                <w:szCs w:val="18"/>
                <w:color w:val="auto"/>
                <w:w w:val="97"/>
              </w:rPr>
              <w:t>Total Offering Amounts</w:t>
            </w:r>
          </w:p>
        </w:tc>
        <w:tc>
          <w:tcPr>
            <w:tcW w:w="7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$82,847.55</w:t>
            </w:r>
          </w:p>
        </w:tc>
        <w:tc>
          <w:tcPr>
            <w:tcW w:w="0" w:type="dxa"/>
            <w:vAlign w:val="bottom"/>
          </w:tcPr>
          <w:p>
            <w:pPr>
              <w:spacing w:after="0"/>
              <w:rPr>
                <w:sz w:val="1"/>
                <w:szCs w:val="1"/>
                <w:color w:val="auto"/>
              </w:rPr>
            </w:pPr>
          </w:p>
        </w:tc>
      </w:tr>
      <w:tr>
        <w:trPr>
          <w:trHeight w:val="233"/>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3"/>
          </w:tcPr>
          <w:p>
            <w:pPr>
              <w:jc w:val="center"/>
              <w:ind w:right="789"/>
              <w:spacing w:after="0"/>
              <w:rPr>
                <w:sz w:val="20"/>
                <w:szCs w:val="20"/>
                <w:color w:val="auto"/>
              </w:rPr>
            </w:pPr>
            <w:r>
              <w:rPr>
                <w:rFonts w:ascii="Times New Roman" w:cs="Times New Roman" w:eastAsia="Times New Roman" w:hAnsi="Times New Roman"/>
                <w:sz w:val="18"/>
                <w:szCs w:val="18"/>
                <w:color w:val="auto"/>
                <w:w w:val="98"/>
              </w:rPr>
              <w:t>Total Fees Previously Paid</w:t>
            </w:r>
          </w:p>
        </w:tc>
        <w:tc>
          <w:tcPr>
            <w:tcW w:w="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$22,063.12</w:t>
            </w:r>
          </w:p>
        </w:tc>
        <w:tc>
          <w:tcPr>
            <w:tcW w:w="0" w:type="dxa"/>
            <w:vAlign w:val="bottom"/>
          </w:tcPr>
          <w:p>
            <w:pPr>
              <w:spacing w:after="0"/>
              <w:rPr>
                <w:sz w:val="1"/>
                <w:szCs w:val="1"/>
                <w:color w:val="auto"/>
              </w:rPr>
            </w:pPr>
          </w:p>
        </w:tc>
      </w:tr>
      <w:tr>
        <w:trPr>
          <w:trHeight w:val="233"/>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left="157"/>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1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$60,784.43</w:t>
            </w:r>
          </w:p>
        </w:tc>
        <w:tc>
          <w:tcPr>
            <w:tcW w:w="0" w:type="dxa"/>
            <w:vAlign w:val="bottom"/>
          </w:tcPr>
          <w:p>
            <w:pPr>
              <w:spacing w:after="0"/>
              <w:rPr>
                <w:sz w:val="1"/>
                <w:szCs w:val="1"/>
                <w:color w:val="auto"/>
              </w:rPr>
            </w:pPr>
          </w:p>
        </w:tc>
      </w:tr>
      <w:tr>
        <w:trPr>
          <w:trHeight w:val="233"/>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left="157"/>
              <w:spacing w:after="0"/>
              <w:rPr>
                <w:sz w:val="20"/>
                <w:szCs w:val="20"/>
                <w:color w:val="auto"/>
              </w:rPr>
            </w:pPr>
            <w:r>
              <w:rPr>
                <w:rFonts w:ascii="Times New Roman" w:cs="Times New Roman" w:eastAsia="Times New Roman" w:hAnsi="Times New Roman"/>
                <w:sz w:val="18"/>
                <w:szCs w:val="18"/>
                <w:color w:val="auto"/>
                <w:w w:val="98"/>
              </w:rPr>
              <w:t>Net Fee Due</w:t>
            </w:r>
          </w:p>
        </w:tc>
        <w:tc>
          <w:tcPr>
            <w:tcW w:w="11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27" w:hanging="427"/>
        <w:spacing w:after="0"/>
        <w:tabs>
          <w:tab w:leader="none" w:pos="427"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Pursuant to Rule 416(a) under the Securities Act of 1933, as amended (the “Securities Act”), the shares of Class A Common Stock, par value</w:t>
      </w:r>
    </w:p>
    <w:p>
      <w:pPr>
        <w:jc w:val="both"/>
        <w:ind w:left="427" w:right="200"/>
        <w:spacing w:after="0" w:line="261"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$0.001 per share (the “Class A Common Stock”) of P10, Inc., a Delaware corporation (the “Registrant”) being registered under the Registration Statement include such indeterminate number of additional shares of Class A Common Stock as may be issuable as a result of stock splits, stock dividends or similar transactions with respect to the shares of Class A Common Stock being registered under the Registration Statement.</w:t>
      </w:r>
    </w:p>
    <w:p>
      <w:pPr>
        <w:ind w:left="427" w:right="40"/>
        <w:spacing w:after="0" w:line="246"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Additionally, pursuant to Rule 416(b) under the Securities Act, if prior to the completion of the distribution of the shares of Class A Common Stock registered under the Registration Statement all shares of Class A Common Stock are combined by a reverse stock split into a lesser number of shares of Class A Common Stock, the number of undistributed shares of Class A Common Stock covered by the Registration Statement shall be proportionately reduced.</w:t>
      </w:r>
    </w:p>
    <w:p>
      <w:pPr>
        <w:spacing w:after="0" w:line="3" w:lineRule="exact"/>
        <w:rPr>
          <w:rFonts w:ascii="Times New Roman" w:cs="Times New Roman" w:eastAsia="Times New Roman" w:hAnsi="Times New Roman"/>
          <w:sz w:val="27"/>
          <w:szCs w:val="27"/>
          <w:color w:val="auto"/>
          <w:vertAlign w:val="superscript"/>
        </w:rPr>
      </w:pPr>
    </w:p>
    <w:p>
      <w:pPr>
        <w:ind w:left="427" w:right="100" w:hanging="427"/>
        <w:spacing w:after="0" w:line="227" w:lineRule="auto"/>
        <w:tabs>
          <w:tab w:leader="none" w:pos="427"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(i) 4,572,455 shares of Class A Common Stock held directly or indirectly by certain selling stockholders; (ii) up to 50,667,351 shares of Class A Common Stock issuable upon conversion of shares of Class B Common Stock, par value $0.001 per share (“Class B Common Stock”), held directly or indirectly by certain selling stockholders; (iii) up to 442,064 shares of Class A Common Stock issuable upon vesting and settlement of restricted stock units held directly or indirectly by certain selling stockholders; (iv) up to 21,875 shares of Class A Common Stock that were issued as shares of restricted stock to a selling stockholder and remain subject to vesting; and (v) up to 850,186 shares of Class A Common Stock issuable upon exercise of stock options held directly or indirectly by certain selling stockholders</w:t>
      </w:r>
    </w:p>
    <w:p>
      <w:pPr>
        <w:spacing w:after="0" w:line="5" w:lineRule="exact"/>
        <w:rPr>
          <w:rFonts w:ascii="Times New Roman" w:cs="Times New Roman" w:eastAsia="Times New Roman" w:hAnsi="Times New Roman"/>
          <w:sz w:val="27"/>
          <w:szCs w:val="27"/>
          <w:color w:val="auto"/>
          <w:vertAlign w:val="superscript"/>
        </w:rPr>
      </w:pPr>
    </w:p>
    <w:p>
      <w:pPr>
        <w:ind w:left="427" w:right="100" w:hanging="427"/>
        <w:spacing w:after="0" w:line="211" w:lineRule="auto"/>
        <w:tabs>
          <w:tab w:leader="none" w:pos="427"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Pursuant to Rule 457(c) under the Securities Act, and solely for the purpose of calculating the registration fee, the proposed maximum offering price per share is $9.925, which is the average of the high and low prices of the shares of the Class A common stock on July 16, 2024 on the New York Stock Exchange.</w:t>
      </w:r>
    </w:p>
    <w:p>
      <w:pPr>
        <w:spacing w:after="0" w:line="2" w:lineRule="exact"/>
        <w:rPr>
          <w:rFonts w:ascii="Times New Roman" w:cs="Times New Roman" w:eastAsia="Times New Roman" w:hAnsi="Times New Roman"/>
          <w:sz w:val="27"/>
          <w:szCs w:val="27"/>
          <w:color w:val="auto"/>
          <w:vertAlign w:val="superscript"/>
        </w:rPr>
      </w:pPr>
    </w:p>
    <w:p>
      <w:pPr>
        <w:ind w:left="427" w:right="320" w:hanging="427"/>
        <w:spacing w:after="0" w:line="197" w:lineRule="auto"/>
        <w:tabs>
          <w:tab w:leader="none" w:pos="427"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proposed maximum offering price per share of Class A common stock will be determined from time to time in connection with, and at the time of, the sale by the holder of such Class A common stock registered hereunder</w:t>
      </w:r>
    </w:p>
    <w:p>
      <w:pPr>
        <w:sectPr>
          <w:pgSz w:w="11900" w:h="16838" w:orient="portrait"/>
          <w:cols w:equalWidth="0" w:num="1">
            <w:col w:w="10867"/>
          </w:cols>
          <w:pgMar w:left="513" w:top="119" w:right="519" w:bottom="1440" w:gutter="0" w:footer="0" w:header="0"/>
        </w:sectPr>
      </w:pPr>
    </w:p>
    <w:bookmarkStart w:id="33" w:name="page34"/>
    <w:bookmarkEnd w:id="33"/>
    <w:p>
      <w:pPr>
        <w:jc w:val="center"/>
        <w:ind w:right="27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2—Fee Offset Claims and Sources</w:t>
      </w:r>
    </w:p>
    <w:p>
      <w:pPr>
        <w:spacing w:after="0" w:line="244" w:lineRule="exact"/>
        <w:rPr>
          <w:sz w:val="20"/>
          <w:szCs w:val="20"/>
          <w:color w:val="auto"/>
        </w:rPr>
      </w:pPr>
    </w:p>
    <w:tbl>
      <w:tblPr>
        <w:tblLayout w:type="fixed"/>
        <w:tblInd w:w="17" w:type="dxa"/>
        <w:tblCellMar>
          <w:top w:w="0" w:type="dxa"/>
          <w:left w:w="0" w:type="dxa"/>
          <w:bottom w:w="0" w:type="dxa"/>
          <w:right w:w="0" w:type="dxa"/>
        </w:tblCellMar>
      </w:tblPr>
      <w:tr>
        <w:trPr>
          <w:trHeight w:val="142"/>
        </w:trPr>
        <w:tc>
          <w:tcPr>
            <w:tcW w:w="980" w:type="dxa"/>
            <w:vAlign w:val="bottom"/>
            <w:tcBorders>
              <w:top w:val="single" w:sz="8" w:color="auto"/>
              <w:left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Unsold</w:t>
            </w: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Aggregate</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Security Type</w:t>
            </w:r>
          </w:p>
        </w:tc>
        <w:tc>
          <w:tcPr>
            <w:tcW w:w="12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Unsold</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Offering</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Associated</w:t>
            </w:r>
          </w:p>
        </w:tc>
        <w:tc>
          <w:tcPr>
            <w:tcW w:w="12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Security Title</w:t>
            </w:r>
          </w:p>
        </w:tc>
        <w:tc>
          <w:tcPr>
            <w:tcW w:w="8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Securities</w:t>
            </w:r>
          </w:p>
        </w:tc>
        <w:tc>
          <w:tcPr>
            <w:tcW w:w="11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Amount</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Registrant</w:t>
            </w:r>
          </w:p>
        </w:tc>
        <w:tc>
          <w:tcPr>
            <w:tcW w:w="5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Form or</w:t>
            </w:r>
          </w:p>
        </w:tc>
        <w:tc>
          <w:tcPr>
            <w:tcW w:w="10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Initial</w:t>
            </w:r>
          </w:p>
        </w:tc>
        <w:tc>
          <w:tcPr>
            <w:tcW w:w="1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with Fee</w:t>
            </w:r>
          </w:p>
        </w:tc>
        <w:tc>
          <w:tcPr>
            <w:tcW w:w="12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Associated</w:t>
            </w:r>
          </w:p>
        </w:tc>
        <w:tc>
          <w:tcPr>
            <w:tcW w:w="8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Associated</w:t>
            </w:r>
          </w:p>
        </w:tc>
        <w:tc>
          <w:tcPr>
            <w:tcW w:w="11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Associated</w:t>
            </w:r>
          </w:p>
        </w:tc>
        <w:tc>
          <w:tcPr>
            <w:tcW w:w="820" w:type="dxa"/>
            <w:vAlign w:val="bottom"/>
          </w:tcPr>
          <w:p>
            <w:pPr>
              <w:jc w:val="center"/>
              <w:ind w:left="27"/>
              <w:spacing w:after="0" w:line="133" w:lineRule="exact"/>
              <w:rPr>
                <w:sz w:val="20"/>
                <w:szCs w:val="20"/>
                <w:color w:val="auto"/>
              </w:rPr>
            </w:pPr>
            <w:r>
              <w:rPr>
                <w:rFonts w:ascii="Times New Roman" w:cs="Times New Roman" w:eastAsia="Times New Roman" w:hAnsi="Times New Roman"/>
                <w:sz w:val="12"/>
                <w:szCs w:val="12"/>
                <w:color w:val="auto"/>
              </w:rPr>
              <w:t>Fee Paid with</w:t>
            </w:r>
          </w:p>
        </w:tc>
        <w:tc>
          <w:tcPr>
            <w:tcW w:w="0" w:type="dxa"/>
            <w:vAlign w:val="bottom"/>
          </w:tcPr>
          <w:p>
            <w:pPr>
              <w:spacing w:after="0"/>
              <w:rPr>
                <w:sz w:val="1"/>
                <w:szCs w:val="1"/>
                <w:color w:val="auto"/>
              </w:rPr>
            </w:pPr>
          </w:p>
        </w:tc>
      </w:tr>
      <w:tr>
        <w:trPr>
          <w:trHeight w:val="133"/>
        </w:trPr>
        <w:tc>
          <w:tcPr>
            <w:tcW w:w="9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or Filer</w:t>
            </w:r>
          </w:p>
        </w:tc>
        <w:tc>
          <w:tcPr>
            <w:tcW w:w="5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Filing</w:t>
            </w:r>
          </w:p>
        </w:tc>
        <w:tc>
          <w:tcPr>
            <w:tcW w:w="1020" w:type="dxa"/>
            <w:vAlign w:val="bottom"/>
            <w:tcBorders>
              <w:right w:val="single" w:sz="8" w:color="auto"/>
            </w:tcBorders>
          </w:tcPr>
          <w:p>
            <w:pPr>
              <w:ind w:left="440"/>
              <w:spacing w:after="0" w:line="133" w:lineRule="exact"/>
              <w:rPr>
                <w:sz w:val="20"/>
                <w:szCs w:val="20"/>
                <w:color w:val="auto"/>
              </w:rPr>
            </w:pPr>
            <w:r>
              <w:rPr>
                <w:rFonts w:ascii="Times New Roman" w:cs="Times New Roman" w:eastAsia="Times New Roman" w:hAnsi="Times New Roman"/>
                <w:sz w:val="12"/>
                <w:szCs w:val="12"/>
                <w:color w:val="auto"/>
              </w:rPr>
              <w:t>File</w:t>
            </w:r>
          </w:p>
        </w:tc>
        <w:tc>
          <w:tcPr>
            <w:tcW w:w="11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Filing</w:t>
            </w:r>
          </w:p>
        </w:tc>
        <w:tc>
          <w:tcPr>
            <w:tcW w:w="11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Filing</w:t>
            </w:r>
          </w:p>
        </w:tc>
        <w:tc>
          <w:tcPr>
            <w:tcW w:w="9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Fee</w:t>
            </w:r>
          </w:p>
        </w:tc>
        <w:tc>
          <w:tcPr>
            <w:tcW w:w="7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Offset</w:t>
            </w:r>
          </w:p>
        </w:tc>
        <w:tc>
          <w:tcPr>
            <w:tcW w:w="12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with Fee Offset</w:t>
            </w:r>
          </w:p>
        </w:tc>
        <w:tc>
          <w:tcPr>
            <w:tcW w:w="8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with Fee Offset</w:t>
            </w:r>
          </w:p>
        </w:tc>
        <w:tc>
          <w:tcPr>
            <w:tcW w:w="11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with Fee Offset</w:t>
            </w:r>
          </w:p>
        </w:tc>
        <w:tc>
          <w:tcPr>
            <w:tcW w:w="820" w:type="dxa"/>
            <w:vAlign w:val="bottom"/>
          </w:tcPr>
          <w:p>
            <w:pPr>
              <w:jc w:val="center"/>
              <w:ind w:left="27"/>
              <w:spacing w:after="0" w:line="133" w:lineRule="exact"/>
              <w:rPr>
                <w:sz w:val="20"/>
                <w:szCs w:val="20"/>
                <w:color w:val="auto"/>
              </w:rPr>
            </w:pPr>
            <w:r>
              <w:rPr>
                <w:rFonts w:ascii="Times New Roman" w:cs="Times New Roman" w:eastAsia="Times New Roman" w:hAnsi="Times New Roman"/>
                <w:sz w:val="12"/>
                <w:szCs w:val="12"/>
                <w:color w:val="auto"/>
              </w:rPr>
              <w:t>Fee Offset</w:t>
            </w:r>
          </w:p>
        </w:tc>
        <w:tc>
          <w:tcPr>
            <w:tcW w:w="0" w:type="dxa"/>
            <w:vAlign w:val="bottom"/>
          </w:tcPr>
          <w:p>
            <w:pPr>
              <w:spacing w:after="0"/>
              <w:rPr>
                <w:sz w:val="1"/>
                <w:szCs w:val="1"/>
                <w:color w:val="auto"/>
              </w:rPr>
            </w:pPr>
          </w:p>
        </w:tc>
      </w:tr>
      <w:tr>
        <w:trPr>
          <w:trHeight w:val="172"/>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Name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Type</w:t>
            </w:r>
          </w:p>
        </w:tc>
        <w:tc>
          <w:tcPr>
            <w:tcW w:w="10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Number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Offset Claimed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Claimed</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Claimed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Claimed</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Claimed</w:t>
            </w:r>
          </w:p>
        </w:tc>
        <w:tc>
          <w:tcPr>
            <w:tcW w:w="820" w:type="dxa"/>
            <w:vAlign w:val="bottom"/>
            <w:tcBorders>
              <w:bottom w:val="single" w:sz="8" w:color="auto"/>
            </w:tcBorders>
          </w:tcPr>
          <w:p>
            <w:pPr>
              <w:jc w:val="center"/>
              <w:ind w:left="27"/>
              <w:spacing w:after="0"/>
              <w:rPr>
                <w:sz w:val="20"/>
                <w:szCs w:val="20"/>
                <w:color w:val="auto"/>
              </w:rPr>
            </w:pPr>
            <w:r>
              <w:rPr>
                <w:rFonts w:ascii="Times New Roman" w:cs="Times New Roman" w:eastAsia="Times New Roman" w:hAnsi="Times New Roman"/>
                <w:sz w:val="12"/>
                <w:szCs w:val="12"/>
                <w:color w:val="auto"/>
              </w:rPr>
              <w:t>Source</w:t>
            </w:r>
          </w:p>
        </w:tc>
        <w:tc>
          <w:tcPr>
            <w:tcW w:w="0" w:type="dxa"/>
            <w:vAlign w:val="bottom"/>
          </w:tcPr>
          <w:p>
            <w:pPr>
              <w:spacing w:after="0"/>
              <w:rPr>
                <w:sz w:val="1"/>
                <w:szCs w:val="1"/>
                <w:color w:val="auto"/>
              </w:rPr>
            </w:pPr>
          </w:p>
        </w:tc>
      </w:tr>
      <w:tr>
        <w:trPr>
          <w:trHeight w:val="230"/>
        </w:trPr>
        <w:tc>
          <w:tcPr>
            <w:tcW w:w="98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Rule 457(p)</w:t>
            </w:r>
          </w:p>
        </w:tc>
        <w:tc>
          <w:tcPr>
            <w:tcW w:w="7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98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Class A</w:t>
            </w:r>
          </w:p>
        </w:tc>
        <w:tc>
          <w:tcPr>
            <w:tcW w:w="8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Fee offset</w:t>
            </w:r>
          </w:p>
        </w:tc>
        <w:tc>
          <w:tcPr>
            <w:tcW w:w="5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980" w:type="dxa"/>
            <w:vAlign w:val="bottom"/>
            <w:tcBorders>
              <w:left w:val="single" w:sz="8" w:color="auto"/>
              <w:right w:val="single" w:sz="8" w:color="auto"/>
            </w:tcBorders>
            <w:vMerge w:val="continue"/>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par value</w:t>
            </w:r>
          </w:p>
        </w:tc>
        <w:tc>
          <w:tcPr>
            <w:tcW w:w="8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Claims</w:t>
            </w:r>
          </w:p>
        </w:tc>
        <w:tc>
          <w:tcPr>
            <w:tcW w:w="58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80" w:type="dxa"/>
            <w:vAlign w:val="bottom"/>
            <w:tcBorders>
              <w:left w:val="single" w:sz="8" w:color="auto"/>
              <w:right w:val="single" w:sz="8" w:color="auto"/>
            </w:tcBorders>
            <w:vMerge w:val="continue"/>
          </w:tcPr>
          <w:p>
            <w:pPr>
              <w:spacing w:after="0"/>
              <w:rPr>
                <w:sz w:val="10"/>
                <w:szCs w:val="10"/>
                <w:color w:val="auto"/>
              </w:rPr>
            </w:pPr>
          </w:p>
        </w:tc>
        <w:tc>
          <w:tcPr>
            <w:tcW w:w="5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P10,</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10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November 9,</w:t>
            </w:r>
          </w:p>
        </w:tc>
        <w:tc>
          <w:tcPr>
            <w:tcW w:w="11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$0.0001 per</w:t>
            </w:r>
          </w:p>
        </w:tc>
        <w:tc>
          <w:tcPr>
            <w:tcW w:w="86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980" w:type="dxa"/>
            <w:vAlign w:val="bottom"/>
            <w:tcBorders>
              <w:left w:val="single" w:sz="8" w:color="auto"/>
              <w:right w:val="single" w:sz="8" w:color="auto"/>
            </w:tcBorders>
          </w:tcPr>
          <w:p>
            <w:pPr>
              <w:spacing w:after="0"/>
              <w:rPr>
                <w:sz w:val="7"/>
                <w:szCs w:val="7"/>
                <w:color w:val="auto"/>
              </w:rPr>
            </w:pPr>
          </w:p>
        </w:tc>
        <w:tc>
          <w:tcPr>
            <w:tcW w:w="58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Inc. </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2"/>
              </w:rPr>
              <w:t>S-3 </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333-268275 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color w:val="auto"/>
              </w:rPr>
              <w:t>$58,157(1)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Equity</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share</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22,100,000</w:t>
            </w:r>
          </w:p>
        </w:tc>
        <w:tc>
          <w:tcPr>
            <w:tcW w:w="11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$227,740,500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Fee offset</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P10,</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1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16,</w:t>
            </w: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Source </w:t>
            </w:r>
          </w:p>
        </w:tc>
        <w:tc>
          <w:tcPr>
            <w:tcW w:w="5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Inc. </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2"/>
              </w:rPr>
              <w:t>S-3 </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333-268275 </w:t>
            </w: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9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8"/>
                <w:szCs w:val="18"/>
                <w:color w:val="auto"/>
                <w:w w:val="99"/>
              </w:rPr>
              <w:t>$58,157</w:t>
            </w:r>
          </w:p>
        </w:tc>
        <w:tc>
          <w:tcPr>
            <w:tcW w:w="0" w:type="dxa"/>
            <w:vAlign w:val="bottom"/>
          </w:tcPr>
          <w:p>
            <w:pPr>
              <w:spacing w:after="0"/>
              <w:rPr>
                <w:sz w:val="1"/>
                <w:szCs w:val="1"/>
                <w:color w:val="auto"/>
              </w:rPr>
            </w:pPr>
          </w:p>
        </w:tc>
      </w:tr>
      <w:tr>
        <w:trPr>
          <w:trHeight w:val="208"/>
        </w:trPr>
        <w:tc>
          <w:tcPr>
            <w:tcW w:w="9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Fee offset</w:t>
            </w:r>
          </w:p>
        </w:tc>
        <w:tc>
          <w:tcPr>
            <w:tcW w:w="5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980" w:type="dxa"/>
            <w:vAlign w:val="bottom"/>
            <w:tcBorders>
              <w:left w:val="single" w:sz="8" w:color="auto"/>
              <w:right w:val="single" w:sz="8" w:color="auto"/>
            </w:tcBorders>
            <w:vMerge w:val="continue"/>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par value</w:t>
            </w:r>
          </w:p>
        </w:tc>
        <w:tc>
          <w:tcPr>
            <w:tcW w:w="8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Claims</w:t>
            </w:r>
          </w:p>
        </w:tc>
        <w:tc>
          <w:tcPr>
            <w:tcW w:w="58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80" w:type="dxa"/>
            <w:vAlign w:val="bottom"/>
            <w:tcBorders>
              <w:left w:val="single" w:sz="8" w:color="auto"/>
              <w:right w:val="single" w:sz="8" w:color="auto"/>
            </w:tcBorders>
            <w:vMerge w:val="continue"/>
          </w:tcPr>
          <w:p>
            <w:pPr>
              <w:spacing w:after="0"/>
              <w:rPr>
                <w:sz w:val="10"/>
                <w:szCs w:val="10"/>
                <w:color w:val="auto"/>
              </w:rPr>
            </w:pPr>
          </w:p>
        </w:tc>
        <w:tc>
          <w:tcPr>
            <w:tcW w:w="5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P10,</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10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November 20,</w:t>
            </w:r>
          </w:p>
        </w:tc>
        <w:tc>
          <w:tcPr>
            <w:tcW w:w="11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$0.0001 per</w:t>
            </w:r>
          </w:p>
        </w:tc>
        <w:tc>
          <w:tcPr>
            <w:tcW w:w="86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980" w:type="dxa"/>
            <w:vAlign w:val="bottom"/>
            <w:tcBorders>
              <w:left w:val="single" w:sz="8" w:color="auto"/>
              <w:right w:val="single" w:sz="8" w:color="auto"/>
            </w:tcBorders>
          </w:tcPr>
          <w:p>
            <w:pPr>
              <w:spacing w:after="0"/>
              <w:rPr>
                <w:sz w:val="7"/>
                <w:szCs w:val="7"/>
                <w:color w:val="auto"/>
              </w:rPr>
            </w:pPr>
          </w:p>
        </w:tc>
        <w:tc>
          <w:tcPr>
            <w:tcW w:w="58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Inc. </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2"/>
              </w:rPr>
              <w:t>S-3 </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333-275667 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$2,627.43(2)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Equity</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share</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1,931,744</w:t>
            </w:r>
          </w:p>
        </w:tc>
        <w:tc>
          <w:tcPr>
            <w:tcW w:w="1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$17,801,020.96</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Fee offset</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P10,</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1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November 20,</w:t>
            </w: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Source </w:t>
            </w:r>
          </w:p>
        </w:tc>
        <w:tc>
          <w:tcPr>
            <w:tcW w:w="5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Inc. </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2"/>
              </w:rPr>
              <w:t>S-3 </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333-275667 </w:t>
            </w: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$30,254.35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27" w:right="380" w:hanging="427"/>
        <w:spacing w:after="0" w:line="231" w:lineRule="auto"/>
        <w:tabs>
          <w:tab w:leader="none" w:pos="427"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On November 9, 2023, the Registrant filed a registration statement on Form S-3 (Registration No. 333-268275) (the “2022 Form S-3 Registration Statement”), with a proposed maximum aggregate offering price of $527,740,500. In connection with the 2022 Form S-3 Registration Statement, the Registrant paid an aggregate filing fee of $58,157, which included a filing fee of $25,097 with respect to up to 22,100,000 shares of Class A Common Stock to be sold by selling stockholders identified in one or more prospectus supplements from time to time. No securities were sold under the 2022 Form S-3 Registration Statement. The Registrant has terminated any offering that included the unsold securities under the 2022 Form S-3 Registration Statement and withdrawn the 2022 Form S-3 Registration Statement.</w:t>
      </w:r>
    </w:p>
    <w:p>
      <w:pPr>
        <w:spacing w:after="0" w:line="2" w:lineRule="exact"/>
        <w:rPr>
          <w:rFonts w:ascii="Times New Roman" w:cs="Times New Roman" w:eastAsia="Times New Roman" w:hAnsi="Times New Roman"/>
          <w:sz w:val="27"/>
          <w:szCs w:val="27"/>
          <w:color w:val="auto"/>
          <w:vertAlign w:val="superscript"/>
        </w:rPr>
      </w:pPr>
    </w:p>
    <w:p>
      <w:pPr>
        <w:ind w:left="427" w:right="300" w:hanging="427"/>
        <w:spacing w:after="0" w:line="224" w:lineRule="auto"/>
        <w:tabs>
          <w:tab w:leader="none" w:pos="427"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On November 20, 2023, the Registrant filed a registration statement on Form S-3 (Registration No. 333-275667) (the “2023 Form S-3 Registration Statement”), with a proposed maximum aggregate offering price of $204,975,271.61. In connection with the 2023 Form S-3 Registration Statement, the Registrant paid a filing fee of $30,254.35. No securities were sold under the 2023 Form S-3 Registration Statement. The Registrant has terminated any offering that included the unsold securities under the 2023 Form S-3 Registration Statement and withdrawn the 2023 Form S-3 Registration Statement.</w:t>
      </w:r>
    </w:p>
    <w:p>
      <w:pPr>
        <w:spacing w:after="0" w:line="196"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8"/>
          <w:szCs w:val="18"/>
          <w:u w:val="single" w:color="auto"/>
          <w:color w:val="auto"/>
        </w:rPr>
        <w:t>Table 3—Combined Prospectuses</w:t>
      </w:r>
    </w:p>
    <w:p>
      <w:pPr>
        <w:spacing w:after="0" w:line="219"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8"/>
          <w:szCs w:val="18"/>
          <w:color w:val="auto"/>
        </w:rPr>
        <w:t>N/A</w:t>
      </w:r>
    </w:p>
    <w:sectPr>
      <w:pgSz w:w="11900" w:h="16838" w:orient="portrait"/>
      <w:cols w:equalWidth="0" w:num="1">
        <w:col w:w="11147"/>
      </w:cols>
      <w:pgMar w:left="513" w:top="2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Roman"/>
      <w:start w:val="4"/>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4"/>
    </w:lvl>
    <w:lvl w:ilvl="1">
      <w:lvlJc w:val="left"/>
      <w:lvlText w:val="(%2)"/>
      <w:numFmt w:val="lowerRoman"/>
      <w:start w:val="3"/>
    </w:lvl>
  </w:abstractNum>
  <w:abstractNum w:abstractNumId="4">
    <w:nsid w:val="41A7C4C9"/>
    <w:multiLevelType w:val="hybridMultilevel"/>
    <w:lvl w:ilvl="0">
      <w:lvlJc w:val="left"/>
      <w:lvlText w:val="%1"/>
      <w:numFmt w:val="decimal"/>
      <w:start w:val="1"/>
    </w:lvl>
    <w:lvl w:ilvl="1">
      <w:lvlJc w:val="left"/>
      <w:lvlText w:val="(%2)"/>
      <w:numFmt w:val="lowerRoman"/>
      <w:start w:val="2"/>
    </w:lvl>
  </w:abstractNum>
  <w:abstractNum w:abstractNumId="5">
    <w:nsid w:val="6B68079A"/>
    <w:multiLevelType w:val="hybridMultilevel"/>
    <w:lvl w:ilvl="0">
      <w:lvlJc w:val="left"/>
      <w:lvlText w:val="(%1)"/>
      <w:numFmt w:val="decimal"/>
      <w:start w:val="7"/>
    </w:lvl>
    <w:lvl w:ilvl="1">
      <w:lvlJc w:val="left"/>
      <w:lvlText w:val="%2"/>
      <w:numFmt w:val="lowerRoman"/>
      <w:start w:val="1"/>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decimal"/>
      <w:start w:val="18"/>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Roman"/>
      <w:start w:val="1"/>
    </w:lvl>
  </w:abstractNum>
  <w:abstractNum w:abstractNumId="18">
    <w:nsid w:val="2443A858"/>
    <w:multiLevelType w:val="hybridMultilevel"/>
    <w:lvl w:ilvl="0">
      <w:lvlJc w:val="left"/>
      <w:lvlText w:val="(%1)"/>
      <w:numFmt w:val="decimal"/>
      <w:start w:val="2"/>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1)"/>
      <w:numFmt w:val="decimal"/>
      <w:start w:val="5"/>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1)"/>
      <w:numFmt w:val="decimal"/>
      <w:start w:val="6"/>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77" Type="http://schemas.openxmlformats.org/officeDocument/2006/relationships/image" Target="media/image46.png"/><Relationship Id="rId87" Type="http://schemas.openxmlformats.org/officeDocument/2006/relationships/image" Target="media/image47.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image" Target="media/image53.jpeg"/><Relationship Id="rId103" Type="http://schemas.openxmlformats.org/officeDocument/2006/relationships/image" Target="media/image54.jpeg"/><Relationship Id="rId104" Type="http://schemas.openxmlformats.org/officeDocument/2006/relationships/image" Target="media/image55.png"/><Relationship Id="rId105" Type="http://schemas.openxmlformats.org/officeDocument/2006/relationships/image" Target="media/image56.jpeg"/><Relationship Id="rId106" Type="http://schemas.openxmlformats.org/officeDocument/2006/relationships/image" Target="media/image57.png"/><Relationship Id="rId42" Type="http://schemas.openxmlformats.org/officeDocument/2006/relationships/hyperlink" Target="http://www.sec.gov/ix?doc=/Archives/edgar/data/1841968/000095017024030461/px-20231231.htm" TargetMode="External"/><Relationship Id="rId43" Type="http://schemas.openxmlformats.org/officeDocument/2006/relationships/hyperlink" Target="http://www.sec.gov/ix?doc=/Archives/edgar/data/1841968/000095017024056908/px-20240331.htm" TargetMode="External"/><Relationship Id="rId44" Type="http://schemas.openxmlformats.org/officeDocument/2006/relationships/hyperlink" Target="http://www.sec.gov/ix?doc=/Archives/edgar/data/1841968/000095017024013368/px-20240206.htm" TargetMode="External"/><Relationship Id="rId45" Type="http://schemas.openxmlformats.org/officeDocument/2006/relationships/hyperlink" Target="http://www.sec.gov/ix?doc=/Archives/edgar/data/1841968/000095017024046364/px-20240422.htm" TargetMode="External"/><Relationship Id="rId46" Type="http://schemas.openxmlformats.org/officeDocument/2006/relationships/hyperlink" Target="http://www.sec.gov/ix?doc=/Archives/edgar/data/1841968/000095017024055658/px-20240506.htm" TargetMode="External"/><Relationship Id="rId47" Type="http://schemas.openxmlformats.org/officeDocument/2006/relationships/hyperlink" Target="http://www.sec.gov/ix?doc=/Archives/edgar/data/1841968/000095017024074124/px-20240614.htm" TargetMode="External"/><Relationship Id="rId48" Type="http://schemas.openxmlformats.org/officeDocument/2006/relationships/hyperlink" Target="http://www.sec.gov/Archives/edgar/data/1841968/000095017024047664/p10_proxy_2023_-_no_xbrl.htm" TargetMode="External"/><Relationship Id="rId49" Type="http://schemas.openxmlformats.org/officeDocument/2006/relationships/hyperlink" Target="http://www.sec.gov/Archives/edgar/data/1841968/000119312521302126/d197268d8a12b.htm" TargetMode="External"/><Relationship Id="rId61" Type="http://schemas.openxmlformats.org/officeDocument/2006/relationships/hyperlink" Target="http://www.sec.gov/Archives/edgar/data/1841968/000119312521308150/d247132dex31.htm" TargetMode="External"/><Relationship Id="rId62" Type="http://schemas.openxmlformats.org/officeDocument/2006/relationships/hyperlink" Target="http://www.sec.gov/Archives/edgar/data/1841968/000119312521308150/d247132dex32.htm" TargetMode="External"/><Relationship Id="rId63" Type="http://schemas.openxmlformats.org/officeDocument/2006/relationships/hyperlink" Target="http://www.sec.gov/Archives/edgar/data/1841968/000095017024030461/px-ex4_3.htm" TargetMode="External"/><Relationship Id="rId64" Type="http://schemas.openxmlformats.org/officeDocument/2006/relationships/hyperlink" Target="http://www.sec.gov/Archives/edgar/data/1841968/000119312521308150/d247132dex101.htm" TargetMode="External"/><Relationship Id="rId65" Type="http://schemas.openxmlformats.org/officeDocument/2006/relationships/hyperlink" Target="http://www.sec.gov/Archives/edgar/data/1841968/000095017023042347/px-ex10_5.htm" TargetMode="External"/><Relationship Id="rId66" Type="http://schemas.openxmlformats.org/officeDocument/2006/relationships/hyperlink" Target="http://www.sec.gov/Archives/edgar/data/1841968/000119312521308150/d247132dex102.htm" TargetMode="External"/><Relationship Id="rId67" Type="http://schemas.openxmlformats.org/officeDocument/2006/relationships/hyperlink" Target="http://www.sec.gov/Archives/edgar/data/1841968/000119312521284294/d118332dex103.htm" TargetMode="External"/><Relationship Id="rId68" Type="http://schemas.openxmlformats.org/officeDocument/2006/relationships/hyperlink" Target="http://www.sec.gov/Archives/edgar/data/1841968/000119312521300289/d118332dex101.htm" TargetMode="External"/><Relationship Id="rId69" Type="http://schemas.openxmlformats.org/officeDocument/2006/relationships/hyperlink" Target="http://www.sec.gov/Archives/edgar/data/1841968/000095017024074124/px-ex10_1.htm" TargetMode="External"/><Relationship Id="rId70" Type="http://schemas.openxmlformats.org/officeDocument/2006/relationships/hyperlink" Target="http://www.sec.gov/Archives/edgar/data/1841968/000119312521300289/d118332dex102.htm" TargetMode="External"/><Relationship Id="rId71" Type="http://schemas.openxmlformats.org/officeDocument/2006/relationships/hyperlink" Target="http://www.sec.gov/Archives/edgar/data/1841968/000095017023022237/px-ex10_1.htm" TargetMode="External"/><Relationship Id="rId72" Type="http://schemas.openxmlformats.org/officeDocument/2006/relationships/hyperlink" Target="http://www.sec.gov/Archives/edgar/data/1841968/000095017023022237/px-ex10_3.htm" TargetMode="External"/><Relationship Id="rId73" Type="http://schemas.openxmlformats.org/officeDocument/2006/relationships/hyperlink" Target="http://www.sec.gov/Archives/edgar/data/1841968/000095017023063085/px-ex10_2.htm" TargetMode="External"/><Relationship Id="rId74" Type="http://schemas.openxmlformats.org/officeDocument/2006/relationships/hyperlink" Target="http://www.sec.gov/Archives/edgar/data/1841968/000095017023022237/px-ex10_4.htm" TargetMode="External"/><Relationship Id="rId75" Type="http://schemas.openxmlformats.org/officeDocument/2006/relationships/hyperlink" Target="http://www.sec.gov/Archives/edgar/data/1841968/000095017023063085/px-ex10_3.htm" TargetMode="External"/><Relationship Id="rId76" Type="http://schemas.openxmlformats.org/officeDocument/2006/relationships/hyperlink" Target="http://www.sec.gov/Archives/edgar/data/1841968/000095017023063085/px-ex10_1.htm" TargetMode="External"/><Relationship Id="rId78" Type="http://schemas.openxmlformats.org/officeDocument/2006/relationships/hyperlink" Target="http://www.sec.gov/Archives/edgar/data/1841968/000095017024056908/px-ex10_1.htm" TargetMode="External"/><Relationship Id="rId79" Type="http://schemas.openxmlformats.org/officeDocument/2006/relationships/hyperlink" Target="http://www.sec.gov/Archives/edgar/data/1841968/000095017024056908/px-ex10_2.htm" TargetMode="External"/><Relationship Id="rId80" Type="http://schemas.openxmlformats.org/officeDocument/2006/relationships/hyperlink" Target="http://www.sec.gov/Archives/edgar/data/1841968/000095017024056908/px-ex10_3.htm" TargetMode="External"/><Relationship Id="rId81" Type="http://schemas.openxmlformats.org/officeDocument/2006/relationships/hyperlink" Target="http://www.sec.gov/Archives/edgar/data/1841968/000119312521284294/d118332dex1014.htm" TargetMode="External"/><Relationship Id="rId82" Type="http://schemas.openxmlformats.org/officeDocument/2006/relationships/hyperlink" Target="http://www.sec.gov/Archives/edgar/data/1841968/000119312521284294/d118332dex1015.htm" TargetMode="External"/><Relationship Id="rId83" Type="http://schemas.openxmlformats.org/officeDocument/2006/relationships/hyperlink" Target="http://www.sec.gov/Archives/edgar/data/1841968/000119312521284294/d118332dex1016.htm" TargetMode="External"/><Relationship Id="rId84" Type="http://schemas.openxmlformats.org/officeDocument/2006/relationships/hyperlink" Target="http://www.sec.gov/Archives/edgar/data/1841968/000119312521284294/d118332dex1017.htm" TargetMode="External"/><Relationship Id="rId85" Type="http://schemas.openxmlformats.org/officeDocument/2006/relationships/hyperlink" Target="http://www.sec.gov/Archives/edgar/data/1841968/000119312521284294/d118332dex1018.htm" TargetMode="External"/><Relationship Id="rId86" Type="http://schemas.openxmlformats.org/officeDocument/2006/relationships/hyperlink" Target="http://www.sec.gov/Archives/edgar/data/1841968/000119312521284294/d118332dex1019.htm" TargetMode="External"/><Relationship Id="rId88" Type="http://schemas.openxmlformats.org/officeDocument/2006/relationships/hyperlink" Target="http://www.sec.gov/Archives/edgar/data/1841968/000119312521284294/d118332dex1020.htm" TargetMode="External"/><Relationship Id="rId89" Type="http://schemas.openxmlformats.org/officeDocument/2006/relationships/hyperlink" Target="http://www.sec.gov/Archives/edgar/data/1841968/000119312521284294/d118332dex1021.htm" TargetMode="External"/><Relationship Id="rId90" Type="http://schemas.openxmlformats.org/officeDocument/2006/relationships/hyperlink" Target="http://www.sec.gov/Archives/edgar/data/1841968/000119312521284294/d118332dex1022.htm" TargetMode="External"/><Relationship Id="rId91" Type="http://schemas.openxmlformats.org/officeDocument/2006/relationships/hyperlink" Target="http://www.sec.gov/Archives/edgar/data/1841968/000119312521296382/d118332dex1028.htm" TargetMode="External"/><Relationship Id="rId92" Type="http://schemas.openxmlformats.org/officeDocument/2006/relationships/hyperlink" Target="http://www.sec.gov/Archives/edgar/data/1841968/000119312522230601/d273626dex101.htm" TargetMode="External"/><Relationship Id="rId93" Type="http://schemas.openxmlformats.org/officeDocument/2006/relationships/hyperlink" Target="http://www.sec.gov/Archives/edgar/data/1841968/000119312522230601/d273626dex102.htm" TargetMode="External"/><Relationship Id="rId94" Type="http://schemas.openxmlformats.org/officeDocument/2006/relationships/hyperlink" Target="http://www.sec.gov/Archives/edgar/data/1841968/000119312522230601/d273626dex103.htm" TargetMode="External"/><Relationship Id="rId95" Type="http://schemas.openxmlformats.org/officeDocument/2006/relationships/hyperlink" Target="http://www.sec.gov/Archives/edgar/data/1841968/000095017024030461/px-ex21_1.htm" TargetMode="External"/><Relationship Id="rId96" Type="http://schemas.openxmlformats.org/officeDocument/2006/relationships/hyperlink" Target="http://www.sec.gov/Archives/edgar/data/1841968/000119312524148380/d741680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2024-07-19T15:25:34Z</dcterms:created>
  <dcterms:modified xsi:type="dcterms:W3CDTF">2024-07-19T15:25:34Z</dcterms:modified>
</cp:coreProperties>
</file>