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35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7)*</w:t>
      </w:r>
    </w:p>
    <w:p>
      <w:pPr>
        <w:spacing w:after="0" w:line="200" w:lineRule="exact"/>
        <w:rPr>
          <w:sz w:val="24"/>
          <w:szCs w:val="24"/>
          <w:color w:val="auto"/>
        </w:rPr>
      </w:pPr>
    </w:p>
    <w:p>
      <w:pPr>
        <w:spacing w:after="0" w:line="36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8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00504W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December 31, 2006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the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2"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2" w:lineRule="exact"/>
        <w:rPr>
          <w:sz w:val="24"/>
          <w:szCs w:val="24"/>
          <w:color w:val="auto"/>
        </w:rPr>
      </w:pPr>
    </w:p>
    <w:p>
      <w:pPr>
        <w:ind w:left="220" w:right="10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Amendment No. 7 is being filed to correct certain clerical errors related to the calculation of the Reporting Person’s beneficial ownership as reported on the Reporting Person’s Amendment No. 6 to Schedule 13G filed on February 14, 2007.</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8"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43"/>
        </w:trPr>
        <w:tc>
          <w:tcPr>
            <w:tcW w:w="15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24"/>
                <w:szCs w:val="24"/>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1,316,796</w:t>
            </w:r>
          </w:p>
        </w:tc>
        <w:tc>
          <w:tcPr>
            <w:tcW w:w="0" w:type="dxa"/>
            <w:vAlign w:val="bottom"/>
          </w:tcPr>
          <w:p>
            <w:pPr>
              <w:spacing w:after="0"/>
              <w:rPr>
                <w:sz w:val="1"/>
                <w:szCs w:val="1"/>
                <w:color w:val="auto"/>
              </w:rPr>
            </w:pPr>
          </w:p>
        </w:tc>
      </w:tr>
      <w:tr>
        <w:trPr>
          <w:trHeight w:val="35"/>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0"/>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500" w:type="dxa"/>
            <w:vAlign w:val="bottom"/>
            <w:vMerge w:val="continue"/>
          </w:tcPr>
          <w:p>
            <w:pPr>
              <w:spacing w:after="0"/>
              <w:rPr>
                <w:sz w:val="13"/>
                <w:szCs w:val="13"/>
                <w:color w:val="auto"/>
              </w:rPr>
            </w:pPr>
          </w:p>
        </w:tc>
        <w:tc>
          <w:tcPr>
            <w:tcW w:w="420" w:type="dxa"/>
            <w:vAlign w:val="bottom"/>
          </w:tcPr>
          <w:p>
            <w:pPr>
              <w:jc w:val="right"/>
              <w:spacing w:after="0" w:line="161" w:lineRule="exact"/>
              <w:rPr>
                <w:sz w:val="20"/>
                <w:szCs w:val="20"/>
                <w:color w:val="auto"/>
              </w:rPr>
            </w:pPr>
            <w:r>
              <w:rPr>
                <w:rFonts w:ascii="Arial" w:cs="Arial" w:eastAsia="Arial" w:hAnsi="Arial"/>
                <w:sz w:val="18"/>
                <w:szCs w:val="18"/>
                <w:color w:val="auto"/>
              </w:rPr>
              <w:t>6.</w:t>
            </w:r>
          </w:p>
        </w:tc>
        <w:tc>
          <w:tcPr>
            <w:tcW w:w="9500" w:type="dxa"/>
            <w:vAlign w:val="bottom"/>
          </w:tcPr>
          <w:p>
            <w:pPr>
              <w:ind w:left="100"/>
              <w:spacing w:after="0" w:line="16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3,750,000</w:t>
            </w:r>
          </w:p>
        </w:tc>
        <w:tc>
          <w:tcPr>
            <w:tcW w:w="0" w:type="dxa"/>
            <w:vAlign w:val="bottom"/>
          </w:tcPr>
          <w:p>
            <w:pPr>
              <w:spacing w:after="0"/>
              <w:rPr>
                <w:sz w:val="1"/>
                <w:szCs w:val="1"/>
                <w:color w:val="auto"/>
              </w:rPr>
            </w:pPr>
          </w:p>
        </w:tc>
      </w:tr>
      <w:tr>
        <w:trPr>
          <w:trHeight w:val="224"/>
        </w:trPr>
        <w:tc>
          <w:tcPr>
            <w:tcW w:w="150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tcBorders>
          </w:tcPr>
          <w:p>
            <w:pPr>
              <w:spacing w:after="0"/>
              <w:rPr>
                <w:sz w:val="19"/>
                <w:szCs w:val="19"/>
                <w:color w:val="auto"/>
              </w:rPr>
            </w:pPr>
          </w:p>
        </w:tc>
        <w:tc>
          <w:tcPr>
            <w:tcW w:w="9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line="188" w:lineRule="exact"/>
              <w:rPr>
                <w:sz w:val="20"/>
                <w:szCs w:val="20"/>
                <w:color w:val="auto"/>
              </w:rPr>
            </w:pPr>
            <w:r>
              <w:rPr>
                <w:rFonts w:ascii="Arial" w:cs="Arial" w:eastAsia="Arial" w:hAnsi="Arial"/>
                <w:sz w:val="18"/>
                <w:szCs w:val="18"/>
                <w:color w:val="auto"/>
                <w:w w:val="82"/>
              </w:rPr>
              <w:t>Each</w:t>
            </w:r>
          </w:p>
        </w:tc>
        <w:tc>
          <w:tcPr>
            <w:tcW w:w="420" w:type="dxa"/>
            <w:vAlign w:val="bottom"/>
          </w:tcPr>
          <w:p>
            <w:pPr>
              <w:jc w:val="right"/>
              <w:spacing w:after="0" w:line="188" w:lineRule="exact"/>
              <w:rPr>
                <w:sz w:val="20"/>
                <w:szCs w:val="20"/>
                <w:color w:val="auto"/>
              </w:rPr>
            </w:pPr>
            <w:r>
              <w:rPr>
                <w:rFonts w:ascii="Arial" w:cs="Arial" w:eastAsia="Arial" w:hAnsi="Arial"/>
                <w:sz w:val="18"/>
                <w:szCs w:val="18"/>
                <w:color w:val="auto"/>
              </w:rPr>
              <w:t>7.</w:t>
            </w:r>
          </w:p>
        </w:tc>
        <w:tc>
          <w:tcPr>
            <w:tcW w:w="9500" w:type="dxa"/>
            <w:vAlign w:val="bottom"/>
          </w:tcPr>
          <w:p>
            <w:pPr>
              <w:ind w:left="100"/>
              <w:spacing w:after="0" w:line="18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1,316,796</w:t>
            </w:r>
          </w:p>
        </w:tc>
        <w:tc>
          <w:tcPr>
            <w:tcW w:w="0" w:type="dxa"/>
            <w:vAlign w:val="bottom"/>
          </w:tcPr>
          <w:p>
            <w:pPr>
              <w:spacing w:after="0"/>
              <w:rPr>
                <w:sz w:val="1"/>
                <w:szCs w:val="1"/>
                <w:color w:val="auto"/>
              </w:rPr>
            </w:pPr>
          </w:p>
        </w:tc>
      </w:tr>
      <w:tr>
        <w:trPr>
          <w:trHeight w:val="197"/>
        </w:trPr>
        <w:tc>
          <w:tcPr>
            <w:tcW w:w="1500" w:type="dxa"/>
            <w:vAlign w:val="bottom"/>
          </w:tcPr>
          <w:p>
            <w:pPr>
              <w:jc w:val="center"/>
              <w:spacing w:after="0" w:line="197" w:lineRule="exact"/>
              <w:rPr>
                <w:sz w:val="20"/>
                <w:szCs w:val="20"/>
                <w:color w:val="auto"/>
              </w:rPr>
            </w:pPr>
            <w:r>
              <w:rPr>
                <w:rFonts w:ascii="Arial" w:cs="Arial" w:eastAsia="Arial" w:hAnsi="Arial"/>
                <w:sz w:val="18"/>
                <w:szCs w:val="18"/>
                <w:color w:val="auto"/>
                <w:w w:val="80"/>
              </w:rPr>
              <w:t>Person</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00" w:type="dxa"/>
            <w:vAlign w:val="bottom"/>
          </w:tcPr>
          <w:p>
            <w:pPr>
              <w:jc w:val="center"/>
              <w:spacing w:after="0"/>
              <w:rPr>
                <w:sz w:val="20"/>
                <w:szCs w:val="20"/>
                <w:color w:val="auto"/>
              </w:rPr>
            </w:pPr>
            <w:r>
              <w:rPr>
                <w:rFonts w:ascii="Arial" w:cs="Arial" w:eastAsia="Arial" w:hAnsi="Arial"/>
                <w:sz w:val="18"/>
                <w:szCs w:val="18"/>
                <w:color w:val="auto"/>
                <w:w w:val="92"/>
              </w:rPr>
              <w:t>With:</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3,750,000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5,066,796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66"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right="220" w:hanging="452"/>
        <w:spacing w:after="0" w:line="31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upon 50,828,461 shares of Common Stock outstanding as of December 31, 2006, which includes 703,000 shares of Common Stock that may be acquired by the Reporting Person within 60 days of December 31, 2006 through the exercise of stock options. As of February 1, 2007, 219,531 stock options held by the Reporting Person that were outstanding and exercisable as of December 31, 2006 failed to vest and ceased to be exercisable with respect to such unvested option shares. As of May 2, 2007, the 483,469 options held by the Reporting Person that remained exercisable as of February 1, 2007 will terminate and cease to be outstanding to the extent such options are not exercised for the remaining vested option shares prior to May 2, 2007.</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-219710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Active Power, Inc.</w:t>
      </w:r>
    </w:p>
    <w:p>
      <w:pPr>
        <w:spacing w:after="0" w:line="140" w:lineRule="exact"/>
        <w:rPr>
          <w:sz w:val="20"/>
          <w:szCs w:val="20"/>
          <w:color w:val="auto"/>
        </w:rPr>
      </w:pPr>
    </w:p>
    <w:p>
      <w:pPr>
        <w:sectPr>
          <w:pgSz w:w="11900" w:h="16838" w:orient="portrait"/>
          <w:cols w:equalWidth="0" w:num="2">
            <w:col w:w="540" w:space="180"/>
            <w:col w:w="9499"/>
          </w:cols>
          <w:pgMar w:left="240" w:top="274" w:right="1440" w:bottom="1440" w:gutter="0" w:footer="0" w:header="0"/>
        </w:sectPr>
      </w:pPr>
    </w:p>
    <w:p>
      <w:pPr>
        <w:ind w:left="1420" w:hanging="71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420" w:right="6519"/>
        <w:spacing w:after="0" w:line="268" w:lineRule="auto"/>
        <w:rPr>
          <w:rFonts w:ascii="Arial" w:cs="Arial" w:eastAsia="Arial" w:hAnsi="Arial"/>
          <w:sz w:val="18"/>
          <w:szCs w:val="18"/>
          <w:color w:val="auto"/>
        </w:rPr>
      </w:pPr>
      <w:r>
        <w:rPr>
          <w:rFonts w:ascii="Arial" w:cs="Arial" w:eastAsia="Arial" w:hAnsi="Arial"/>
          <w:sz w:val="18"/>
          <w:szCs w:val="18"/>
          <w:color w:val="auto"/>
        </w:rPr>
        <w:t>2128 W. Braker Lane, Braker 12 Austin, TX 78758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117" w:lineRule="exact"/>
        <w:rPr>
          <w:rFonts w:ascii="Arial" w:cs="Arial" w:eastAsia="Arial" w:hAnsi="Arial"/>
          <w:sz w:val="18"/>
          <w:szCs w:val="18"/>
          <w:color w:val="auto"/>
        </w:rPr>
      </w:pPr>
    </w:p>
    <w:p>
      <w:pPr>
        <w:ind w:left="1420" w:right="7219"/>
        <w:spacing w:after="0" w:line="332" w:lineRule="auto"/>
        <w:rPr>
          <w:rFonts w:ascii="Arial" w:cs="Arial" w:eastAsia="Arial" w:hAnsi="Arial"/>
          <w:sz w:val="18"/>
          <w:szCs w:val="18"/>
          <w:color w:val="auto"/>
        </w:rPr>
      </w:pPr>
      <w:r>
        <w:rPr>
          <w:rFonts w:ascii="Arial" w:cs="Arial" w:eastAsia="Arial" w:hAnsi="Arial"/>
          <w:sz w:val="16"/>
          <w:szCs w:val="16"/>
          <w:color w:val="auto"/>
        </w:rPr>
        <w:t>2312 Woodlawn Blvd. Austin, TX 78703</w:t>
      </w:r>
    </w:p>
    <w:p>
      <w:pPr>
        <w:spacing w:after="0" w:line="44" w:lineRule="exact"/>
        <w:rPr>
          <w:rFonts w:ascii="Arial" w:cs="Arial" w:eastAsia="Arial" w:hAnsi="Arial"/>
          <w:sz w:val="18"/>
          <w:szCs w:val="18"/>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00504W 10 0</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710"/>
        <w:spacing w:after="0" w:line="184" w:lineRule="exact"/>
        <w:tabs>
          <w:tab w:leader="none" w:pos="1420" w:val="left"/>
        </w:tabs>
        <w:numPr>
          <w:ilvl w:val="0"/>
          <w:numId w:val="1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right="219" w:hanging="990"/>
        <w:spacing w:after="0" w:line="236" w:lineRule="exact"/>
        <w:tabs>
          <w:tab w:leader="none" w:pos="1403"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219"/>
          </w:cols>
          <w:pgMar w:left="240" w:top="274" w:right="1440" w:bottom="1440" w:gutter="0" w:footer="0" w:header="0"/>
          <w:type w:val="continuous"/>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19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8" w:lineRule="exact"/>
        <w:rPr>
          <w:sz w:val="20"/>
          <w:szCs w:val="20"/>
          <w:color w:val="auto"/>
        </w:rPr>
      </w:pPr>
    </w:p>
    <w:p>
      <w:pPr>
        <w:ind w:left="1020" w:hanging="31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20" w:right="159"/>
        <w:spacing w:after="0" w:line="305" w:lineRule="auto"/>
        <w:rPr>
          <w:rFonts w:ascii="Arial" w:cs="Arial" w:eastAsia="Arial" w:hAnsi="Arial"/>
          <w:sz w:val="18"/>
          <w:szCs w:val="18"/>
          <w:color w:val="auto"/>
        </w:rPr>
      </w:pPr>
      <w:r>
        <w:rPr>
          <w:rFonts w:ascii="Arial" w:cs="Arial" w:eastAsia="Arial" w:hAnsi="Arial"/>
          <w:sz w:val="15"/>
          <w:szCs w:val="15"/>
          <w:color w:val="auto"/>
        </w:rPr>
        <w:t>As of December 31, 2006, Joseph F. Pinkerton, III was the record owner of 363,796 shares of Common Stock and was deemed to beneficially own an additional 703,000 shares of Common Stock which he could acquire within 60 days of December 31, 2006 through the exercise of stock options. As of February 1, 2007, 219,531 stock options held by Mr. Pinkerton that were outstanding and exercisable as of December 31, 2006 failed to vest and ceased to be exercisable with respect to such unvested option shares. As of May 2, 2007, the 483,469 options held by Mr. Pinkerton that remained exercisable as of February 1, 2007 will terminate and cease to be outstanding to the extent such options are not exercised for the remaining vested option shares prior to May 2, 2007. Mr. Pinkerton also may be deemed to beneficially own 3,750,000 shares of Common Stock, which is held by CJP Partners, Ltd., a limited partnership in which CJP Management, L.L.C. is the sole general partner and Mr. Pinkerton and his spouse are the only limited partners. Mr. Pinkerton may also be deemed to beneficially own an additional 250,000 shares of Common Stock, held of record by a Grantor Retained Annuity Trust for the benefit of Mr. Pinkerton’s minor children, and for which Mr. Pinkerton is the sole trustee. Mr. Pinkerton has the sole power to vote and dispose of the shares held by the trust for which he is the trustee. Mr. Pinkerton does not serve as trustee or have the power to vote or dispose of 250,000 shares held of record by a Grantor Retained Annuity Trust for the benefit of Mr. Pinkerton’s minor children, and for which Mr. Pinkerton’s wife is the sole trustee and has the sole power to vote or dispose of such shares. Neither Mr. Pinkerton nor his wife serve as trustees or have the power to vote or dispose of the 425,194 shares held of record by certain Grantor Retained Annuity Trusts for the benefit of Mr. Pinkerton’s minor children and Mr. Pinkerton disclaims beneficial ownership of such shares. Therefore, Mr. Pinkerton may be deemed to beneficially own an aggregate of 5,066,796 shares of Common Stock as of December 31, 2006.</w:t>
      </w:r>
    </w:p>
    <w:p>
      <w:pPr>
        <w:spacing w:after="0" w:line="55" w:lineRule="exact"/>
        <w:rPr>
          <w:rFonts w:ascii="Arial" w:cs="Arial" w:eastAsia="Arial" w:hAnsi="Arial"/>
          <w:sz w:val="18"/>
          <w:szCs w:val="18"/>
          <w:color w:val="auto"/>
        </w:rPr>
      </w:pPr>
    </w:p>
    <w:p>
      <w:pPr>
        <w:ind w:left="1020" w:hanging="31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9.97%</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1,316,796</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3,750,000</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1,316,796</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3,750,000</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4499" w:hanging="701"/>
        <w:spacing w:after="0" w:line="375" w:lineRule="auto"/>
        <w:tabs>
          <w:tab w:leader="none" w:pos="700" w:val="left"/>
        </w:tabs>
        <w:rPr>
          <w:sz w:val="20"/>
          <w:szCs w:val="20"/>
          <w:color w:val="auto"/>
        </w:rPr>
      </w:pPr>
      <w:r>
        <w:rPr>
          <w:rFonts w:ascii="Arial" w:cs="Arial" w:eastAsia="Arial" w:hAnsi="Arial"/>
          <w:sz w:val="18"/>
          <w:szCs w:val="18"/>
          <w:b w:val="1"/>
          <w:bCs w:val="1"/>
          <w:color w:val="auto"/>
        </w:rPr>
        <w:t>Item 6.</w:t>
        <w:tab/>
        <w:t xml:space="preserve">Ownership of More than Five Percent on Behalf of Another Person </w:t>
      </w:r>
      <w:r>
        <w:rPr>
          <w:rFonts w:ascii="Arial" w:cs="Arial" w:eastAsia="Arial" w:hAnsi="Arial"/>
          <w:sz w:val="18"/>
          <w:szCs w:val="18"/>
          <w:color w:val="auto"/>
        </w:rPr>
        <w:t>Not applicable.</w:t>
      </w:r>
    </w:p>
    <w:p>
      <w:pPr>
        <w:spacing w:after="0" w:line="1" w:lineRule="exact"/>
        <w:rPr>
          <w:sz w:val="20"/>
          <w:szCs w:val="20"/>
          <w:color w:val="auto"/>
        </w:rPr>
      </w:pPr>
    </w:p>
    <w:p>
      <w:pPr>
        <w:ind w:left="720" w:right="39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219"/>
          </w:cols>
          <w:pgMar w:left="240" w:top="274"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February 21,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Name/Title</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lvl w:ilvl="1">
      <w:lvlJc w:val="left"/>
      <w:lvlText w:val="(%2)"/>
      <w:numFmt w:val="lowerLetter"/>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2019-12-14T18:11:01Z</dcterms:created>
  <dcterms:modified xsi:type="dcterms:W3CDTF">2019-12-14T18:11:01Z</dcterms:modified>
</cp:coreProperties>
</file>