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69376K106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October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69376K106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AllianceBernstein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13-4064930</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[X]</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2,528,738</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2,581,867</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37,951</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2,619,818</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13.1%</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40" w:right="8120" w:hanging="627"/>
        <w:spacing w:after="0" w:line="280" w:lineRule="auto"/>
        <w:tabs>
          <w:tab w:leader="none" w:pos="154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Name of Issuer </w:t>
      </w:r>
      <w:r>
        <w:rPr>
          <w:rFonts w:ascii="Arial" w:cs="Arial" w:eastAsia="Arial" w:hAnsi="Arial"/>
          <w:sz w:val="21"/>
          <w:szCs w:val="21"/>
          <w:color w:val="auto"/>
        </w:rPr>
        <w:t>P10 Inc</w:t>
      </w:r>
    </w:p>
    <w:p>
      <w:pPr>
        <w:spacing w:after="0" w:line="57" w:lineRule="exact"/>
        <w:rPr>
          <w:rFonts w:ascii="Arial" w:cs="Arial" w:eastAsia="Arial" w:hAnsi="Arial"/>
          <w:sz w:val="21"/>
          <w:szCs w:val="21"/>
          <w:b w:val="1"/>
          <w:bCs w:val="1"/>
          <w:color w:val="auto"/>
        </w:rPr>
      </w:pPr>
    </w:p>
    <w:p>
      <w:pPr>
        <w:ind w:left="1540" w:hanging="627"/>
        <w:spacing w:after="0"/>
        <w:tabs>
          <w:tab w:leader="none" w:pos="15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4514 COLE AVENUE, SUITE 1600, DALLAS, TEXAS 75205</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40" w:hanging="627"/>
        <w:spacing w:after="0"/>
        <w:tabs>
          <w:tab w:leader="none" w:pos="154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540"/>
        <w:spacing w:after="0"/>
        <w:rPr>
          <w:rFonts w:ascii="Arial" w:cs="Arial" w:eastAsia="Arial" w:hAnsi="Arial"/>
          <w:sz w:val="22"/>
          <w:szCs w:val="22"/>
          <w:b w:val="1"/>
          <w:bCs w:val="1"/>
          <w:color w:val="auto"/>
        </w:rPr>
      </w:pPr>
      <w:r>
        <w:rPr>
          <w:rFonts w:ascii="Arial" w:cs="Arial" w:eastAsia="Arial" w:hAnsi="Arial"/>
          <w:sz w:val="22"/>
          <w:szCs w:val="22"/>
          <w:color w:val="auto"/>
        </w:rPr>
        <w:t>AllianceBernstein L.P. ("AllianceBernstein L.P.")</w:t>
      </w:r>
    </w:p>
    <w:p>
      <w:pPr>
        <w:spacing w:after="0" w:line="101" w:lineRule="exact"/>
        <w:rPr>
          <w:rFonts w:ascii="Arial" w:cs="Arial" w:eastAsia="Arial" w:hAnsi="Arial"/>
          <w:sz w:val="22"/>
          <w:szCs w:val="22"/>
          <w:b w:val="1"/>
          <w:bCs w:val="1"/>
          <w:color w:val="auto"/>
        </w:rPr>
      </w:pPr>
    </w:p>
    <w:p>
      <w:pPr>
        <w:ind w:left="1540" w:right="412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1345 Avenue of the Americas, New York, NY 10105</w:t>
      </w:r>
    </w:p>
    <w:p>
      <w:pPr>
        <w:spacing w:after="0" w:line="126" w:lineRule="exact"/>
        <w:rPr>
          <w:rFonts w:ascii="Arial" w:cs="Arial" w:eastAsia="Arial" w:hAnsi="Arial"/>
          <w:sz w:val="19"/>
          <w:szCs w:val="19"/>
          <w:b w:val="1"/>
          <w:bCs w:val="1"/>
          <w:color w:val="auto"/>
        </w:rPr>
      </w:pPr>
    </w:p>
    <w:p>
      <w:pPr>
        <w:ind w:left="1540" w:right="220"/>
        <w:spacing w:after="0" w:line="250" w:lineRule="auto"/>
        <w:rPr>
          <w:rFonts w:ascii="Arial" w:cs="Arial" w:eastAsia="Arial" w:hAnsi="Arial"/>
          <w:sz w:val="19"/>
          <w:szCs w:val="19"/>
          <w:b w:val="1"/>
          <w:bCs w:val="1"/>
          <w:color w:val="auto"/>
        </w:rPr>
      </w:pPr>
      <w:r>
        <w:rPr>
          <w:rFonts w:ascii="Arial" w:cs="Arial" w:eastAsia="Arial" w:hAnsi="Arial"/>
          <w:sz w:val="22"/>
          <w:szCs w:val="22"/>
          <w:color w:val="auto"/>
        </w:rPr>
        <w:t>All media outlets, please contact Jennifer Will at AllianceBernstein (212-969-1157) with any questions. All other questions can be directed to Section13USFilings@alliancebernstein.com.</w:t>
      </w:r>
    </w:p>
    <w:p>
      <w:pPr>
        <w:spacing w:after="0" w:line="87" w:lineRule="exact"/>
        <w:rPr>
          <w:rFonts w:ascii="Arial" w:cs="Arial" w:eastAsia="Arial" w:hAnsi="Arial"/>
          <w:sz w:val="19"/>
          <w:szCs w:val="19"/>
          <w:b w:val="1"/>
          <w:bCs w:val="1"/>
          <w:color w:val="auto"/>
        </w:rPr>
      </w:pPr>
    </w:p>
    <w:p>
      <w:pPr>
        <w:ind w:left="1540" w:right="846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540" w:right="712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40" w:right="8040" w:hanging="627"/>
        <w:spacing w:after="0" w:line="334" w:lineRule="auto"/>
        <w:tabs>
          <w:tab w:leader="none" w:pos="154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69376K106</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60"/>
          </w:cols>
          <w:pgMar w:left="400" w:top="423" w:right="439" w:bottom="0" w:gutter="0" w:footer="0" w:header="0"/>
        </w:sectPr>
      </w:pPr>
    </w:p>
    <w:p>
      <w:pPr>
        <w:spacing w:after="0" w:line="131"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52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80"/>
            <w:col w:w="8700"/>
          </w:cols>
          <w:pgMar w:left="400" w:top="423" w:right="439" w:bottom="0" w:gutter="0" w:footer="0" w:header="0"/>
          <w:type w:val="continuous"/>
        </w:sectPr>
      </w:pPr>
    </w:p>
    <w:p>
      <w:pPr>
        <w:ind w:right="70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40" w:hanging="627"/>
        <w:spacing w:after="0"/>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40" w:right="740"/>
        <w:spacing w:after="0" w:line="250" w:lineRule="auto"/>
        <w:rPr>
          <w:rFonts w:ascii="Arial" w:cs="Arial" w:eastAsia="Arial" w:hAnsi="Arial"/>
          <w:sz w:val="22"/>
          <w:szCs w:val="22"/>
          <w:color w:val="auto"/>
        </w:rPr>
      </w:pPr>
      <w:r>
        <w:rPr>
          <w:rFonts w:ascii="Arial" w:cs="Arial" w:eastAsia="Arial" w:hAnsi="Arial"/>
          <w:sz w:val="22"/>
          <w:szCs w:val="22"/>
          <w:color w:val="auto"/>
        </w:rPr>
        <w:t>2,619,818 shares acquired solely for investment purposes on behalf of client discretionary investment advisory accounts.*</w:t>
      </w:r>
    </w:p>
    <w:p>
      <w:pPr>
        <w:spacing w:after="0" w:line="93" w:lineRule="exact"/>
        <w:rPr>
          <w:rFonts w:ascii="Arial" w:cs="Arial" w:eastAsia="Arial" w:hAnsi="Arial"/>
          <w:sz w:val="22"/>
          <w:szCs w:val="22"/>
          <w:color w:val="auto"/>
        </w:rPr>
      </w:pPr>
    </w:p>
    <w:p>
      <w:pPr>
        <w:ind w:left="1540" w:right="8040" w:hanging="627"/>
        <w:spacing w:after="0" w:line="358" w:lineRule="auto"/>
        <w:tabs>
          <w:tab w:leader="none" w:pos="1540" w:val="left"/>
        </w:tabs>
        <w:numPr>
          <w:ilvl w:val="0"/>
          <w:numId w:val="4"/>
        </w:numPr>
        <w:rPr>
          <w:rFonts w:ascii="Arial" w:cs="Arial" w:eastAsia="Arial" w:hAnsi="Arial"/>
          <w:sz w:val="22"/>
          <w:szCs w:val="22"/>
          <w:color w:val="auto"/>
        </w:rPr>
      </w:pPr>
      <w:r>
        <w:rPr>
          <w:rFonts w:ascii="Arial" w:cs="Arial" w:eastAsia="Arial" w:hAnsi="Arial"/>
          <w:sz w:val="22"/>
          <w:szCs w:val="22"/>
          <w:color w:val="auto"/>
        </w:rPr>
        <w:t>Percent of Class: 13.1%</w:t>
      </w:r>
    </w:p>
    <w:p>
      <w:pPr>
        <w:sectPr>
          <w:pgSz w:w="11900" w:h="16838" w:orient="portrait"/>
          <w:cols w:equalWidth="0" w:num="1">
            <w:col w:w="11060"/>
          </w:cols>
          <w:pgMar w:left="400" w:top="423" w:right="439" w:bottom="0" w:gutter="0" w:footer="0" w:header="0"/>
          <w:type w:val="continuous"/>
        </w:sectPr>
      </w:pPr>
    </w:p>
    <w:p>
      <w:pPr>
        <w:spacing w:after="0" w:line="1" w:lineRule="exact"/>
        <w:rPr>
          <w:sz w:val="20"/>
          <w:szCs w:val="20"/>
          <w:color w:val="auto"/>
        </w:rPr>
      </w:pPr>
    </w:p>
    <w:p>
      <w:pPr>
        <w:ind w:left="1540" w:hanging="627"/>
        <w:spacing w:after="0"/>
        <w:tabs>
          <w:tab w:leader="none" w:pos="154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60" w:hanging="812"/>
        <w:spacing w:after="0"/>
        <w:tabs>
          <w:tab w:leader="none" w:pos="23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60" w:hanging="812"/>
        <w:spacing w:after="0"/>
        <w:tabs>
          <w:tab w:leader="none" w:pos="236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60" w:hanging="812"/>
        <w:spacing w:after="0" w:line="183" w:lineRule="auto"/>
        <w:tabs>
          <w:tab w:leader="none" w:pos="23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60" w:right="780" w:hanging="812"/>
        <w:spacing w:after="0" w:line="183" w:lineRule="auto"/>
        <w:tabs>
          <w:tab w:leader="none" w:pos="236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Arial" w:cs="Arial" w:eastAsia="Arial" w:hAnsi="Arial"/>
          <w:sz w:val="19"/>
          <w:szCs w:val="19"/>
          <w:color w:val="auto"/>
        </w:rPr>
        <w:t>2,528,738</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2,581,867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37,951</w:t>
      </w:r>
    </w:p>
    <w:p>
      <w:pPr>
        <w:spacing w:after="0" w:line="246" w:lineRule="exact"/>
        <w:rPr>
          <w:sz w:val="20"/>
          <w:szCs w:val="20"/>
          <w:color w:val="auto"/>
        </w:rPr>
      </w:pPr>
    </w:p>
    <w:p>
      <w:pPr>
        <w:sectPr>
          <w:pgSz w:w="11900" w:h="16838" w:orient="portrait"/>
          <w:cols w:equalWidth="0" w:num="2">
            <w:col w:w="6540" w:space="280"/>
            <w:col w:w="4240"/>
          </w:cols>
          <w:pgMar w:left="400" w:top="423" w:right="439" w:bottom="0" w:gutter="0" w:footer="0" w:header="0"/>
          <w:type w:val="continuous"/>
        </w:sectPr>
      </w:pPr>
    </w:p>
    <w:p>
      <w:pPr>
        <w:spacing w:after="0"/>
        <w:rPr>
          <w:sz w:val="20"/>
          <w:szCs w:val="20"/>
          <w:color w:val="auto"/>
        </w:rPr>
      </w:pPr>
      <w:r>
        <w:rPr>
          <w:rFonts w:ascii="Arial" w:cs="Arial" w:eastAsia="Arial" w:hAnsi="Arial"/>
          <w:sz w:val="19"/>
          <w:szCs w:val="19"/>
          <w:color w:val="auto"/>
        </w:rPr>
        <w:t>*AllianceBernstein L.P. is a majority owned subsidiary of Equitable Holdings, Inc. ("EQH"). AllianceBernstein operates under</w:t>
      </w:r>
    </w:p>
    <w:p>
      <w:pPr>
        <w:sectPr>
          <w:pgSz w:w="11900" w:h="16838" w:orient="portrait"/>
          <w:cols w:equalWidth="0" w:num="1">
            <w:col w:w="11060"/>
          </w:cols>
          <w:pgMar w:left="400" w:top="423" w:right="439" w:bottom="0" w:gutter="0" w:footer="0" w:header="0"/>
          <w:type w:val="continuous"/>
        </w:sectPr>
      </w:pPr>
    </w:p>
    <w:bookmarkStart w:id="3" w:name="page4"/>
    <w:bookmarkEnd w:id="3"/>
    <w:p>
      <w:pPr>
        <w:jc w:val="both"/>
        <w:ind w:right="40"/>
        <w:spacing w:after="0"/>
        <w:rPr>
          <w:sz w:val="20"/>
          <w:szCs w:val="20"/>
          <w:color w:val="auto"/>
        </w:rPr>
      </w:pPr>
      <w:r>
        <w:rPr>
          <w:rFonts w:ascii="Arial" w:cs="Arial" w:eastAsia="Arial" w:hAnsi="Arial"/>
          <w:sz w:val="22"/>
          <w:szCs w:val="22"/>
          <w:color w:val="auto"/>
        </w:rPr>
        <w:t>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p>
      <w:pPr>
        <w:spacing w:after="0" w:line="100"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131" w:lineRule="exact"/>
        <w:rPr>
          <w:sz w:val="20"/>
          <w:szCs w:val="20"/>
          <w:color w:val="auto"/>
        </w:rPr>
      </w:pPr>
    </w:p>
    <w:p>
      <w:pPr>
        <w:ind w:left="920" w:right="28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pacing w:after="0" w:line="64"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8"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22"/>
          <w:szCs w:val="22"/>
          <w:color w:val="auto"/>
        </w:rPr>
        <w:t>AllianceBernstein L.P.</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Brenda Coulter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Date: November 10, 2021</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Name: Brenda Coulter</w:t>
      </w:r>
    </w:p>
    <w:p>
      <w:pPr>
        <w:spacing w:after="0" w:line="44" w:lineRule="exact"/>
        <w:rPr>
          <w:sz w:val="20"/>
          <w:szCs w:val="20"/>
          <w:color w:val="auto"/>
        </w:rPr>
      </w:pPr>
    </w:p>
    <w:p>
      <w:pPr>
        <w:ind w:left="580"/>
        <w:spacing w:after="0"/>
        <w:rPr>
          <w:sz w:val="20"/>
          <w:szCs w:val="20"/>
          <w:color w:val="auto"/>
        </w:rPr>
      </w:pPr>
      <w:r>
        <w:rPr>
          <w:rFonts w:ascii="Arial" w:cs="Arial" w:eastAsia="Arial" w:hAnsi="Arial"/>
          <w:sz w:val="22"/>
          <w:szCs w:val="22"/>
          <w:color w:val="auto"/>
        </w:rPr>
        <w:t>Title: VP and Head of Regulatory Reporting</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2021-11-09T11:28:24Z</dcterms:created>
  <dcterms:modified xsi:type="dcterms:W3CDTF">2021-11-09T11:28:24Z</dcterms:modified>
</cp:coreProperties>
</file>