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55880"/>
                    </a:xfrm>
                    <a:prstGeom prst="rect">
                      <a:avLst/>
                    </a:prstGeom>
                    <a:noFill/>
                  </pic:spPr>
                </pic:pic>
              </a:graphicData>
            </a:graphic>
          </wp:anchor>
        </w:drawing>
        <w:t>2128 W. Braker Lane BK12, Austin, TX US 78758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24,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Mara L. Ransom</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Jennifer Lopez</w:t>
      </w:r>
    </w:p>
    <w:p>
      <w:pPr>
        <w:spacing w:after="0" w:line="23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Active Power,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333-188242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pacing w:after="0" w:line="9" w:lineRule="exact"/>
        <w:rPr>
          <w:sz w:val="24"/>
          <w:szCs w:val="24"/>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Requested Date:</w:t>
      </w:r>
      <w:r>
        <w:rPr>
          <w:sz w:val="20"/>
          <w:szCs w:val="20"/>
          <w:color w:val="auto"/>
        </w:rPr>
        <w:tab/>
      </w:r>
      <w:r>
        <w:rPr>
          <w:rFonts w:ascii="Arial" w:cs="Arial" w:eastAsia="Arial" w:hAnsi="Arial"/>
          <w:sz w:val="15"/>
          <w:szCs w:val="15"/>
          <w:b w:val="1"/>
          <w:bCs w:val="1"/>
          <w:color w:val="auto"/>
        </w:rPr>
        <w:t>June 26, 2013</w:t>
      </w:r>
    </w:p>
    <w:p>
      <w:pPr>
        <w:spacing w:after="0" w:line="9" w:lineRule="exact"/>
        <w:rPr>
          <w:sz w:val="24"/>
          <w:szCs w:val="24"/>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Requested Time:</w:t>
      </w:r>
      <w:r>
        <w:rPr>
          <w:sz w:val="20"/>
          <w:szCs w:val="20"/>
          <w:color w:val="auto"/>
        </w:rPr>
        <w:tab/>
      </w:r>
      <w:r>
        <w:rPr>
          <w:rFonts w:ascii="Arial" w:cs="Arial" w:eastAsia="Arial" w:hAnsi="Arial"/>
          <w:sz w:val="16"/>
          <w:szCs w:val="16"/>
          <w:b w:val="1"/>
          <w:bCs w:val="1"/>
          <w:color w:val="auto"/>
        </w:rPr>
        <w:t>4:30 PM Eastern Time</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140" w:firstLine="648"/>
        <w:spacing w:after="0" w:line="259" w:lineRule="auto"/>
        <w:rPr>
          <w:sz w:val="20"/>
          <w:szCs w:val="20"/>
          <w:color w:val="auto"/>
        </w:rPr>
      </w:pPr>
      <w:r>
        <w:rPr>
          <w:rFonts w:ascii="Arial" w:cs="Arial" w:eastAsia="Arial" w:hAnsi="Arial"/>
          <w:sz w:val="18"/>
          <w:szCs w:val="18"/>
          <w:color w:val="auto"/>
        </w:rPr>
        <w:t>Pursuant to Rule 461 under the Securities Act of 1933, as amended, Active Power,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above-referenced Registration Statement on Form S-3,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be declared effective at the “Requested Date” and “Requested Time” set forth above or as soon thereafter as practicable, or at such later time as the Company may request by telephone to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214"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hereby authorizes Robert Suffoletta of Wilson Sonsini Goodrich &amp; Rosati, P.C., counsel for the Company, to verbally modify or withdraw such request on the Company’s behalf.</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the acceleration request, the Company hereby acknowledges that:</w:t>
      </w:r>
    </w:p>
    <w:p>
      <w:pPr>
        <w:spacing w:after="0" w:line="252" w:lineRule="exact"/>
        <w:rPr>
          <w:sz w:val="24"/>
          <w:szCs w:val="24"/>
          <w:color w:val="auto"/>
        </w:rPr>
      </w:pPr>
    </w:p>
    <w:p>
      <w:pPr>
        <w:ind w:left="130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1300" w:right="52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Active 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1300" w:right="68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request that we be notified of the effectiveness of the Registration Statement by telephone to Robert Suffoletta, of Wilson Sonsini Goodrich &amp; Rosati, Professional Corporation, at (512) 338-5439.</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5715</wp:posOffset>
            </wp:positionV>
            <wp:extent cx="2907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180"/>
      </w:cols>
      <w:pgMar w:left="240"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2019-12-06T19:29:53Z</dcterms:created>
  <dcterms:modified xsi:type="dcterms:W3CDTF">2019-12-06T19:29:53Z</dcterms:modified>
</cp:coreProperties>
</file>