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04,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4514 Cole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75205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1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On April 4, 2025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P10 Intermediate Holdings LLC, a Delaware limited liability company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a subsidiary of P10,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completed its previously announced acquisition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of all of the issued and outstanding equity interests of Qualitas Equity Funds SGEIC, S.A. (“</w:t>
      </w:r>
      <w:r>
        <w:rPr>
          <w:rFonts w:ascii="Times New Roman" w:cs="Times New Roman" w:eastAsia="Times New Roman" w:hAnsi="Times New Roman"/>
          <w:sz w:val="18"/>
          <w:szCs w:val="18"/>
          <w:b w:val="1"/>
          <w:bCs w:val="1"/>
          <w:color w:val="auto"/>
        </w:rPr>
        <w:t>Qualitas Funds</w:t>
      </w:r>
      <w:r>
        <w:rPr>
          <w:rFonts w:ascii="Times New Roman" w:cs="Times New Roman" w:eastAsia="Times New Roman" w:hAnsi="Times New Roman"/>
          <w:sz w:val="18"/>
          <w:szCs w:val="18"/>
          <w:color w:val="auto"/>
        </w:rPr>
        <w:t>”) in accordance with the terms and conditions of the previously announced equity purchase agreement between Buyer, Company, Qualitas Funds, Qualitas Funds Holdco, S.L.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Sergio Garcia Huertas and Eric Todd Halverson.</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consideration paid to complete the Acquisition consisted of $42,250,000 in cash and a number of shares of Class A Common Stock, par value $0.001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of the Company equal in value to $20,750,000. Of this amount of Class A Common Stock, $16,750,000 was delivered on the Closing Date, with $4,000,000 remaining subject to a five-year holdback to cover certain indemnification obligations of the Seller during the holdback period. The number of shares of Class A Common Stock delivered or to be delivered was calculated based on the daily volume weighted averages of the Class A Common Stock for the 20 consecutive trading days ending on September 11, 2024 which was $10.03 per share. Based upon this share price calculation, the Company delivered 1,669,990 shares of Class A Common Stock to the Seller on the Closing Date, with up to an additional 398,804 shares of Class A Common Stock potentially due upon the lapse of the holdback period, as partial consideration for the Acquisition.</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Up to an additional €31,738,000 in consideration (an “</w:t>
      </w:r>
      <w:r>
        <w:rPr>
          <w:rFonts w:ascii="Times New Roman" w:cs="Times New Roman" w:eastAsia="Times New Roman" w:hAnsi="Times New Roman"/>
          <w:sz w:val="18"/>
          <w:szCs w:val="18"/>
          <w:b w:val="1"/>
          <w:bCs w:val="1"/>
          <w:color w:val="auto"/>
        </w:rPr>
        <w:t>Earn-Out Payment</w:t>
      </w:r>
      <w:r>
        <w:rPr>
          <w:rFonts w:ascii="Times New Roman" w:cs="Times New Roman" w:eastAsia="Times New Roman" w:hAnsi="Times New Roman"/>
          <w:sz w:val="18"/>
          <w:szCs w:val="18"/>
          <w:color w:val="auto"/>
        </w:rPr>
        <w:t>”) may be payable based on the run-rate net revenue as of December 31, 2027 from new funds for Qualitas Funds raised after closing. Any Earn-Out Payment will be paid in a mix of cash and Class A Common Stock at Seller’s election, with no more than 65% payable in cash.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2.01 of this Current Report on Form 8-K is incorporated by reference in response to this Item 3.02. All shares of Class A Common Stock delivered or to be delivered in connection with the Acquisition have been or will be placed pursuant to an exemption from registration under the Securities Act of 1933, as amended.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On April 4, 2025, the Company issued a press release announcing the closing of the Acquisition. A copy of the press release issued by the Company is furnished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Current Report on Form 8-K.</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information in this Item 7.01 of this Current Report on Form 8-K, including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459"/>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2480" w:type="dxa"/>
            <w:vAlign w:val="bottom"/>
          </w:tcPr>
          <w:p>
            <w:pPr>
              <w:spacing w:after="0"/>
              <w:rPr>
                <w:sz w:val="13"/>
                <w:szCs w:val="13"/>
                <w:color w:val="auto"/>
              </w:rPr>
            </w:pPr>
          </w:p>
        </w:tc>
        <w:tc>
          <w:tcPr>
            <w:tcW w:w="726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480" w:type="dxa"/>
            <w:vAlign w:val="bottom"/>
          </w:tcPr>
          <w:p>
            <w:pPr>
              <w:spacing w:after="0"/>
              <w:rPr>
                <w:sz w:val="16"/>
                <w:szCs w:val="16"/>
                <w:color w:val="auto"/>
              </w:rPr>
            </w:pPr>
          </w:p>
        </w:tc>
        <w:tc>
          <w:tcPr>
            <w:tcW w:w="7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1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99.1</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April 7, 2025</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File(formatted as inline XBRL)</w:t>
            </w:r>
          </w:p>
        </w:tc>
        <w:tc>
          <w:tcPr>
            <w:tcW w:w="0" w:type="dxa"/>
            <w:vAlign w:val="bottom"/>
          </w:tcPr>
          <w:p>
            <w:pPr>
              <w:spacing w:after="0"/>
              <w:rPr>
                <w:sz w:val="1"/>
                <w:szCs w:val="1"/>
                <w:color w:val="auto"/>
              </w:rPr>
            </w:pPr>
          </w:p>
        </w:tc>
      </w:tr>
      <w:tr>
        <w:trPr>
          <w:trHeight w:val="1924"/>
        </w:trPr>
        <w:tc>
          <w:tcPr>
            <w:tcW w:w="15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P10, Inc.</w:t>
      </w:r>
    </w:p>
    <w:p>
      <w:pPr>
        <w:spacing w:after="0" w:line="370"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April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19685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Amanda Coussens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414655</wp:posOffset>
            </wp:positionV>
            <wp:extent cx="1148715" cy="539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3975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534670</wp:posOffset>
            </wp:positionV>
            <wp:extent cx="1148715"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8608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left="300" w:right="60"/>
        <w:spacing w:after="0" w:line="235" w:lineRule="auto"/>
        <w:rPr>
          <w:sz w:val="20"/>
          <w:szCs w:val="20"/>
          <w:color w:val="auto"/>
        </w:rPr>
      </w:pPr>
      <w:r>
        <w:rPr>
          <w:rFonts w:ascii="Calibri" w:cs="Calibri" w:eastAsia="Calibri" w:hAnsi="Calibri"/>
          <w:sz w:val="22"/>
          <w:szCs w:val="22"/>
          <w:b w:val="1"/>
          <w:bCs w:val="1"/>
          <w:color w:val="2F2F45"/>
        </w:rPr>
        <w:t>P10 Completes Acquisiton of Qualitas Funds, a Leading European Lower-Middle Market Alternatve Investment Solutons Provider</w:t>
      </w:r>
    </w:p>
    <w:p>
      <w:pPr>
        <w:spacing w:after="0" w:line="284" w:lineRule="exact"/>
        <w:rPr>
          <w:sz w:val="20"/>
          <w:szCs w:val="20"/>
          <w:color w:val="auto"/>
        </w:rPr>
      </w:pPr>
    </w:p>
    <w:p>
      <w:pPr>
        <w:jc w:val="both"/>
        <w:ind w:left="300" w:right="20"/>
        <w:spacing w:after="0" w:line="238" w:lineRule="auto"/>
        <w:rPr>
          <w:sz w:val="20"/>
          <w:szCs w:val="20"/>
          <w:color w:val="auto"/>
        </w:rPr>
      </w:pPr>
      <w:r>
        <w:rPr>
          <w:rFonts w:ascii="Calibri" w:cs="Calibri" w:eastAsia="Calibri" w:hAnsi="Calibri"/>
          <w:sz w:val="22"/>
          <w:szCs w:val="22"/>
          <w:color w:val="2F2F45"/>
        </w:rPr>
        <w:t xml:space="preserve">DALLAS, April 7, 2025 (GLOBE NEWSWIRE) - </w:t>
      </w:r>
      <w:r>
        <w:rPr>
          <w:rFonts w:ascii="Calibri" w:cs="Calibri" w:eastAsia="Calibri" w:hAnsi="Calibri"/>
          <w:sz w:val="22"/>
          <w:szCs w:val="22"/>
          <w:color w:val="000000"/>
        </w:rPr>
        <w:t>P10, Inc.</w:t>
      </w:r>
      <w:r>
        <w:rPr>
          <w:rFonts w:ascii="Calibri" w:cs="Calibri" w:eastAsia="Calibri" w:hAnsi="Calibri"/>
          <w:sz w:val="22"/>
          <w:szCs w:val="22"/>
          <w:color w:val="2F2F45"/>
        </w:rPr>
        <w:t xml:space="preserve"> (NYSE: PX) (“P10” or the “Company”), a leading private markets solutons provider, today announced it has completed its previously announced acquisiton of Qualitas Equity Funds SGEIC, S.A. (“Qualitas Funds”) for an inital purchase price of $63 million, with the potental for additonal earnout consideraton.</w:t>
      </w:r>
    </w:p>
    <w:p>
      <w:pPr>
        <w:spacing w:after="0" w:line="285"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22"/>
          <w:szCs w:val="22"/>
          <w:color w:val="2F2F45"/>
        </w:rPr>
        <w:t>Qualitas Funds is a Madrid-based private equity investng platorm that provides fund-of-funds, direct co-investng and NAV fnancing opportunites in the European lower-middle market to more than 1,300 limited partners across the ultra-high-net-worth (UHNW), family ofce, and insttutonal channels. The frm has approximately $1 billion in fee-paying assets under management (FPAUM) and a strong expected growth trajectory. The frm was founded in 2015 by co-founders and co-managing partners, Eric Halverson and Sergio Garcia.</w:t>
      </w:r>
    </w:p>
    <w:p>
      <w:pPr>
        <w:spacing w:after="0" w:line="285"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22"/>
          <w:szCs w:val="22"/>
          <w:color w:val="2F2F45"/>
        </w:rPr>
        <w:t>"Today, P10 signifcantly expands our global presence through closing the acquisiton of Qualitas Funds,” said Luke Sarsfeld, P10 Chairman and Chief Executve Ofcer. “Eric, Sergio, and the entre Qualitas Funds team have established a strong track record of performance that is complementary to P10’s platorm, and we are excited to build upon this foundaton as we expand into Europe. I look forward to integratng our client-centric cultures, as we work together to unlock access-constrained investment opportunites in the middle and lower-middle markets for our global client base.”</w:t>
      </w:r>
    </w:p>
    <w:p>
      <w:pPr>
        <w:spacing w:after="0" w:line="285"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22"/>
          <w:szCs w:val="22"/>
          <w:color w:val="2F2F45"/>
        </w:rPr>
        <w:t>“Afer working alongside P10’s strategy leaders for over a decade, we are pleased to ofcially become a part of this best-in-class frm,” said Halverson and García. “We look forward to collaboratng with the P10 team and positvely contributng to the platorm’s internatonal expansion. P10’s deep private markets expertse will accelerate our progress as we seek to launch additonal strategies and vehicles that can provide our clients atractve exposure to the global middle and lower-middle markets.”</w:t>
      </w:r>
    </w:p>
    <w:p>
      <w:pPr>
        <w:spacing w:after="0" w:line="273" w:lineRule="exact"/>
        <w:rPr>
          <w:sz w:val="20"/>
          <w:szCs w:val="20"/>
          <w:color w:val="auto"/>
        </w:rPr>
      </w:pPr>
    </w:p>
    <w:p>
      <w:pPr>
        <w:ind w:left="300"/>
        <w:spacing w:after="0"/>
        <w:rPr>
          <w:sz w:val="20"/>
          <w:szCs w:val="20"/>
          <w:color w:val="auto"/>
        </w:rPr>
      </w:pPr>
      <w:r>
        <w:rPr>
          <w:rFonts w:ascii="Calibri" w:cs="Calibri" w:eastAsia="Calibri" w:hAnsi="Calibri"/>
          <w:sz w:val="22"/>
          <w:szCs w:val="22"/>
          <w:b w:val="1"/>
          <w:bCs w:val="1"/>
          <w:color w:val="2F2F45"/>
        </w:rPr>
        <w:t>About P10</w:t>
      </w:r>
    </w:p>
    <w:p>
      <w:pPr>
        <w:spacing w:after="0" w:line="14" w:lineRule="exact"/>
        <w:rPr>
          <w:sz w:val="20"/>
          <w:szCs w:val="20"/>
          <w:color w:val="auto"/>
        </w:rPr>
      </w:pPr>
    </w:p>
    <w:p>
      <w:pPr>
        <w:jc w:val="both"/>
        <w:ind w:left="300"/>
        <w:spacing w:after="0" w:line="253" w:lineRule="auto"/>
        <w:rPr>
          <w:sz w:val="20"/>
          <w:szCs w:val="20"/>
          <w:color w:val="auto"/>
        </w:rPr>
      </w:pPr>
      <w:r>
        <w:rPr>
          <w:rFonts w:ascii="Calibri" w:cs="Calibri" w:eastAsia="Calibri" w:hAnsi="Calibri"/>
          <w:sz w:val="21"/>
          <w:szCs w:val="21"/>
          <w:color w:val="302C45"/>
        </w:rPr>
        <w:t xml:space="preserve">P10 is a leading mult-asset class private markets solutons provider in the alternatve asset management industry. P10’s mission is to provide its investors diferentated access to a broad set of investment solutons that address their diverse investment needs within private markets. As of December 31, 2024, P10’s products have a global investor base of more than 3,800 investors across 50 states, 60 countries, and six contnents, which includes some of the world’s largest pension funds, endowments, foundatons, corporate pensions, and fnancial insttutons. Visit </w:t>
      </w:r>
      <w:r>
        <w:rPr>
          <w:rFonts w:ascii="Calibri" w:cs="Calibri" w:eastAsia="Calibri" w:hAnsi="Calibri"/>
          <w:sz w:val="21"/>
          <w:szCs w:val="21"/>
          <w:color w:val="000000"/>
        </w:rPr>
        <w:t>www.p10alts.com</w:t>
      </w:r>
      <w:r>
        <w:rPr>
          <w:rFonts w:ascii="Calibri" w:cs="Calibri" w:eastAsia="Calibri" w:hAnsi="Calibri"/>
          <w:sz w:val="21"/>
          <w:szCs w:val="21"/>
          <w:color w:val="302C45"/>
        </w:rPr>
        <w:t>.</w:t>
      </w:r>
    </w:p>
    <w:p>
      <w:pPr>
        <w:spacing w:after="0" w:line="256" w:lineRule="exact"/>
        <w:rPr>
          <w:sz w:val="20"/>
          <w:szCs w:val="20"/>
          <w:color w:val="auto"/>
        </w:rPr>
      </w:pPr>
    </w:p>
    <w:p>
      <w:pPr>
        <w:ind w:left="300"/>
        <w:spacing w:after="0"/>
        <w:rPr>
          <w:sz w:val="20"/>
          <w:szCs w:val="20"/>
          <w:color w:val="auto"/>
        </w:rPr>
      </w:pPr>
      <w:r>
        <w:rPr>
          <w:rFonts w:ascii="Calibri" w:cs="Calibri" w:eastAsia="Calibri" w:hAnsi="Calibri"/>
          <w:sz w:val="22"/>
          <w:szCs w:val="22"/>
          <w:b w:val="1"/>
          <w:bCs w:val="1"/>
          <w:color w:val="2F2F45"/>
        </w:rPr>
        <w:t>About Qualitas Funds</w:t>
      </w:r>
    </w:p>
    <w:p>
      <w:pPr>
        <w:spacing w:after="0" w:line="14" w:lineRule="exact"/>
        <w:rPr>
          <w:sz w:val="20"/>
          <w:szCs w:val="20"/>
          <w:color w:val="auto"/>
        </w:rPr>
      </w:pPr>
    </w:p>
    <w:p>
      <w:pPr>
        <w:jc w:val="both"/>
        <w:ind w:left="300"/>
        <w:spacing w:after="0" w:line="238" w:lineRule="auto"/>
        <w:rPr>
          <w:sz w:val="20"/>
          <w:szCs w:val="20"/>
          <w:color w:val="auto"/>
        </w:rPr>
      </w:pPr>
      <w:r>
        <w:rPr>
          <w:rFonts w:ascii="Calibri" w:cs="Calibri" w:eastAsia="Calibri" w:hAnsi="Calibri"/>
          <w:sz w:val="22"/>
          <w:szCs w:val="22"/>
          <w:color w:val="2F2F45"/>
        </w:rPr>
        <w:t xml:space="preserve">Qualitas Funds is a Madrid-based private markets investng platorm that provides fund-of-funds and direct co-investng opportunites in the lower-middle market to more than 1,300 limited partners across the UHNW, family ofce, and insttutonal channels. </w:t>
      </w:r>
      <w:r>
        <w:rPr>
          <w:rFonts w:ascii="Calibri" w:cs="Calibri" w:eastAsia="Calibri" w:hAnsi="Calibri"/>
          <w:sz w:val="22"/>
          <w:szCs w:val="22"/>
          <w:color w:val="302C45"/>
        </w:rPr>
        <w:t>As of December 31, 2024, t</w:t>
      </w:r>
      <w:r>
        <w:rPr>
          <w:rFonts w:ascii="Calibri" w:cs="Calibri" w:eastAsia="Calibri" w:hAnsi="Calibri"/>
          <w:sz w:val="22"/>
          <w:szCs w:val="22"/>
          <w:color w:val="2F2F45"/>
        </w:rPr>
        <w:t xml:space="preserve">he frm has approximately $1 billion in fee-paying assets under management. Visit </w:t>
      </w:r>
      <w:r>
        <w:rPr>
          <w:rFonts w:ascii="Calibri" w:cs="Calibri" w:eastAsia="Calibri" w:hAnsi="Calibri"/>
          <w:sz w:val="22"/>
          <w:szCs w:val="22"/>
          <w:color w:val="000000"/>
        </w:rPr>
        <w:t>www.qualitasfunds.com</w:t>
      </w:r>
      <w:r>
        <w:rPr>
          <w:rFonts w:ascii="Calibri" w:cs="Calibri" w:eastAsia="Calibri" w:hAnsi="Calibri"/>
          <w:sz w:val="22"/>
          <w:szCs w:val="22"/>
          <w:color w:val="2F2F4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1035050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00"/>
          </w:cols>
          <w:pgMar w:left="1440" w:top="1440" w:right="12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414655</wp:posOffset>
            </wp:positionV>
            <wp:extent cx="1148715" cy="539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39750"/>
                    </a:xfrm>
                    <a:prstGeom prst="rect">
                      <a:avLst/>
                    </a:prstGeom>
                    <a:noFill/>
                  </pic:spPr>
                </pic:pic>
              </a:graphicData>
            </a:graphic>
          </wp:anchor>
        </w:drawing>
        <w:drawing>
          <wp:anchor simplePos="0" relativeHeight="251657728" behindDoc="1" locked="0" layoutInCell="0" allowOverlap="1">
            <wp:simplePos x="0" y="0"/>
            <wp:positionH relativeFrom="page">
              <wp:posOffset>4674235</wp:posOffset>
            </wp:positionH>
            <wp:positionV relativeFrom="page">
              <wp:posOffset>303530</wp:posOffset>
            </wp:positionV>
            <wp:extent cx="1148715"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8608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00"/>
        <w:spacing w:after="0"/>
        <w:rPr>
          <w:sz w:val="20"/>
          <w:szCs w:val="20"/>
          <w:color w:val="auto"/>
        </w:rPr>
      </w:pPr>
      <w:r>
        <w:rPr>
          <w:rFonts w:ascii="Calibri" w:cs="Calibri" w:eastAsia="Calibri" w:hAnsi="Calibri"/>
          <w:sz w:val="22"/>
          <w:szCs w:val="22"/>
          <w:b w:val="1"/>
          <w:bCs w:val="1"/>
          <w:color w:val="2F2F45"/>
        </w:rPr>
        <w:t>P10 Investor Contact:</w:t>
      </w:r>
    </w:p>
    <w:p>
      <w:pPr>
        <w:spacing w:after="0" w:line="1" w:lineRule="exact"/>
        <w:rPr>
          <w:sz w:val="20"/>
          <w:szCs w:val="20"/>
          <w:color w:val="auto"/>
        </w:rPr>
      </w:pPr>
    </w:p>
    <w:p>
      <w:pPr>
        <w:ind w:left="300"/>
        <w:spacing w:after="0"/>
        <w:rPr>
          <w:sz w:val="20"/>
          <w:szCs w:val="20"/>
          <w:color w:val="auto"/>
        </w:rPr>
      </w:pPr>
      <w:r>
        <w:rPr>
          <w:rFonts w:ascii="Calibri" w:cs="Calibri" w:eastAsia="Calibri" w:hAnsi="Calibri"/>
          <w:sz w:val="22"/>
          <w:szCs w:val="22"/>
          <w:color w:val="0563C1"/>
        </w:rPr>
        <w:t>info@p10alts.com</w:t>
      </w:r>
    </w:p>
    <w:p>
      <w:pPr>
        <w:spacing w:after="0" w:line="271" w:lineRule="exact"/>
        <w:rPr>
          <w:sz w:val="20"/>
          <w:szCs w:val="20"/>
          <w:color w:val="auto"/>
        </w:rPr>
      </w:pPr>
    </w:p>
    <w:p>
      <w:pPr>
        <w:ind w:left="300"/>
        <w:spacing w:after="0"/>
        <w:rPr>
          <w:sz w:val="20"/>
          <w:szCs w:val="20"/>
          <w:color w:val="auto"/>
        </w:rPr>
      </w:pPr>
      <w:r>
        <w:rPr>
          <w:rFonts w:ascii="Calibri" w:cs="Calibri" w:eastAsia="Calibri" w:hAnsi="Calibri"/>
          <w:sz w:val="22"/>
          <w:szCs w:val="22"/>
          <w:b w:val="1"/>
          <w:bCs w:val="1"/>
          <w:color w:val="2F2F45"/>
        </w:rPr>
        <w:t>P10 Media Contact:</w:t>
      </w:r>
    </w:p>
    <w:p>
      <w:pPr>
        <w:spacing w:after="0" w:line="1" w:lineRule="exact"/>
        <w:rPr>
          <w:sz w:val="20"/>
          <w:szCs w:val="20"/>
          <w:color w:val="auto"/>
        </w:rPr>
      </w:pPr>
    </w:p>
    <w:p>
      <w:pPr>
        <w:ind w:left="300"/>
        <w:spacing w:after="0"/>
        <w:rPr>
          <w:sz w:val="20"/>
          <w:szCs w:val="20"/>
          <w:color w:val="auto"/>
        </w:rPr>
      </w:pPr>
      <w:r>
        <w:rPr>
          <w:rFonts w:ascii="Calibri" w:cs="Calibri" w:eastAsia="Calibri" w:hAnsi="Calibri"/>
          <w:sz w:val="22"/>
          <w:szCs w:val="22"/>
          <w:color w:val="2F2F45"/>
        </w:rPr>
        <w:t>Josh Clarkson</w:t>
      </w:r>
    </w:p>
    <w:p>
      <w:pPr>
        <w:spacing w:after="0" w:line="1" w:lineRule="exact"/>
        <w:rPr>
          <w:sz w:val="20"/>
          <w:szCs w:val="20"/>
          <w:color w:val="auto"/>
        </w:rPr>
      </w:pPr>
    </w:p>
    <w:p>
      <w:pPr>
        <w:ind w:left="300"/>
        <w:spacing w:after="0"/>
        <w:rPr>
          <w:sz w:val="20"/>
          <w:szCs w:val="20"/>
          <w:color w:val="auto"/>
        </w:rPr>
      </w:pPr>
      <w:r>
        <w:rPr>
          <w:rFonts w:ascii="Calibri" w:cs="Calibri" w:eastAsia="Calibri" w:hAnsi="Calibri"/>
          <w:sz w:val="22"/>
          <w:szCs w:val="22"/>
          <w:color w:val="2F2F45"/>
        </w:rPr>
        <w:t>Taylor Donahue</w:t>
      </w:r>
    </w:p>
    <w:p>
      <w:pPr>
        <w:spacing w:after="0" w:line="22" w:lineRule="exact"/>
        <w:rPr>
          <w:sz w:val="20"/>
          <w:szCs w:val="20"/>
          <w:color w:val="auto"/>
        </w:rPr>
      </w:pPr>
    </w:p>
    <w:p>
      <w:pPr>
        <w:ind w:left="300"/>
        <w:spacing w:after="0"/>
        <w:rPr>
          <w:sz w:val="20"/>
          <w:szCs w:val="20"/>
          <w:color w:val="auto"/>
        </w:rPr>
      </w:pPr>
      <w:r>
        <w:rPr>
          <w:rFonts w:ascii="Verdana" w:cs="Verdana" w:eastAsia="Verdana" w:hAnsi="Verdana"/>
          <w:sz w:val="18"/>
          <w:szCs w:val="18"/>
          <w:color w:val="0563C1"/>
        </w:rPr>
        <w:t>jclarkson@prosek.com</w:t>
      </w:r>
    </w:p>
    <w:p>
      <w:pPr>
        <w:spacing w:after="0" w:line="247" w:lineRule="exact"/>
        <w:rPr>
          <w:sz w:val="20"/>
          <w:szCs w:val="20"/>
          <w:color w:val="auto"/>
        </w:rPr>
      </w:pPr>
    </w:p>
    <w:p>
      <w:pPr>
        <w:ind w:left="300"/>
        <w:spacing w:after="0"/>
        <w:rPr>
          <w:sz w:val="20"/>
          <w:szCs w:val="20"/>
          <w:color w:val="auto"/>
        </w:rPr>
      </w:pPr>
      <w:r>
        <w:rPr>
          <w:rFonts w:ascii="Calibri" w:cs="Calibri" w:eastAsia="Calibri" w:hAnsi="Calibri"/>
          <w:sz w:val="22"/>
          <w:szCs w:val="22"/>
          <w:b w:val="1"/>
          <w:bCs w:val="1"/>
          <w:color w:val="2F2F45"/>
        </w:rPr>
        <w:t>Forward-Looking Statements</w:t>
      </w:r>
    </w:p>
    <w:p>
      <w:pPr>
        <w:spacing w:after="0" w:line="12" w:lineRule="exact"/>
        <w:rPr>
          <w:sz w:val="20"/>
          <w:szCs w:val="20"/>
          <w:color w:val="auto"/>
        </w:rPr>
      </w:pPr>
    </w:p>
    <w:p>
      <w:pPr>
        <w:jc w:val="both"/>
        <w:ind w:left="300"/>
        <w:spacing w:after="0" w:line="252" w:lineRule="auto"/>
        <w:rPr>
          <w:sz w:val="20"/>
          <w:szCs w:val="20"/>
          <w:color w:val="auto"/>
        </w:rPr>
      </w:pPr>
      <w:r>
        <w:rPr>
          <w:rFonts w:ascii="Calibri" w:cs="Calibri" w:eastAsia="Calibri" w:hAnsi="Calibri"/>
          <w:sz w:val="21"/>
          <w:szCs w:val="21"/>
          <w:color w:val="2F2F45"/>
        </w:rPr>
        <w:t>Some of the statements in this release may consttute “forward-looking statements” within the meaning of Secton 27A of the Securites Act of 1933, Secton 21E of the Securites Exchange Act of 1934 and the Private Securites Litgaton Reform Act of 1995. Words such as “will,” “expect,” “believe,” “estmate,” “contnue,” “antcipate,” “intend,” “plan” and similar expressions are intended to identfy these forward-looking statements. Forward-looking statements discuss management’s current expectatons and projectons relatng to our fnancial positon, results of operatons, plans, objectves, future performance, and business. The inclusion of any forward-looking informaton in this release should not be regarded as a representaton that the future plans, estmates, or expectatons contemplated will be achieved. Forward-looking statements refect management’s current plans, estmates, and expectatons, and are inherently uncertain. All forward-looking statements are subject to known and unknown risks, uncertaintes, assumptons and other important factors that may cause actual results to be materially diferent; global and domestc market and business conditons; successful executon of business and growth strategies and regulatory factors relevant to our business; changes in our tax status; our ability to maintain our fee structure; our ability to atract and retain key employees; our ability to manage our obligatons under our debt agreements; our ability to make acquisitons and successfully integrate the businesses we acquire; assumptons relatng to our operatons, fnancial results, fnancial conditon, business prospects and growth strategy; and our ability to manage the efects of events outside of our control. The foregoing list of factors is not exhaustve. For more informaton regarding these risks and uncertaintes as well as additonal risks that we face, you should refer to the “Risk Factors” included in our annual report on Form 10-K for the year ended December 31, 2024, fled with the U.S. Securites and Exchange Commission (“SEC”) on February 28, 2025, and in our subsequent reports fled from tme to tme with the SEC. The forward-looking statements included in this release are made only as of the date hereof. We undertake no obligaton to update or revise any forward-looking statement as a result of new informaton or future events, except as otherwise required by law.</w:t>
      </w: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Calibri" w:cs="Calibri" w:eastAsia="Calibri" w:hAnsi="Calibri"/>
          <w:sz w:val="22"/>
          <w:szCs w:val="22"/>
          <w:b w:val="1"/>
          <w:bCs w:val="1"/>
          <w:color w:val="2F2F45"/>
        </w:rPr>
        <w:t>Key Financial &amp; Operatng Metrics</w:t>
      </w:r>
    </w:p>
    <w:p>
      <w:pPr>
        <w:spacing w:after="0" w:line="12" w:lineRule="exact"/>
        <w:rPr>
          <w:sz w:val="20"/>
          <w:szCs w:val="20"/>
          <w:color w:val="auto"/>
        </w:rPr>
      </w:pPr>
    </w:p>
    <w:p>
      <w:pPr>
        <w:jc w:val="both"/>
        <w:ind w:left="300" w:right="20"/>
        <w:spacing w:after="0" w:line="238" w:lineRule="auto"/>
        <w:rPr>
          <w:sz w:val="20"/>
          <w:szCs w:val="20"/>
          <w:color w:val="auto"/>
        </w:rPr>
      </w:pPr>
      <w:r>
        <w:rPr>
          <w:rFonts w:ascii="Calibri" w:cs="Calibri" w:eastAsia="Calibri" w:hAnsi="Calibri"/>
          <w:sz w:val="22"/>
          <w:szCs w:val="22"/>
          <w:color w:val="2F2F45"/>
        </w:rPr>
        <w:t>Fee-paying assets under management refects the assets from which we earn management and advisory fees. Our vehicles typically earn management and advisory fees based on commited capital, and in certain cases, net invested capital, depending on the fee terms. Management and advisory fees based on commited capital are not afected by market appreciaton or depreciaton.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1035050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00"/>
          </w:cols>
          <w:pgMar w:left="1440" w:top="1440" w:right="12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2025-04-07T06:46:55Z</dcterms:created>
  <dcterms:modified xsi:type="dcterms:W3CDTF">2025-04-07T06:46:55Z</dcterms:modified>
</cp:coreProperties>
</file>