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354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October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October 23, 2009, Active Power, Inc. issued a press release reporting its preliminary results of operations for its fiscal quarter ended September 30, 2009. A copy of the press release is furnished herewith as Exhibit 99.1.</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8" w:lineRule="exact"/>
        <w:rPr>
          <w:sz w:val="20"/>
          <w:szCs w:val="20"/>
          <w:color w:val="auto"/>
        </w:rPr>
      </w:pPr>
    </w:p>
    <w:p>
      <w:pPr>
        <w:ind w:left="58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October 23, 2009.</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480" w:val="left"/>
          <w:tab w:leader="none" w:pos="7880" w:val="left"/>
          <w:tab w:leader="none" w:pos="8240" w:val="left"/>
        </w:tabs>
        <w:rPr>
          <w:sz w:val="20"/>
          <w:szCs w:val="20"/>
          <w:color w:val="auto"/>
        </w:rPr>
      </w:pPr>
      <w:r>
        <w:rPr>
          <w:rFonts w:ascii="Arial" w:cs="Arial" w:eastAsia="Arial" w:hAnsi="Arial"/>
          <w:sz w:val="18"/>
          <w:szCs w:val="18"/>
          <w:color w:val="auto"/>
        </w:rPr>
        <w:t>Date: October 23,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John Penver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18"/>
                <w:szCs w:val="18"/>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Active Power, Inc. dated October 23, 2009.</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5796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Active Power Reports Third Quarter 2009 Results</w:t>
      </w:r>
    </w:p>
    <w:p>
      <w:pPr>
        <w:spacing w:after="0" w:line="160"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Revenues Increase 29% Over Previous Quarter Driven</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b w:val="1"/>
          <w:bCs w:val="1"/>
          <w:i w:val="1"/>
          <w:iCs w:val="1"/>
          <w:color w:val="auto"/>
        </w:rPr>
        <w:t>by Sales of PowerHouse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(Oct. 23, 2009) </w:t>
      </w:r>
      <w:r>
        <w:rPr>
          <w:rFonts w:ascii="Arial" w:cs="Arial" w:eastAsia="Arial" w:hAnsi="Arial"/>
          <w:sz w:val="18"/>
          <w:szCs w:val="18"/>
          <w:color w:val="auto"/>
        </w:rPr>
        <w:t>– Active Power, Inc. (NASDAQ: ACPW) announced results for its third quarter ended Sept. 30, 2009.</w:t>
      </w:r>
    </w:p>
    <w:p>
      <w:pPr>
        <w:spacing w:after="0" w:line="18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Revenue for the quarter increased 29% to $8.5 million from $6.6 million in the previous quarter and decreased 31% from $12.4 million in the same period last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For the nine-month period ended Sept. 30, 2009, revenue decreased 2% to $26.3 million from the same period in 2008.</w:t>
      </w:r>
    </w:p>
    <w:p>
      <w:pPr>
        <w:spacing w:after="0" w:line="15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quarter, net loss was $3.0 million, or $0.04 per share compared to a net loss of $3.5 million or $0.06 per share in the previous quarter and a net loss of $4.1 million, or $0.07 per share in the same period a year ago.</w:t>
      </w:r>
    </w:p>
    <w:p>
      <w:pPr>
        <w:spacing w:after="0" w:line="155"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gross profit margin in the third quarter of 2009 was 22%, which was unchanged from the previous quarter. This compares to a gross profit margin of 9% in the third quarter of 2008.</w:t>
      </w:r>
    </w:p>
    <w:p>
      <w:pPr>
        <w:spacing w:after="0" w:line="15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Cash and investments totaled $8.0 million at Sept. 30, 2009, compared to $11.7 million at June 30, 2009. The decrease of $3.7 million during the quarter includes $1.4 million of increased inventory levels.</w:t>
      </w:r>
    </w:p>
    <w:p>
      <w:pPr>
        <w:spacing w:after="0" w:line="1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cautiously optimistic about the improvement in revenue we experienced this quarter,” said Jim Clishem, president and CEO, Active Power. “We are beginning to see customers execute on their infrastructure plans, which is a positive sign for Active Power. In fact, we recorded more than $15 million in bookings since July 2009 including additional orders for PowerHouse. Efforts to broaden our sales channels and propagate messaging around our key product differentiators – energy efficiency, reliability and green – position Active Power as an attractive and compelling alternative to conventional technologies.”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Highlights for Third Quarter 2009</w:t>
      </w:r>
    </w:p>
    <w:p>
      <w:pPr>
        <w:spacing w:after="0" w:line="99"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total revenues by 29% over second quarter of 2009 while maintaining gross margins at 22%</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from direct channels increased 87% compared to the second quarter of 2009, primarily driven by growth in Europe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multiple orders in excess of $5 million for PowerHouse product sales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PowerHouse revenues represented approximately 22% of revenue for the third quarter</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service revenue by 12% compared to the second quarter of 2009, providing both increasing margin contribution and valuable annuity revenue, a benefit of direct sales initiatives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and shipped orders for 56 flywheels to 21 countries, resulting in domestic revenues of 40% versus 60% international</w:t>
      </w:r>
    </w:p>
    <w:p>
      <w:pPr>
        <w:spacing w:after="0" w:line="76" w:lineRule="exact"/>
        <w:rPr>
          <w:rFonts w:ascii="Arial" w:cs="Arial" w:eastAsia="Arial" w:hAnsi="Arial"/>
          <w:sz w:val="18"/>
          <w:szCs w:val="18"/>
          <w:color w:val="auto"/>
        </w:rPr>
      </w:pPr>
    </w:p>
    <w:p>
      <w:pPr>
        <w:ind w:left="900" w:right="28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quarterly net loss by 28% to $3.0 million from $4.1 million loss in third quarter of 2008 and by 15% from $3.5 million loss in second quarter of 2009</w:t>
      </w:r>
    </w:p>
    <w:p>
      <w:pPr>
        <w:spacing w:after="0" w:line="73" w:lineRule="exact"/>
        <w:rPr>
          <w:rFonts w:ascii="Arial" w:cs="Arial" w:eastAsia="Arial" w:hAnsi="Arial"/>
          <w:sz w:val="18"/>
          <w:szCs w:val="18"/>
          <w:color w:val="auto"/>
        </w:rPr>
      </w:pPr>
    </w:p>
    <w:p>
      <w:pPr>
        <w:ind w:left="900" w:right="200" w:hanging="325"/>
        <w:spacing w:after="0" w:line="23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Secured product listing on The Carbon Trust Energy Technology List which is managed by UK government, providing 100% first year capital allowance on customer’s UPS (uninterruptible power supply) investment against taxable profits – only UPS product currently listed</w:t>
      </w:r>
    </w:p>
    <w:p>
      <w:pPr>
        <w:spacing w:after="0" w:line="72" w:lineRule="exact"/>
        <w:rPr>
          <w:rFonts w:ascii="Arial" w:cs="Arial" w:eastAsia="Arial" w:hAnsi="Arial"/>
          <w:sz w:val="18"/>
          <w:szCs w:val="18"/>
          <w:color w:val="auto"/>
        </w:rPr>
      </w:pPr>
    </w:p>
    <w:p>
      <w:pPr>
        <w:ind w:left="900" w:right="340" w:hanging="325"/>
        <w:spacing w:after="0" w:line="23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Published whitepaper comparing energy efficiency differences among the most common UPS topologies in both the lab setting and actual field tests. Analysis concludes flywheel based UPS technology achieves higher efficiencies as compared to conventional systems across all load factors.</w:t>
      </w:r>
    </w:p>
    <w:p>
      <w:pPr>
        <w:spacing w:after="0" w:line="72" w:lineRule="exact"/>
        <w:rPr>
          <w:rFonts w:ascii="Arial" w:cs="Arial" w:eastAsia="Arial" w:hAnsi="Arial"/>
          <w:sz w:val="18"/>
          <w:szCs w:val="18"/>
          <w:color w:val="auto"/>
        </w:rPr>
      </w:pPr>
    </w:p>
    <w:p>
      <w:pPr>
        <w:ind w:left="900" w:right="920" w:hanging="325"/>
        <w:spacing w:after="0" w:line="23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Secured repeat order from Data Cave, Inc., a U.S. collocation datacenter facility for additional flywheel modules, with a total deployment of 2.4 megawatts of </w:t>
      </w:r>
      <w:r>
        <w:rPr>
          <w:rFonts w:ascii="Arial" w:cs="Arial" w:eastAsia="Arial" w:hAnsi="Arial"/>
          <w:sz w:val="18"/>
          <w:szCs w:val="18"/>
          <w:u w:val="single" w:color="auto"/>
          <w:color w:val="auto"/>
        </w:rPr>
        <w:t>CleanSource UPS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Active Power expects fourth quarter 2009 revenues to range between $12 million and $15 million and fiscal 2009 revenues to be between $38 million and $41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9"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 xml:space="preserve">Active Power will host a conference call today, Friday, Oct. 23, 2009, at 11:00 a.m. (ET), to further review third quarter 2009 results. Interested parties can listen via Web cast by clicking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 replay of the Web cast will be available until Nov. 6, 2009. Investors may access the live broadcast and replay via Active Power’s Web site at </w:t>
      </w:r>
      <w:r>
        <w:rPr>
          <w:rFonts w:ascii="Arial" w:cs="Arial" w:eastAsia="Arial" w:hAnsi="Arial"/>
          <w:sz w:val="18"/>
          <w:szCs w:val="18"/>
          <w:u w:val="single" w:color="auto"/>
          <w:color w:val="auto"/>
        </w:rPr>
        <w:t>www.activepower.com</w:t>
      </w:r>
      <w:r>
        <w:rPr>
          <w:rFonts w:ascii="Arial" w:cs="Arial" w:eastAsia="Arial" w:hAnsi="Arial"/>
          <w:sz w:val="18"/>
          <w:szCs w:val="18"/>
          <w:color w:val="auto"/>
        </w:rPr>
        <w:t>.</w:t>
      </w:r>
    </w:p>
    <w:p>
      <w:pPr>
        <w:sectPr>
          <w:pgSz w:w="11900" w:h="16838" w:orient="portrait"/>
          <w:cols w:equalWidth="0" w:num="1">
            <w:col w:w="11400"/>
          </w:cols>
          <w:pgMar w:left="240" w:top="269"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Active Power</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This release may contain forward-looking statements that involve risks and uncertainties, including statements relating to Active Power’s current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expectations of operating results for the third quarter of 2009, its future operating results and customers current intentions. Any forward-looking</w:t>
      </w:r>
    </w:p>
    <w:p>
      <w:pPr>
        <w:spacing w:after="0" w:line="234" w:lineRule="auto"/>
        <w:rPr>
          <w:sz w:val="20"/>
          <w:szCs w:val="20"/>
          <w:color w:val="auto"/>
        </w:rPr>
      </w:pPr>
      <w:r>
        <w:rPr>
          <w:rFonts w:ascii="Arial" w:cs="Arial" w:eastAsia="Arial" w:hAnsi="Arial"/>
          <w:sz w:val="18"/>
          <w:szCs w:val="18"/>
          <w:color w:val="auto"/>
        </w:rPr>
        <w:t>statements and all other statements that may be made in this news release that are not historical facts are subject to a number of risks and</w:t>
      </w:r>
    </w:p>
    <w:p>
      <w:pPr>
        <w:spacing w:after="0" w:line="235" w:lineRule="auto"/>
        <w:rPr>
          <w:sz w:val="20"/>
          <w:szCs w:val="20"/>
          <w:color w:val="auto"/>
        </w:rPr>
      </w:pPr>
      <w:r>
        <w:rPr>
          <w:rFonts w:ascii="Arial" w:cs="Arial" w:eastAsia="Arial" w:hAnsi="Arial"/>
          <w:sz w:val="18"/>
          <w:szCs w:val="18"/>
          <w:color w:val="auto"/>
        </w:rPr>
        <w:t>uncertainties, and actual results may differ materially. Factors that could cause the actual results to differ materially from the results predicted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include, among others, the completion of the accounting close and review of the third quarter financial results and the completion of an audit of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fiscal year 2009 financial results. Specific risks and uncertainties include the deferral or cancellation of sales commitments as a result of general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economic conditions or uncertainty, risks related to our international operations, and product performance and quality issues. Please refer to Active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Power filings with the Securities and Exchange Commission, including its annual report on Form 10-K for the most recent year ended</w:t>
      </w:r>
    </w:p>
    <w:p>
      <w:pPr>
        <w:spacing w:after="0"/>
        <w:rPr>
          <w:sz w:val="20"/>
          <w:szCs w:val="20"/>
          <w:color w:val="auto"/>
        </w:rPr>
      </w:pPr>
      <w:r>
        <w:rPr>
          <w:rFonts w:ascii="Arial" w:cs="Arial" w:eastAsia="Arial" w:hAnsi="Arial"/>
          <w:sz w:val="16"/>
          <w:szCs w:val="16"/>
          <w:color w:val="auto"/>
        </w:rPr>
        <w:t>December 31 and its Quarterly Reports on Form 10-Q and Current Reports on Form 8-K filed since such year ended, for more information on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risk factors that could cause actual results to differ. Active Power assumes no obligation to update any forward- looking statements or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which are in effect as of their respective dates.</w:t>
      </w:r>
    </w:p>
    <w:p>
      <w:pPr>
        <w:spacing w:after="0" w:line="15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Active Power, CleanSource and CoolAir are registered trademarks of Active Power, Inc. The Active Power logo, PowerHouse and PowerCentre are trademarks of Active Power, Inc. All other trademarks are the properties of their respective companies.</w:t>
      </w:r>
    </w:p>
    <w:p>
      <w:pPr>
        <w:sectPr>
          <w:pgSz w:w="11900" w:h="16838" w:orient="portrait"/>
          <w:cols w:equalWidth="0" w:num="1">
            <w:col w:w="11380"/>
          </w:cols>
          <w:pgMar w:left="240" w:top="269" w:right="27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512-744-9234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234" w:lineRule="auto"/>
        <w:rPr>
          <w:sz w:val="20"/>
          <w:szCs w:val="20"/>
          <w:color w:val="auto"/>
        </w:rPr>
      </w:pPr>
      <w:r>
        <w:rPr>
          <w:rFonts w:ascii="Arial" w:cs="Arial" w:eastAsia="Arial" w:hAnsi="Arial"/>
          <w:sz w:val="18"/>
          <w:szCs w:val="18"/>
          <w:color w:val="auto"/>
        </w:rPr>
        <w:t>Public Relations Manager</w:t>
      </w:r>
    </w:p>
    <w:p>
      <w:pPr>
        <w:spacing w:after="0" w:line="235" w:lineRule="auto"/>
        <w:rPr>
          <w:sz w:val="20"/>
          <w:szCs w:val="20"/>
          <w:color w:val="auto"/>
        </w:rPr>
      </w:pPr>
      <w:r>
        <w:rPr>
          <w:rFonts w:ascii="Arial" w:cs="Arial" w:eastAsia="Arial" w:hAnsi="Arial"/>
          <w:sz w:val="18"/>
          <w:szCs w:val="18"/>
          <w:color w:val="auto"/>
        </w:rPr>
        <w:t>512-744-9488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pacing w:after="0" w:line="158" w:lineRule="exact"/>
        <w:rPr>
          <w:sz w:val="20"/>
          <w:szCs w:val="20"/>
          <w:color w:val="auto"/>
        </w:rPr>
      </w:pPr>
    </w:p>
    <w:p>
      <w:pPr>
        <w:sectPr>
          <w:pgSz w:w="11900" w:h="16838" w:orient="portrait"/>
          <w:cols w:equalWidth="0" w:num="2">
            <w:col w:w="5100" w:space="720"/>
            <w:col w:w="5560"/>
          </w:cols>
          <w:pgMar w:left="240" w:top="26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80"/>
          </w:cols>
          <w:pgMar w:left="240" w:top="269" w:right="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Sept. 30</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8,033</w:t>
            </w: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Short-term investments in marketable securities</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8,567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Prepaid expenses and other</w:t>
            </w:r>
          </w:p>
        </w:tc>
        <w:tc>
          <w:tcPr>
            <w:tcW w:w="2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24,072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27,780</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3,164</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Deposits and other</w:t>
            </w:r>
          </w:p>
        </w:tc>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assets</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27,652</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4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3,239</w:t>
            </w:r>
          </w:p>
        </w:tc>
        <w:tc>
          <w:tcPr>
            <w:tcW w:w="360" w:type="dxa"/>
            <w:vAlign w:val="bottom"/>
          </w:tcPr>
          <w:p>
            <w:pPr>
              <w:spacing w:after="0"/>
              <w:rPr>
                <w:sz w:val="17"/>
                <w:szCs w:val="17"/>
                <w:color w:val="auto"/>
              </w:rPr>
            </w:pPr>
          </w:p>
        </w:tc>
        <w:tc>
          <w:tcPr>
            <w:tcW w:w="40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4,488</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Deferred revenue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1,409</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Revolving line of credit</w:t>
            </w:r>
          </w:p>
        </w:tc>
        <w:tc>
          <w:tcPr>
            <w:tcW w:w="23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2,060</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11,196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11,329</w:t>
            </w:r>
          </w:p>
        </w:tc>
        <w:tc>
          <w:tcPr>
            <w:tcW w:w="0" w:type="dxa"/>
            <w:vAlign w:val="bottom"/>
          </w:tcPr>
          <w:p>
            <w:pPr>
              <w:spacing w:after="0"/>
              <w:rPr>
                <w:sz w:val="1"/>
                <w:szCs w:val="1"/>
                <w:color w:val="auto"/>
              </w:rPr>
            </w:pPr>
          </w:p>
        </w:tc>
      </w:tr>
      <w:tr>
        <w:trPr>
          <w:trHeight w:val="97"/>
        </w:trPr>
        <w:tc>
          <w:tcPr>
            <w:tcW w:w="66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Common stock</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Treasury stock</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Additional paid-in capital</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264,323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tcPr>
          <w:p>
            <w:pPr>
              <w:ind w:left="440"/>
              <w:spacing w:after="0" w:line="202" w:lineRule="exact"/>
              <w:rPr>
                <w:sz w:val="20"/>
                <w:szCs w:val="20"/>
                <w:color w:val="auto"/>
              </w:rPr>
            </w:pPr>
            <w:r>
              <w:rPr>
                <w:rFonts w:ascii="Arial" w:cs="Arial" w:eastAsia="Arial" w:hAnsi="Arial"/>
                <w:sz w:val="18"/>
                <w:szCs w:val="18"/>
                <w:color w:val="auto"/>
              </w:rPr>
              <w:t>Accumulated deficit</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5"/>
              </w:rPr>
              <w:t>(247,636)</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(238,843)</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accumulated comprehensive income (loss)</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15,889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20,821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2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27,652</w:t>
            </w:r>
          </w:p>
        </w:tc>
        <w:tc>
          <w:tcPr>
            <w:tcW w:w="4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32,671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Nine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540"/>
              <w:spacing w:after="0" w:line="149" w:lineRule="exact"/>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Months Ended</w:t>
            </w:r>
          </w:p>
        </w:tc>
      </w:tr>
      <w:tr>
        <w:trPr>
          <w:trHeight w:val="165"/>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 30,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7"/>
              </w:rPr>
              <w:t>Sept. 30,</w:t>
            </w:r>
          </w:p>
        </w:tc>
      </w:tr>
      <w:tr>
        <w:trPr>
          <w:trHeight w:val="142"/>
        </w:trPr>
        <w:tc>
          <w:tcPr>
            <w:tcW w:w="7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02"/>
        </w:trPr>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6,947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4"/>
              </w:rPr>
              <w:t>10,193</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4"/>
              </w:rPr>
              <w:t>21,863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22,033</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Service and spares revenue</w:t>
            </w:r>
          </w:p>
        </w:tc>
        <w:tc>
          <w:tcPr>
            <w:tcW w:w="10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1,587</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4,444</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4,741</w:t>
            </w:r>
          </w:p>
        </w:tc>
        <w:tc>
          <w:tcPr>
            <w:tcW w:w="100" w:type="dxa"/>
            <w:vAlign w:val="bottom"/>
          </w:tcPr>
          <w:p>
            <w:pPr>
              <w:spacing w:after="0"/>
              <w:rPr>
                <w:sz w:val="17"/>
                <w:szCs w:val="17"/>
                <w:color w:val="auto"/>
              </w:rPr>
            </w:pP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72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8,534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4"/>
              </w:rPr>
              <w:t>12,448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w w:val="94"/>
              </w:rPr>
              <w:t>26,307</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26,774</w:t>
            </w:r>
          </w:p>
        </w:tc>
      </w:tr>
      <w:tr>
        <w:trPr>
          <w:trHeight w:val="311"/>
        </w:trPr>
        <w:tc>
          <w:tcPr>
            <w:tcW w:w="772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16,874</w:t>
            </w: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19,937</w:t>
            </w:r>
          </w:p>
        </w:tc>
      </w:tr>
      <w:tr>
        <w:trPr>
          <w:trHeight w:val="203"/>
        </w:trPr>
        <w:tc>
          <w:tcPr>
            <w:tcW w:w="7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 of service and spares revenue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7720" w:type="dxa"/>
            <w:vAlign w:val="bottom"/>
          </w:tcPr>
          <w:p>
            <w:pPr>
              <w:ind w:left="88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11,325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19,688</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23,926</w:t>
            </w:r>
          </w:p>
        </w:tc>
      </w:tr>
      <w:tr>
        <w:trPr>
          <w:trHeight w:val="97"/>
        </w:trPr>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6,619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17"/>
                <w:szCs w:val="17"/>
                <w:color w:val="auto"/>
              </w:rPr>
            </w:pPr>
          </w:p>
        </w:tc>
      </w:tr>
      <w:tr>
        <w:trPr>
          <w:trHeight w:val="311"/>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7"/>
                <w:szCs w:val="17"/>
                <w:color w:val="auto"/>
              </w:rPr>
            </w:pPr>
          </w:p>
        </w:tc>
      </w:tr>
      <w:tr>
        <w:trPr>
          <w:trHeight w:val="203"/>
        </w:trPr>
        <w:tc>
          <w:tcPr>
            <w:tcW w:w="7720" w:type="dxa"/>
            <w:vAlign w:val="bottom"/>
          </w:tcPr>
          <w:p>
            <w:pPr>
              <w:ind w:left="440"/>
              <w:spacing w:after="0" w:line="202" w:lineRule="exact"/>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7"/>
                <w:szCs w:val="17"/>
                <w:color w:val="auto"/>
              </w:rPr>
            </w:pPr>
          </w:p>
        </w:tc>
        <w:tc>
          <w:tcPr>
            <w:tcW w:w="8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2,572</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2,795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8,562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8,800</w:t>
            </w:r>
          </w:p>
        </w:tc>
        <w:tc>
          <w:tcPr>
            <w:tcW w:w="100" w:type="dxa"/>
            <w:vAlign w:val="bottom"/>
          </w:tcPr>
          <w:p>
            <w:pPr>
              <w:spacing w:after="0"/>
              <w:rPr>
                <w:sz w:val="17"/>
                <w:szCs w:val="17"/>
                <w:color w:val="auto"/>
              </w:rPr>
            </w:pPr>
          </w:p>
        </w:tc>
      </w:tr>
      <w:tr>
        <w:trPr>
          <w:trHeight w:val="203"/>
        </w:trPr>
        <w:tc>
          <w:tcPr>
            <w:tcW w:w="7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3,685</w:t>
            </w:r>
          </w:p>
        </w:tc>
        <w:tc>
          <w:tcPr>
            <w:tcW w:w="100" w:type="dxa"/>
            <w:vAlign w:val="bottom"/>
            <w:shd w:val="clear" w:color="auto" w:fill="CCEEFF"/>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15,333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16,388</w:t>
            </w: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(2,986)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(8,714)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(13,540)</w:t>
            </w:r>
          </w:p>
        </w:tc>
      </w:tr>
      <w:tr>
        <w:trPr>
          <w:trHeight w:val="311"/>
        </w:trPr>
        <w:tc>
          <w:tcPr>
            <w:tcW w:w="772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(8,793)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(13,011)</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(0.22)</w:t>
            </w:r>
          </w:p>
        </w:tc>
      </w:tr>
      <w:tr>
        <w:trPr>
          <w:trHeight w:val="214"/>
        </w:trPr>
        <w:tc>
          <w:tcPr>
            <w:tcW w:w="77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66,316</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60,124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52"/>
              <w:spacing w:after="0"/>
              <w:rPr>
                <w:sz w:val="20"/>
                <w:szCs w:val="20"/>
                <w:color w:val="auto"/>
              </w:rPr>
            </w:pPr>
            <w:r>
              <w:rPr>
                <w:rFonts w:ascii="Arial" w:cs="Arial" w:eastAsia="Arial" w:hAnsi="Arial"/>
                <w:sz w:val="18"/>
                <w:szCs w:val="18"/>
                <w:color w:val="auto"/>
                <w:w w:val="94"/>
              </w:rPr>
              <w:t>63,020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60,124</w:t>
            </w:r>
          </w:p>
        </w:tc>
      </w:tr>
      <w:tr>
        <w:trPr>
          <w:trHeight w:val="97"/>
        </w:trPr>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720" w:type="dxa"/>
            <w:vAlign w:val="bottom"/>
          </w:tcPr>
          <w:p>
            <w:pPr>
              <w:ind w:left="44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(2,960)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(4,115)</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(8,793)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8"/>
              </w:rPr>
              <w:t>(13,011)</w:t>
            </w:r>
          </w:p>
        </w:tc>
      </w:tr>
      <w:tr>
        <w:trPr>
          <w:trHeight w:val="203"/>
        </w:trPr>
        <w:tc>
          <w:tcPr>
            <w:tcW w:w="7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Translation loss on subsidiaries in foreign currencies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(179)</w:t>
            </w:r>
          </w:p>
        </w:tc>
      </w:tr>
      <w:tr>
        <w:trPr>
          <w:trHeight w:val="203"/>
        </w:trPr>
        <w:tc>
          <w:tcPr>
            <w:tcW w:w="7720" w:type="dxa"/>
            <w:vAlign w:val="bottom"/>
          </w:tcPr>
          <w:p>
            <w:pPr>
              <w:ind w:left="440"/>
              <w:spacing w:after="0" w:line="202" w:lineRule="exact"/>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r>
      <w:tr>
        <w:trPr>
          <w:trHeight w:val="27"/>
        </w:trPr>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7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(4,620)</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(8,917)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8"/>
              </w:rPr>
              <w:t>(13,196)</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2019-12-10T16:18:03Z</dcterms:created>
  <dcterms:modified xsi:type="dcterms:W3CDTF">2019-12-10T16:18:03Z</dcterms:modified>
</cp:coreProperties>
</file>