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24, 2003</w:t>
      </w:r>
    </w:p>
    <w:p>
      <w:pPr>
        <w:spacing w:after="0" w:line="21"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165735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3"/>
          </w:tcPr>
          <w:p>
            <w:pPr>
              <w:jc w:val="center"/>
              <w:ind w:right="778"/>
              <w:spacing w:after="0"/>
              <w:rPr>
                <w:sz w:val="20"/>
                <w:szCs w:val="20"/>
                <w:color w:val="auto"/>
              </w:rPr>
            </w:pPr>
            <w:r>
              <w:rPr>
                <w:rFonts w:ascii="Arial" w:cs="Arial" w:eastAsia="Arial" w:hAnsi="Arial"/>
                <w:sz w:val="18"/>
                <w:szCs w:val="18"/>
                <w:b w:val="1"/>
                <w:bCs w:val="1"/>
                <w:color w:val="auto"/>
                <w:w w:val="88"/>
              </w:rPr>
              <w:t>Delaware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right"/>
              <w:ind w:right="762"/>
              <w:spacing w:after="0"/>
              <w:rPr>
                <w:sz w:val="20"/>
                <w:szCs w:val="20"/>
                <w:color w:val="auto"/>
              </w:rPr>
            </w:pPr>
            <w:r>
              <w:rPr>
                <w:rFonts w:ascii="Arial" w:cs="Arial" w:eastAsia="Arial" w:hAnsi="Arial"/>
                <w:sz w:val="18"/>
                <w:szCs w:val="18"/>
                <w:b w:val="1"/>
                <w:bCs w:val="1"/>
                <w:color w:val="auto"/>
              </w:rPr>
              <w:t>74-2961657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372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(IRS Employer Identification No.)</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740" w:type="dxa"/>
            <w:vAlign w:val="bottom"/>
            <w:gridSpan w:val="10"/>
          </w:tcPr>
          <w:p>
            <w:pPr>
              <w:jc w:val="center"/>
              <w:ind w:right="820"/>
              <w:spacing w:after="0"/>
              <w:rPr>
                <w:sz w:val="20"/>
                <w:szCs w:val="20"/>
                <w:color w:val="auto"/>
              </w:rPr>
            </w:pPr>
            <w:r>
              <w:rPr>
                <w:rFonts w:ascii="Arial" w:cs="Arial" w:eastAsia="Arial" w:hAnsi="Arial"/>
                <w:sz w:val="18"/>
                <w:szCs w:val="18"/>
                <w:b w:val="1"/>
                <w:bCs w:val="1"/>
                <w:color w:val="auto"/>
                <w:w w:val="88"/>
              </w:rPr>
              <w:t>2128 W. Braker Lane, B12 Austin, Texas 78758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7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00" w:type="dxa"/>
            <w:vAlign w:val="bottom"/>
            <w:gridSpan w:val="8"/>
          </w:tcPr>
          <w:p>
            <w:pPr>
              <w:jc w:val="center"/>
              <w:ind w:left="538"/>
              <w:spacing w:after="0"/>
              <w:rPr>
                <w:sz w:val="20"/>
                <w:szCs w:val="20"/>
                <w:color w:val="auto"/>
              </w:rPr>
            </w:pPr>
            <w:r>
              <w:rPr>
                <w:rFonts w:ascii="Arial" w:cs="Arial" w:eastAsia="Arial" w:hAnsi="Arial"/>
                <w:sz w:val="18"/>
                <w:szCs w:val="18"/>
                <w:b w:val="1"/>
                <w:bCs w:val="1"/>
                <w:color w:val="auto"/>
                <w:w w:val="97"/>
              </w:rPr>
              <w:t>2000 STOCK INCENTIVE PLAN</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740" w:type="dxa"/>
            <w:vAlign w:val="bottom"/>
            <w:gridSpan w:val="10"/>
          </w:tcPr>
          <w:p>
            <w:pPr>
              <w:jc w:val="center"/>
              <w:ind w:right="840"/>
              <w:spacing w:after="0"/>
              <w:rPr>
                <w:sz w:val="20"/>
                <w:szCs w:val="20"/>
                <w:color w:val="auto"/>
              </w:rPr>
            </w:pPr>
            <w:r>
              <w:rPr>
                <w:rFonts w:ascii="Arial" w:cs="Arial" w:eastAsia="Arial" w:hAnsi="Arial"/>
                <w:sz w:val="18"/>
                <w:szCs w:val="18"/>
                <w:b w:val="1"/>
                <w:bCs w:val="1"/>
                <w:color w:val="auto"/>
                <w:w w:val="95"/>
              </w:rPr>
              <w:t>2000 EMPLOYEE STOCK PURCHASE PLAN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(Full title of the Plans)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Joseph F. Pinkerton, III</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740" w:type="dxa"/>
            <w:vAlign w:val="bottom"/>
            <w:gridSpan w:val="10"/>
          </w:tcPr>
          <w:p>
            <w:pPr>
              <w:jc w:val="center"/>
              <w:ind w:right="820"/>
              <w:spacing w:after="0"/>
              <w:rPr>
                <w:sz w:val="20"/>
                <w:szCs w:val="20"/>
                <w:color w:val="auto"/>
              </w:rPr>
            </w:pPr>
            <w:r>
              <w:rPr>
                <w:rFonts w:ascii="Arial" w:cs="Arial" w:eastAsia="Arial" w:hAnsi="Arial"/>
                <w:sz w:val="18"/>
                <w:szCs w:val="18"/>
                <w:b w:val="1"/>
                <w:bCs w:val="1"/>
                <w:color w:val="auto"/>
                <w:w w:val="89"/>
              </w:rPr>
              <w:t>Chairman of the Board and Chief Executive Officer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Active Power, Inc.</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2128 W. Braker Lane, B12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Austin, Texas 78758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5"/>
              </w:rPr>
              <w:t>(Name and address of agent for service)</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gridSpan w:val="4"/>
          </w:tcPr>
          <w:p>
            <w:pPr>
              <w:jc w:val="center"/>
              <w:ind w:left="179"/>
              <w:spacing w:after="0"/>
              <w:rPr>
                <w:sz w:val="20"/>
                <w:szCs w:val="20"/>
                <w:color w:val="auto"/>
              </w:rPr>
            </w:pPr>
            <w:r>
              <w:rPr>
                <w:rFonts w:ascii="Arial" w:cs="Arial" w:eastAsia="Arial" w:hAnsi="Arial"/>
                <w:sz w:val="18"/>
                <w:szCs w:val="18"/>
                <w:b w:val="1"/>
                <w:bCs w:val="1"/>
                <w:color w:val="auto"/>
                <w:w w:val="89"/>
              </w:rPr>
              <w:t>(512) 836-6464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740" w:type="dxa"/>
            <w:vAlign w:val="bottom"/>
            <w:gridSpan w:val="10"/>
          </w:tcPr>
          <w:p>
            <w:pPr>
              <w:jc w:val="center"/>
              <w:ind w:right="820"/>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740" w:type="dxa"/>
            <w:vAlign w:val="bottom"/>
            <w:gridSpan w:val="10"/>
          </w:tcPr>
          <w:p>
            <w:pPr>
              <w:jc w:val="center"/>
              <w:ind w:right="840"/>
              <w:spacing w:after="0"/>
              <w:rPr>
                <w:sz w:val="20"/>
                <w:szCs w:val="20"/>
                <w:color w:val="auto"/>
              </w:rPr>
            </w:pPr>
            <w:r>
              <w:rPr>
                <w:rFonts w:ascii="Arial" w:cs="Arial" w:eastAsia="Arial" w:hAnsi="Arial"/>
                <w:sz w:val="18"/>
                <w:szCs w:val="18"/>
                <w:b w:val="1"/>
                <w:bCs w:val="1"/>
                <w:color w:val="auto"/>
                <w:w w:val="99"/>
              </w:rPr>
              <w:t>CALCULATION OF REGISTRATION FEE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Proposed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Proposed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Maximum Offering</w:t>
            </w:r>
          </w:p>
        </w:tc>
        <w:tc>
          <w:tcPr>
            <w:tcW w:w="16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Maximum Aggregate</w:t>
            </w:r>
          </w:p>
        </w:tc>
        <w:tc>
          <w:tcPr>
            <w:tcW w:w="120" w:type="dxa"/>
            <w:vAlign w:val="bottom"/>
          </w:tcPr>
          <w:p>
            <w:pPr>
              <w:spacing w:after="0"/>
              <w:rPr>
                <w:sz w:val="12"/>
                <w:szCs w:val="12"/>
                <w:color w:val="auto"/>
              </w:rPr>
            </w:pPr>
          </w:p>
        </w:tc>
        <w:tc>
          <w:tcPr>
            <w:tcW w:w="84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3720" w:type="dxa"/>
            <w:vAlign w:val="bottom"/>
            <w:gridSpan w:val="4"/>
          </w:tcPr>
          <w:p>
            <w:pPr>
              <w:ind w:left="480"/>
              <w:spacing w:after="0"/>
              <w:rPr>
                <w:sz w:val="20"/>
                <w:szCs w:val="20"/>
                <w:color w:val="auto"/>
              </w:rPr>
            </w:pPr>
            <w:r>
              <w:rPr>
                <w:rFonts w:ascii="Arial" w:cs="Arial" w:eastAsia="Arial" w:hAnsi="Arial"/>
                <w:sz w:val="14"/>
                <w:szCs w:val="14"/>
                <w:b w:val="1"/>
                <w:bCs w:val="1"/>
                <w:color w:val="auto"/>
              </w:rPr>
              <w:t>Title of Securities to be Registered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to be Registered(1)</w:t>
            </w:r>
          </w:p>
        </w:tc>
        <w:tc>
          <w:tcPr>
            <w:tcW w:w="12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Price per Share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Offering Price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5"/>
              </w:rPr>
              <w:t>Registration Fee</w:t>
            </w: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2000 Stock Incentive Plan</w:t>
            </w:r>
          </w:p>
        </w:tc>
        <w:tc>
          <w:tcPr>
            <w:tcW w:w="26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40" w:type="dxa"/>
            <w:vAlign w:val="bottom"/>
            <w:gridSpan w:val="5"/>
          </w:tcPr>
          <w:p>
            <w:pPr>
              <w:spacing w:after="0"/>
              <w:rPr>
                <w:sz w:val="20"/>
                <w:szCs w:val="20"/>
                <w:color w:val="auto"/>
              </w:rPr>
            </w:pPr>
            <w:r>
              <w:rPr>
                <w:rFonts w:ascii="Arial" w:cs="Arial" w:eastAsia="Arial" w:hAnsi="Arial"/>
                <w:sz w:val="18"/>
                <w:szCs w:val="18"/>
                <w:color w:val="auto"/>
              </w:rPr>
              <w:t>Common Stock, $0.001 par value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1,645,666 shares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1.275(2)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2,098,224.15(2)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86"/>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6"/>
              </w:rPr>
              <w:t>2000 Employee Stock Purchase Plan</w:t>
            </w:r>
          </w:p>
        </w:tc>
        <w:tc>
          <w:tcPr>
            <w:tcW w:w="19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40" w:type="dxa"/>
            <w:vAlign w:val="bottom"/>
            <w:gridSpan w:val="5"/>
          </w:tcPr>
          <w:p>
            <w:pPr>
              <w:spacing w:after="0"/>
              <w:rPr>
                <w:sz w:val="20"/>
                <w:szCs w:val="20"/>
                <w:color w:val="auto"/>
              </w:rPr>
            </w:pPr>
            <w:r>
              <w:rPr>
                <w:rFonts w:ascii="Arial" w:cs="Arial" w:eastAsia="Arial" w:hAnsi="Arial"/>
                <w:sz w:val="18"/>
                <w:szCs w:val="18"/>
                <w:color w:val="auto"/>
              </w:rPr>
              <w:t>Common Stock, $0.001 par value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411,415 shares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1.275(2)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524,554.13(2)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2,057,081 shares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4540" w:type="dxa"/>
            <w:vAlign w:val="bottom"/>
            <w:gridSpan w:val="5"/>
            <w:vMerge w:val="restart"/>
          </w:tcPr>
          <w:p>
            <w:pPr>
              <w:spacing w:after="0"/>
              <w:rPr>
                <w:sz w:val="20"/>
                <w:szCs w:val="20"/>
                <w:color w:val="auto"/>
              </w:rPr>
            </w:pPr>
            <w:r>
              <w:rPr>
                <w:rFonts w:ascii="Arial" w:cs="Arial" w:eastAsia="Arial" w:hAnsi="Arial"/>
                <w:sz w:val="18"/>
                <w:szCs w:val="18"/>
                <w:color w:val="auto"/>
              </w:rPr>
              <w:t>Aggregate Registration Fee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212.19</w:t>
            </w:r>
          </w:p>
        </w:tc>
        <w:tc>
          <w:tcPr>
            <w:tcW w:w="0" w:type="dxa"/>
            <w:vAlign w:val="bottom"/>
          </w:tcPr>
          <w:p>
            <w:pPr>
              <w:spacing w:after="0"/>
              <w:rPr>
                <w:sz w:val="1"/>
                <w:szCs w:val="1"/>
                <w:color w:val="auto"/>
              </w:rPr>
            </w:pPr>
          </w:p>
        </w:tc>
      </w:tr>
      <w:tr>
        <w:trPr>
          <w:trHeight w:val="319"/>
        </w:trPr>
        <w:tc>
          <w:tcPr>
            <w:tcW w:w="454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-1932940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-1932940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-586740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-586740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-286385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-286385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-286385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6" w:lineRule="exact"/>
        <w:rPr>
          <w:sz w:val="24"/>
          <w:szCs w:val="24"/>
          <w:color w:val="auto"/>
        </w:rPr>
      </w:pPr>
    </w:p>
    <w:p>
      <w:pPr>
        <w:ind w:left="460" w:right="18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shall also cover any additional shares of Common Stock which become issuable under the 2000 Stock Incentive Plan and the 2000 Employee Stock Purchase Plan by reason of any stock dividend, stock split, recapitalization or other similar transaction effected without the Registrant’s receipt of consideration which results in an increase in the number of the outstanding shares of Registrant’s Common Stock.</w:t>
      </w:r>
    </w:p>
    <w:p>
      <w:pPr>
        <w:spacing w:after="0" w:line="12"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purposes of this offering under Rule 457(h) of the Securities Act of 1933, as amended, on the basis of the average of the high and low selling prices per share of Registrant’s Common Stock on April 16, 2003, as reported by the Nasdaq National Market.</w:t>
      </w:r>
    </w:p>
    <w:p>
      <w:pPr>
        <w:spacing w:after="0" w:line="118" w:lineRule="exact"/>
        <w:rPr>
          <w:sz w:val="24"/>
          <w:szCs w:val="24"/>
          <w:color w:val="auto"/>
        </w:rPr>
      </w:pPr>
    </w:p>
    <w:p>
      <w:pPr>
        <w:ind w:right="100"/>
        <w:spacing w:after="0" w:line="256" w:lineRule="auto"/>
        <w:rPr>
          <w:sz w:val="20"/>
          <w:szCs w:val="20"/>
          <w:color w:val="auto"/>
        </w:rPr>
      </w:pPr>
      <w:r>
        <w:rPr>
          <w:rFonts w:ascii="Arial" w:cs="Arial" w:eastAsia="Arial" w:hAnsi="Arial"/>
          <w:sz w:val="18"/>
          <w:szCs w:val="18"/>
          <w:color w:val="auto"/>
        </w:rPr>
        <w:t>Pursuant to General Instruction E to Form S-8, this Registration Statement on Form S-8 registers the offer and sale of an additional 2,057,081 shares of Common Stock of the Registrant for issuance under the 2000 Stock Incentive Plan and the 2000 Employee Stock Purchase Plan (together with the 2000 Stock Incentive Plan, the “Plans”). The contents of the prior Registration Statements relating to the Plans, File No. 333-43248 and 333-56122, are incorporated herein by reference.</w:t>
      </w:r>
    </w:p>
    <w:p>
      <w:pPr>
        <w:sectPr>
          <w:pgSz w:w="11900" w:h="16838" w:orient="portrait"/>
          <w:cols w:equalWidth="0" w:num="1">
            <w:col w:w="11420"/>
          </w:cols>
          <w:pgMar w:left="240" w:top="382" w:right="239" w:bottom="116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Active Power, Inc. (the “Registrant”) hereby incorporates by reference into this Registration Statement the following documents previously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(the “Commission”):</w:t>
      </w:r>
    </w:p>
    <w:p>
      <w:pPr>
        <w:spacing w:after="0" w:line="7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2002 filed with the Commission on March 6, 2003;</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filed with the Commission on April 24, 2003, for the fiscal quarter ended March 31, 2003;</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dated April 24, 2003 filed with the Commission on April 24, 2003.</w:t>
      </w:r>
    </w:p>
    <w:p>
      <w:pPr>
        <w:spacing w:after="0" w:line="76"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are described the terms, rights and provisions applicable to the Registrant’s Common Stock;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are described the terms, rights and provisions applicable to the Registrant’s Preferred Share Purchase Rights.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reports and definitive proxy or information statements filed pursuant to Section 13(a), 13(c), 14 or 15(d) of the Securities Exchange Act of 1934, as amended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60325</wp:posOffset>
            </wp:positionV>
            <wp:extent cx="394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60325</wp:posOffset>
            </wp:positionV>
            <wp:extent cx="3346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6" w:lineRule="exact"/>
        <w:rPr>
          <w:sz w:val="20"/>
          <w:szCs w:val="20"/>
          <w:color w:val="auto"/>
        </w:rPr>
      </w:pPr>
    </w:p>
    <w:p>
      <w:pPr>
        <w:ind w:left="1140" w:hanging="102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and Consent of Andrews &amp; Kurth L.L.P.</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rPr>
              <w:t>Consent of Ernst &amp; Young LLP, Independent Auditors.</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rPr>
              <w:t>Consent of Andrews &amp; Kurth L.L.P. is contained in Exhibit 5.</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w w:val="87"/>
              </w:rPr>
              <w:t>Power of Attorney. Reference is made to the Signature Page of this Registration Statement.</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2100" w:type="dxa"/>
            <w:vAlign w:val="bottom"/>
          </w:tcPr>
          <w:p>
            <w:pPr>
              <w:ind w:left="360"/>
              <w:spacing w:after="0"/>
              <w:rPr>
                <w:sz w:val="20"/>
                <w:szCs w:val="20"/>
                <w:color w:val="auto"/>
              </w:rPr>
            </w:pPr>
            <w:r>
              <w:rPr>
                <w:rFonts w:ascii="Arial" w:cs="Arial" w:eastAsia="Arial" w:hAnsi="Arial"/>
                <w:sz w:val="18"/>
                <w:szCs w:val="18"/>
                <w:color w:val="auto"/>
                <w:w w:val="90"/>
              </w:rPr>
              <w:t>Active Power, Inc. 2000</w:t>
            </w:r>
          </w:p>
        </w:tc>
        <w:tc>
          <w:tcPr>
            <w:tcW w:w="466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99.2*</w:t>
            </w:r>
          </w:p>
        </w:tc>
        <w:tc>
          <w:tcPr>
            <w:tcW w:w="2100" w:type="dxa"/>
            <w:vAlign w:val="bottom"/>
          </w:tcPr>
          <w:p>
            <w:pPr>
              <w:ind w:left="360"/>
              <w:spacing w:after="0"/>
              <w:rPr>
                <w:sz w:val="20"/>
                <w:szCs w:val="20"/>
                <w:color w:val="auto"/>
              </w:rPr>
            </w:pPr>
            <w:r>
              <w:rPr>
                <w:rFonts w:ascii="Arial" w:cs="Arial" w:eastAsia="Arial" w:hAnsi="Arial"/>
                <w:sz w:val="18"/>
                <w:szCs w:val="18"/>
                <w:color w:val="auto"/>
                <w:w w:val="90"/>
              </w:rPr>
              <w:t>Active Power, Inc. 2000</w:t>
            </w:r>
          </w:p>
        </w:tc>
        <w:tc>
          <w:tcPr>
            <w:tcW w:w="46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right="440" w:firstLine="8"/>
        <w:spacing w:after="0" w:line="268"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pacing w:after="0" w:line="37" w:lineRule="exact"/>
        <w:rPr>
          <w:sz w:val="20"/>
          <w:szCs w:val="20"/>
          <w:color w:val="auto"/>
        </w:rPr>
      </w:pPr>
    </w:p>
    <w:p>
      <w:pPr>
        <w:ind w:right="320" w:firstLine="8"/>
        <w:spacing w:after="0" w:line="268"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99.2 is incorporated herein by reference to Exhibit 99.2 to Registrant’s Registration Statement No. 333- 43248 on Form S-8 filed with the SEC on August 8, 2000.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22"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2003.</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Chairman of the Board, President and Chief Executive</w:t>
      </w:r>
    </w:p>
    <w:p>
      <w:pPr>
        <w:spacing w:after="0" w:line="4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PERSONS BY THESE PRESENTS: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That each person whose signature appears below constitutes and appoints Joseph F. Pinkerton, III, President and Chief Executive Officer, and David S. Gino, Chief Operating Officer and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14" w:lineRule="exact"/>
        <w:rPr>
          <w:sz w:val="20"/>
          <w:szCs w:val="20"/>
          <w:color w:val="auto"/>
        </w:rPr>
      </w:pPr>
    </w:p>
    <w:p>
      <w:pPr>
        <w:ind w:left="2080"/>
        <w:spacing w:after="0"/>
        <w:tabs>
          <w:tab w:leader="none" w:pos="7220" w:val="left"/>
          <w:tab w:leader="none" w:pos="105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68580</wp:posOffset>
            </wp:positionV>
            <wp:extent cx="5314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68580</wp:posOffset>
            </wp:positionV>
            <wp:extent cx="248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68580</wp:posOffset>
            </wp:positionV>
            <wp:extent cx="257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4480" w:type="dxa"/>
            <w:vAlign w:val="bottom"/>
          </w:tcPr>
          <w:p>
            <w:pPr>
              <w:ind w:left="40"/>
              <w:spacing w:after="0"/>
              <w:rPr>
                <w:sz w:val="20"/>
                <w:szCs w:val="20"/>
                <w:color w:val="auto"/>
              </w:rPr>
            </w:pPr>
            <w:r>
              <w:rPr>
                <w:rFonts w:ascii="Arial" w:cs="Arial" w:eastAsia="Arial" w:hAnsi="Arial"/>
                <w:sz w:val="18"/>
                <w:szCs w:val="18"/>
                <w:color w:val="auto"/>
              </w:rPr>
              <w:t>Joseph F. Pinkerton, III</w:t>
            </w:r>
          </w:p>
        </w:tc>
        <w:tc>
          <w:tcPr>
            <w:tcW w:w="5140" w:type="dxa"/>
            <w:vAlign w:val="bottom"/>
          </w:tcPr>
          <w:p>
            <w:pPr>
              <w:ind w:left="340"/>
              <w:spacing w:after="0"/>
              <w:rPr>
                <w:sz w:val="20"/>
                <w:szCs w:val="20"/>
                <w:color w:val="auto"/>
              </w:rPr>
            </w:pPr>
            <w:r>
              <w:rPr>
                <w:rFonts w:ascii="Arial" w:cs="Arial" w:eastAsia="Arial" w:hAnsi="Arial"/>
                <w:sz w:val="18"/>
                <w:szCs w:val="18"/>
                <w:color w:val="auto"/>
                <w:w w:val="96"/>
              </w:rPr>
              <w:t>Chairman of the Board, President, Chief Executive Officer and</w:t>
            </w:r>
          </w:p>
        </w:tc>
        <w:tc>
          <w:tcPr>
            <w:tcW w:w="1420" w:type="dxa"/>
            <w:vAlign w:val="bottom"/>
          </w:tcPr>
          <w:p>
            <w:pPr>
              <w:ind w:left="380"/>
              <w:spacing w:after="0"/>
              <w:rPr>
                <w:sz w:val="20"/>
                <w:szCs w:val="20"/>
                <w:color w:val="auto"/>
              </w:rPr>
            </w:pPr>
            <w:r>
              <w:rPr>
                <w:rFonts w:ascii="Arial" w:cs="Arial" w:eastAsia="Arial" w:hAnsi="Arial"/>
                <w:sz w:val="18"/>
                <w:szCs w:val="18"/>
                <w:color w:val="auto"/>
                <w:w w:val="91"/>
              </w:rPr>
              <w:t>April 24, 2003</w:t>
            </w:r>
          </w:p>
        </w:tc>
        <w:tc>
          <w:tcPr>
            <w:tcW w:w="0" w:type="dxa"/>
            <w:vAlign w:val="bottom"/>
          </w:tcPr>
          <w:p>
            <w:pPr>
              <w:spacing w:after="0"/>
              <w:rPr>
                <w:sz w:val="1"/>
                <w:szCs w:val="1"/>
                <w:color w:val="auto"/>
              </w:rPr>
            </w:pPr>
          </w:p>
        </w:tc>
      </w:tr>
      <w:tr>
        <w:trPr>
          <w:trHeight w:val="116"/>
        </w:trPr>
        <w:tc>
          <w:tcPr>
            <w:tcW w:w="22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514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514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Joseph F. Pinkerton, III</w:t>
            </w:r>
          </w:p>
        </w:tc>
        <w:tc>
          <w:tcPr>
            <w:tcW w:w="51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4480" w:type="dxa"/>
            <w:vAlign w:val="bottom"/>
          </w:tcPr>
          <w:p>
            <w:pPr>
              <w:ind w:left="40"/>
              <w:spacing w:after="0"/>
              <w:rPr>
                <w:sz w:val="20"/>
                <w:szCs w:val="20"/>
                <w:color w:val="auto"/>
              </w:rPr>
            </w:pPr>
            <w:r>
              <w:rPr>
                <w:rFonts w:ascii="Arial" w:cs="Arial" w:eastAsia="Arial" w:hAnsi="Arial"/>
                <w:sz w:val="18"/>
                <w:szCs w:val="18"/>
                <w:color w:val="auto"/>
              </w:rPr>
              <w:t>Davis S. Gino</w:t>
            </w:r>
          </w:p>
        </w:tc>
        <w:tc>
          <w:tcPr>
            <w:tcW w:w="5140" w:type="dxa"/>
            <w:vAlign w:val="bottom"/>
          </w:tcPr>
          <w:p>
            <w:pPr>
              <w:ind w:left="340"/>
              <w:spacing w:after="0"/>
              <w:rPr>
                <w:sz w:val="20"/>
                <w:szCs w:val="20"/>
                <w:color w:val="auto"/>
              </w:rPr>
            </w:pPr>
            <w:r>
              <w:rPr>
                <w:rFonts w:ascii="Arial" w:cs="Arial" w:eastAsia="Arial" w:hAnsi="Arial"/>
                <w:sz w:val="18"/>
                <w:szCs w:val="18"/>
                <w:color w:val="auto"/>
              </w:rPr>
              <w:t>Chief Operating Officer and Chief Financial Officer</w:t>
            </w:r>
          </w:p>
        </w:tc>
        <w:tc>
          <w:tcPr>
            <w:tcW w:w="1420" w:type="dxa"/>
            <w:vAlign w:val="bottom"/>
          </w:tcPr>
          <w:p>
            <w:pPr>
              <w:ind w:left="380"/>
              <w:spacing w:after="0"/>
              <w:rPr>
                <w:sz w:val="20"/>
                <w:szCs w:val="20"/>
                <w:color w:val="auto"/>
              </w:rPr>
            </w:pPr>
            <w:r>
              <w:rPr>
                <w:rFonts w:ascii="Arial" w:cs="Arial" w:eastAsia="Arial" w:hAnsi="Arial"/>
                <w:sz w:val="18"/>
                <w:szCs w:val="18"/>
                <w:color w:val="auto"/>
                <w:w w:val="91"/>
              </w:rPr>
              <w:t>April 24, 2003</w:t>
            </w:r>
          </w:p>
        </w:tc>
        <w:tc>
          <w:tcPr>
            <w:tcW w:w="0" w:type="dxa"/>
            <w:vAlign w:val="bottom"/>
          </w:tcPr>
          <w:p>
            <w:pPr>
              <w:spacing w:after="0"/>
              <w:rPr>
                <w:sz w:val="1"/>
                <w:szCs w:val="1"/>
                <w:color w:val="auto"/>
              </w:rPr>
            </w:pPr>
          </w:p>
        </w:tc>
      </w:tr>
      <w:tr>
        <w:trPr>
          <w:trHeight w:val="116"/>
        </w:trPr>
        <w:tc>
          <w:tcPr>
            <w:tcW w:w="22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5140" w:type="dxa"/>
            <w:vAlign w:val="bottom"/>
            <w:vMerge w:val="restart"/>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700" w:type="dxa"/>
            <w:vAlign w:val="bottom"/>
            <w:gridSpan w:val="2"/>
            <w:vMerge w:val="restart"/>
          </w:tcPr>
          <w:p>
            <w:pPr>
              <w:ind w:left="20"/>
              <w:spacing w:after="0"/>
              <w:rPr>
                <w:sz w:val="20"/>
                <w:szCs w:val="20"/>
                <w:color w:val="auto"/>
              </w:rPr>
            </w:pPr>
            <w:r>
              <w:rPr>
                <w:rFonts w:ascii="Arial" w:cs="Arial" w:eastAsia="Arial" w:hAnsi="Arial"/>
                <w:sz w:val="18"/>
                <w:szCs w:val="18"/>
                <w:color w:val="auto"/>
              </w:rPr>
              <w:t>David S. Gino</w:t>
            </w:r>
          </w:p>
        </w:tc>
        <w:tc>
          <w:tcPr>
            <w:tcW w:w="514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700" w:type="dxa"/>
            <w:vAlign w:val="bottom"/>
            <w:gridSpan w:val="2"/>
            <w:vMerge w:val="continue"/>
          </w:tcPr>
          <w:p>
            <w:pPr>
              <w:spacing w:after="0"/>
              <w:rPr>
                <w:sz w:val="19"/>
                <w:szCs w:val="19"/>
                <w:color w:val="auto"/>
              </w:rPr>
            </w:pPr>
          </w:p>
        </w:tc>
        <w:tc>
          <w:tcPr>
            <w:tcW w:w="5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4480" w:type="dxa"/>
            <w:vAlign w:val="bottom"/>
          </w:tcPr>
          <w:p>
            <w:pPr>
              <w:ind w:left="40"/>
              <w:spacing w:after="0"/>
              <w:rPr>
                <w:sz w:val="20"/>
                <w:szCs w:val="20"/>
                <w:color w:val="auto"/>
              </w:rPr>
            </w:pPr>
            <w:r>
              <w:rPr>
                <w:rFonts w:ascii="Arial" w:cs="Arial" w:eastAsia="Arial" w:hAnsi="Arial"/>
                <w:sz w:val="18"/>
                <w:szCs w:val="18"/>
                <w:color w:val="auto"/>
              </w:rPr>
              <w:t>Richard E. Anderson</w:t>
            </w:r>
          </w:p>
        </w:tc>
        <w:tc>
          <w:tcPr>
            <w:tcW w:w="5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91"/>
              </w:rPr>
              <w:t>April 24,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gridSpan w:val="2"/>
          </w:tcPr>
          <w:p>
            <w:pPr>
              <w:spacing w:after="0"/>
              <w:rPr>
                <w:sz w:val="9"/>
                <w:szCs w:val="9"/>
                <w:color w:val="auto"/>
              </w:rPr>
            </w:pPr>
          </w:p>
        </w:tc>
        <w:tc>
          <w:tcPr>
            <w:tcW w:w="5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Richard E. Anderson</w:t>
            </w:r>
          </w:p>
        </w:tc>
        <w:tc>
          <w:tcPr>
            <w:tcW w:w="5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4480" w:type="dxa"/>
            <w:vAlign w:val="bottom"/>
          </w:tcPr>
          <w:p>
            <w:pPr>
              <w:ind w:left="40"/>
              <w:spacing w:after="0"/>
              <w:rPr>
                <w:sz w:val="20"/>
                <w:szCs w:val="20"/>
                <w:color w:val="auto"/>
              </w:rPr>
            </w:pPr>
            <w:r>
              <w:rPr>
                <w:rFonts w:ascii="Arial" w:cs="Arial" w:eastAsia="Arial" w:hAnsi="Arial"/>
                <w:sz w:val="18"/>
                <w:szCs w:val="18"/>
                <w:color w:val="auto"/>
              </w:rPr>
              <w:t>Rodney S. Bond</w:t>
            </w:r>
          </w:p>
        </w:tc>
        <w:tc>
          <w:tcPr>
            <w:tcW w:w="51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91"/>
              </w:rPr>
              <w:t>April 24, 2003</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gridSpan w:val="2"/>
          </w:tcPr>
          <w:p>
            <w:pPr>
              <w:spacing w:after="0"/>
              <w:rPr>
                <w:sz w:val="9"/>
                <w:szCs w:val="9"/>
                <w:color w:val="auto"/>
              </w:rPr>
            </w:pPr>
          </w:p>
        </w:tc>
        <w:tc>
          <w:tcPr>
            <w:tcW w:w="5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Rodney S. Bond</w:t>
            </w:r>
          </w:p>
        </w:tc>
        <w:tc>
          <w:tcPr>
            <w:tcW w:w="5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140" w:type="dxa"/>
            <w:vAlign w:val="bottom"/>
          </w:tcPr>
          <w:p>
            <w:pPr>
              <w:ind w:left="880"/>
              <w:spacing w:after="0"/>
              <w:rPr>
                <w:sz w:val="20"/>
                <w:szCs w:val="20"/>
                <w:color w:val="auto"/>
              </w:rPr>
            </w:pPr>
            <w:r>
              <w:rPr>
                <w:rFonts w:ascii="Arial" w:cs="Arial" w:eastAsia="Arial" w:hAnsi="Arial"/>
                <w:sz w:val="18"/>
                <w:szCs w:val="18"/>
                <w:color w:val="auto"/>
              </w:rPr>
              <w:t>II-2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22" w:right="2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4480" w:type="dxa"/>
            <w:vAlign w:val="bottom"/>
          </w:tcPr>
          <w:p>
            <w:pPr>
              <w:ind w:left="40"/>
              <w:spacing w:after="0"/>
              <w:rPr>
                <w:sz w:val="20"/>
                <w:szCs w:val="20"/>
                <w:color w:val="auto"/>
              </w:rPr>
            </w:pPr>
            <w:r>
              <w:rPr>
                <w:rFonts w:ascii="Arial" w:cs="Arial" w:eastAsia="Arial" w:hAnsi="Arial"/>
                <w:sz w:val="18"/>
                <w:szCs w:val="18"/>
                <w:color w:val="auto"/>
              </w:rPr>
              <w:t>Jan H. Lindelow</w:t>
            </w:r>
          </w:p>
        </w:tc>
        <w:tc>
          <w:tcPr>
            <w:tcW w:w="33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220" w:type="dxa"/>
            <w:vAlign w:val="bottom"/>
          </w:tcPr>
          <w:p>
            <w:pPr>
              <w:ind w:left="2180"/>
              <w:spacing w:after="0"/>
              <w:rPr>
                <w:sz w:val="20"/>
                <w:szCs w:val="20"/>
                <w:color w:val="auto"/>
              </w:rPr>
            </w:pPr>
            <w:r>
              <w:rPr>
                <w:rFonts w:ascii="Arial" w:cs="Arial" w:eastAsia="Arial" w:hAnsi="Arial"/>
                <w:sz w:val="18"/>
                <w:szCs w:val="18"/>
                <w:color w:val="auto"/>
                <w:w w:val="91"/>
              </w:rPr>
              <w:t>April 24, 2003</w:t>
            </w:r>
          </w:p>
        </w:tc>
      </w:tr>
      <w:tr>
        <w:trPr>
          <w:trHeight w:val="110"/>
        </w:trPr>
        <w:tc>
          <w:tcPr>
            <w:tcW w:w="4700" w:type="dxa"/>
            <w:vAlign w:val="bottom"/>
            <w:tcBorders>
              <w:bottom w:val="single" w:sz="8" w:color="auto"/>
            </w:tcBorders>
            <w:gridSpan w:val="2"/>
          </w:tcPr>
          <w:p>
            <w:pPr>
              <w:spacing w:after="0"/>
              <w:rPr>
                <w:sz w:val="9"/>
                <w:szCs w:val="9"/>
                <w:color w:val="auto"/>
              </w:rPr>
            </w:pPr>
          </w:p>
        </w:tc>
        <w:tc>
          <w:tcPr>
            <w:tcW w:w="3340" w:type="dxa"/>
            <w:vAlign w:val="bottom"/>
          </w:tcPr>
          <w:p>
            <w:pPr>
              <w:spacing w:after="0"/>
              <w:rPr>
                <w:sz w:val="9"/>
                <w:szCs w:val="9"/>
                <w:color w:val="auto"/>
              </w:rPr>
            </w:pPr>
          </w:p>
        </w:tc>
        <w:tc>
          <w:tcPr>
            <w:tcW w:w="3220" w:type="dxa"/>
            <w:vAlign w:val="bottom"/>
          </w:tcPr>
          <w:p>
            <w:pPr>
              <w:spacing w:after="0"/>
              <w:rPr>
                <w:sz w:val="9"/>
                <w:szCs w:val="9"/>
                <w:color w:val="auto"/>
              </w:rPr>
            </w:pPr>
          </w:p>
        </w:tc>
      </w:tr>
      <w:tr>
        <w:trPr>
          <w:trHeight w:val="3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Jan H. Lindelow</w:t>
            </w:r>
          </w:p>
        </w:tc>
        <w:tc>
          <w:tcPr>
            <w:tcW w:w="33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32"/>
        </w:trPr>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4480" w:type="dxa"/>
            <w:vAlign w:val="bottom"/>
          </w:tcPr>
          <w:p>
            <w:pPr>
              <w:ind w:left="40"/>
              <w:spacing w:after="0"/>
              <w:rPr>
                <w:sz w:val="20"/>
                <w:szCs w:val="20"/>
                <w:color w:val="auto"/>
              </w:rPr>
            </w:pPr>
            <w:r>
              <w:rPr>
                <w:rFonts w:ascii="Arial" w:cs="Arial" w:eastAsia="Arial" w:hAnsi="Arial"/>
                <w:sz w:val="18"/>
                <w:szCs w:val="18"/>
                <w:color w:val="auto"/>
              </w:rPr>
              <w:t>Terrence L. Rock</w:t>
            </w:r>
          </w:p>
        </w:tc>
        <w:tc>
          <w:tcPr>
            <w:tcW w:w="33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220" w:type="dxa"/>
            <w:vAlign w:val="bottom"/>
          </w:tcPr>
          <w:p>
            <w:pPr>
              <w:ind w:left="2180"/>
              <w:spacing w:after="0"/>
              <w:rPr>
                <w:sz w:val="20"/>
                <w:szCs w:val="20"/>
                <w:color w:val="auto"/>
              </w:rPr>
            </w:pPr>
            <w:r>
              <w:rPr>
                <w:rFonts w:ascii="Arial" w:cs="Arial" w:eastAsia="Arial" w:hAnsi="Arial"/>
                <w:sz w:val="18"/>
                <w:szCs w:val="18"/>
                <w:color w:val="auto"/>
                <w:w w:val="91"/>
              </w:rPr>
              <w:t>April 24, 2003</w:t>
            </w:r>
          </w:p>
        </w:tc>
      </w:tr>
      <w:tr>
        <w:trPr>
          <w:trHeight w:val="110"/>
        </w:trPr>
        <w:tc>
          <w:tcPr>
            <w:tcW w:w="4700" w:type="dxa"/>
            <w:vAlign w:val="bottom"/>
            <w:tcBorders>
              <w:bottom w:val="single" w:sz="8" w:color="auto"/>
            </w:tcBorders>
            <w:gridSpan w:val="2"/>
          </w:tcPr>
          <w:p>
            <w:pPr>
              <w:spacing w:after="0"/>
              <w:rPr>
                <w:sz w:val="9"/>
                <w:szCs w:val="9"/>
                <w:color w:val="auto"/>
              </w:rPr>
            </w:pPr>
          </w:p>
        </w:tc>
        <w:tc>
          <w:tcPr>
            <w:tcW w:w="3340" w:type="dxa"/>
            <w:vAlign w:val="bottom"/>
          </w:tcPr>
          <w:p>
            <w:pPr>
              <w:spacing w:after="0"/>
              <w:rPr>
                <w:sz w:val="9"/>
                <w:szCs w:val="9"/>
                <w:color w:val="auto"/>
              </w:rPr>
            </w:pPr>
          </w:p>
        </w:tc>
        <w:tc>
          <w:tcPr>
            <w:tcW w:w="3220" w:type="dxa"/>
            <w:vAlign w:val="bottom"/>
          </w:tcPr>
          <w:p>
            <w:pPr>
              <w:spacing w:after="0"/>
              <w:rPr>
                <w:sz w:val="9"/>
                <w:szCs w:val="9"/>
                <w:color w:val="auto"/>
              </w:rPr>
            </w:pPr>
          </w:p>
        </w:tc>
      </w:tr>
      <w:tr>
        <w:trPr>
          <w:trHeight w:val="3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Terrence L. Rock</w:t>
            </w:r>
          </w:p>
        </w:tc>
        <w:tc>
          <w:tcPr>
            <w:tcW w:w="33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32"/>
        </w:trPr>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4480" w:type="dxa"/>
            <w:vAlign w:val="bottom"/>
          </w:tcPr>
          <w:p>
            <w:pPr>
              <w:ind w:left="40"/>
              <w:spacing w:after="0"/>
              <w:rPr>
                <w:sz w:val="20"/>
                <w:szCs w:val="20"/>
                <w:color w:val="auto"/>
              </w:rPr>
            </w:pPr>
            <w:r>
              <w:rPr>
                <w:rFonts w:ascii="Arial" w:cs="Arial" w:eastAsia="Arial" w:hAnsi="Arial"/>
                <w:sz w:val="18"/>
                <w:szCs w:val="18"/>
                <w:color w:val="auto"/>
              </w:rPr>
              <w:t>Benjamin L. Scott</w:t>
            </w:r>
          </w:p>
        </w:tc>
        <w:tc>
          <w:tcPr>
            <w:tcW w:w="3340" w:type="dxa"/>
            <w:vAlign w:val="bottom"/>
          </w:tcPr>
          <w:p>
            <w:pPr>
              <w:ind w:left="340"/>
              <w:spacing w:after="0"/>
              <w:rPr>
                <w:sz w:val="20"/>
                <w:szCs w:val="20"/>
                <w:color w:val="auto"/>
              </w:rPr>
            </w:pPr>
            <w:r>
              <w:rPr>
                <w:rFonts w:ascii="Arial" w:cs="Arial" w:eastAsia="Arial" w:hAnsi="Arial"/>
                <w:sz w:val="18"/>
                <w:szCs w:val="18"/>
                <w:color w:val="auto"/>
              </w:rPr>
              <w:t>Director</w:t>
            </w:r>
          </w:p>
        </w:tc>
        <w:tc>
          <w:tcPr>
            <w:tcW w:w="3220" w:type="dxa"/>
            <w:vAlign w:val="bottom"/>
          </w:tcPr>
          <w:p>
            <w:pPr>
              <w:ind w:left="2180"/>
              <w:spacing w:after="0"/>
              <w:rPr>
                <w:sz w:val="20"/>
                <w:szCs w:val="20"/>
                <w:color w:val="auto"/>
              </w:rPr>
            </w:pPr>
            <w:r>
              <w:rPr>
                <w:rFonts w:ascii="Arial" w:cs="Arial" w:eastAsia="Arial" w:hAnsi="Arial"/>
                <w:sz w:val="18"/>
                <w:szCs w:val="18"/>
                <w:color w:val="auto"/>
                <w:w w:val="91"/>
              </w:rPr>
              <w:t>April 24, 2003</w:t>
            </w:r>
          </w:p>
        </w:tc>
      </w:tr>
      <w:tr>
        <w:trPr>
          <w:trHeight w:val="110"/>
        </w:trPr>
        <w:tc>
          <w:tcPr>
            <w:tcW w:w="4700" w:type="dxa"/>
            <w:vAlign w:val="bottom"/>
            <w:tcBorders>
              <w:bottom w:val="single" w:sz="8" w:color="auto"/>
            </w:tcBorders>
            <w:gridSpan w:val="2"/>
          </w:tcPr>
          <w:p>
            <w:pPr>
              <w:spacing w:after="0"/>
              <w:rPr>
                <w:sz w:val="9"/>
                <w:szCs w:val="9"/>
                <w:color w:val="auto"/>
              </w:rPr>
            </w:pPr>
          </w:p>
        </w:tc>
        <w:tc>
          <w:tcPr>
            <w:tcW w:w="3340" w:type="dxa"/>
            <w:vAlign w:val="bottom"/>
          </w:tcPr>
          <w:p>
            <w:pPr>
              <w:spacing w:after="0"/>
              <w:rPr>
                <w:sz w:val="9"/>
                <w:szCs w:val="9"/>
                <w:color w:val="auto"/>
              </w:rPr>
            </w:pPr>
          </w:p>
        </w:tc>
        <w:tc>
          <w:tcPr>
            <w:tcW w:w="3220" w:type="dxa"/>
            <w:vAlign w:val="bottom"/>
          </w:tcPr>
          <w:p>
            <w:pPr>
              <w:spacing w:after="0"/>
              <w:rPr>
                <w:sz w:val="9"/>
                <w:szCs w:val="9"/>
                <w:color w:val="auto"/>
              </w:rPr>
            </w:pPr>
          </w:p>
        </w:tc>
      </w:tr>
      <w:tr>
        <w:trPr>
          <w:trHeight w:val="3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Benjamin L. Scott</w:t>
            </w:r>
          </w:p>
        </w:tc>
        <w:tc>
          <w:tcPr>
            <w:tcW w:w="33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13"/>
        </w:trPr>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340" w:type="dxa"/>
            <w:vAlign w:val="bottom"/>
          </w:tcPr>
          <w:p>
            <w:pPr>
              <w:ind w:left="880"/>
              <w:spacing w:after="0"/>
              <w:rPr>
                <w:sz w:val="20"/>
                <w:szCs w:val="20"/>
                <w:color w:val="auto"/>
              </w:rPr>
            </w:pPr>
            <w:r>
              <w:rPr>
                <w:rFonts w:ascii="Arial" w:cs="Arial" w:eastAsia="Arial" w:hAnsi="Arial"/>
                <w:sz w:val="18"/>
                <w:szCs w:val="18"/>
                <w:color w:val="auto"/>
              </w:rPr>
              <w:t>II-3</w:t>
            </w:r>
          </w:p>
        </w:tc>
        <w:tc>
          <w:tcPr>
            <w:tcW w:w="3220" w:type="dxa"/>
            <w:vAlign w:val="bottom"/>
          </w:tcPr>
          <w:p>
            <w:pPr>
              <w:spacing w:after="0"/>
              <w:rPr>
                <w:sz w:val="24"/>
                <w:szCs w:val="24"/>
                <w:color w:val="auto"/>
              </w:rPr>
            </w:pPr>
          </w:p>
        </w:tc>
      </w:tr>
    </w:tbl>
    <w:p>
      <w:pPr>
        <w:sectPr>
          <w:pgSz w:w="11900" w:h="16838" w:orient="portrait"/>
          <w:cols w:equalWidth="0" w:num="1">
            <w:col w:w="11260"/>
          </w:cols>
          <w:pgMar w:left="240" w:top="644" w:right="3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SECURITIES AND EXCHANGE COMMISSION</w:t>
      </w:r>
    </w:p>
    <w:p>
      <w:pPr>
        <w:sectPr>
          <w:pgSz w:w="11900" w:h="16838" w:orient="portrait"/>
          <w:cols w:equalWidth="0" w:num="1">
            <w:col w:w="9019"/>
          </w:cols>
          <w:pgMar w:left="1440" w:top="144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ACT OF 1933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ectPr>
          <w:pgSz w:w="11900" w:h="16838" w:orient="portrait"/>
          <w:cols w:equalWidth="0" w:num="1">
            <w:col w:w="9019"/>
          </w:cols>
          <w:pgMar w:left="1440" w:top="1440" w:right="1440" w:bottom="1440" w:gutter="0" w:footer="0" w:header="0"/>
          <w:type w:val="continuous"/>
        </w:sectPr>
      </w:pPr>
    </w:p>
    <w:bookmarkStart w:id="5" w:name="page6"/>
    <w:bookmarkEnd w:id="5"/>
    <w:p>
      <w:pPr>
        <w:jc w:val="center"/>
        <w:ind w:right="-3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ind w:left="192"/>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52"/>
        <w:spacing w:after="0"/>
        <w:tabs>
          <w:tab w:leader="none" w:pos="1112"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60325</wp:posOffset>
            </wp:positionV>
            <wp:extent cx="10547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56" w:lineRule="exact"/>
        <w:rPr>
          <w:sz w:val="20"/>
          <w:szCs w:val="20"/>
          <w:color w:val="auto"/>
        </w:rPr>
      </w:pPr>
    </w:p>
    <w:p>
      <w:pPr>
        <w:ind w:left="1132" w:hanging="1028"/>
        <w:spacing w:after="0"/>
        <w:tabs>
          <w:tab w:leader="none" w:pos="1132" w:val="left"/>
        </w:tabs>
        <w:numPr>
          <w:ilvl w:val="0"/>
          <w:numId w:val="6"/>
        </w:numPr>
        <w:rPr>
          <w:rFonts w:ascii="Arial" w:cs="Arial" w:eastAsia="Arial" w:hAnsi="Arial"/>
          <w:sz w:val="18"/>
          <w:szCs w:val="18"/>
          <w:color w:val="auto"/>
        </w:rPr>
      </w:pPr>
      <w:r>
        <w:rPr>
          <w:rFonts w:ascii="Arial" w:cs="Arial" w:eastAsia="Arial" w:hAnsi="Arial"/>
          <w:sz w:val="18"/>
          <w:szCs w:val="18"/>
          <w:color w:val="auto"/>
        </w:rPr>
        <w:t>Opinion and Consent of Andrews &amp; Kurth L.L.P.</w:t>
      </w:r>
    </w:p>
    <w:p>
      <w:pPr>
        <w:spacing w:after="0" w:line="77" w:lineRule="exact"/>
        <w:rPr>
          <w:sz w:val="20"/>
          <w:szCs w:val="20"/>
          <w:color w:val="auto"/>
        </w:rPr>
      </w:pPr>
    </w:p>
    <w:tbl>
      <w:tblPr>
        <w:tblLayout w:type="fixed"/>
        <w:tblInd w:w="12"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6720" w:type="dxa"/>
            <w:vAlign w:val="bottom"/>
            <w:gridSpan w:val="2"/>
          </w:tcPr>
          <w:p>
            <w:pPr>
              <w:ind w:left="320"/>
              <w:spacing w:after="0"/>
              <w:rPr>
                <w:sz w:val="20"/>
                <w:szCs w:val="20"/>
                <w:color w:val="auto"/>
              </w:rPr>
            </w:pPr>
            <w:r>
              <w:rPr>
                <w:rFonts w:ascii="Arial" w:cs="Arial" w:eastAsia="Arial" w:hAnsi="Arial"/>
                <w:sz w:val="18"/>
                <w:szCs w:val="18"/>
                <w:color w:val="auto"/>
              </w:rPr>
              <w:t>Consent of Ernst &amp; Young LLP, Independent Auditors.</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6720" w:type="dxa"/>
            <w:vAlign w:val="bottom"/>
            <w:gridSpan w:val="2"/>
          </w:tcPr>
          <w:p>
            <w:pPr>
              <w:ind w:left="320"/>
              <w:spacing w:after="0"/>
              <w:rPr>
                <w:sz w:val="20"/>
                <w:szCs w:val="20"/>
                <w:color w:val="auto"/>
              </w:rPr>
            </w:pPr>
            <w:r>
              <w:rPr>
                <w:rFonts w:ascii="Arial" w:cs="Arial" w:eastAsia="Arial" w:hAnsi="Arial"/>
                <w:sz w:val="18"/>
                <w:szCs w:val="18"/>
                <w:color w:val="auto"/>
              </w:rPr>
              <w:t>Consent of Andrews &amp; Kurth L.L.P. is contained in Exhibit 5.</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24</w:t>
            </w:r>
          </w:p>
        </w:tc>
        <w:tc>
          <w:tcPr>
            <w:tcW w:w="6720" w:type="dxa"/>
            <w:vAlign w:val="bottom"/>
            <w:gridSpan w:val="2"/>
          </w:tcPr>
          <w:p>
            <w:pPr>
              <w:ind w:left="320"/>
              <w:spacing w:after="0"/>
              <w:rPr>
                <w:sz w:val="20"/>
                <w:szCs w:val="20"/>
                <w:color w:val="auto"/>
              </w:rPr>
            </w:pPr>
            <w:r>
              <w:rPr>
                <w:rFonts w:ascii="Arial" w:cs="Arial" w:eastAsia="Arial" w:hAnsi="Arial"/>
                <w:sz w:val="18"/>
                <w:szCs w:val="18"/>
                <w:color w:val="auto"/>
                <w:w w:val="87"/>
              </w:rPr>
              <w:t>Power of Attorney. Reference is made to the Signature Page of this Registration Statement.</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2060" w:type="dxa"/>
            <w:vAlign w:val="bottom"/>
          </w:tcPr>
          <w:p>
            <w:pPr>
              <w:ind w:left="320"/>
              <w:spacing w:after="0"/>
              <w:rPr>
                <w:sz w:val="20"/>
                <w:szCs w:val="20"/>
                <w:color w:val="auto"/>
              </w:rPr>
            </w:pPr>
            <w:r>
              <w:rPr>
                <w:rFonts w:ascii="Arial" w:cs="Arial" w:eastAsia="Arial" w:hAnsi="Arial"/>
                <w:sz w:val="18"/>
                <w:szCs w:val="18"/>
                <w:color w:val="auto"/>
                <w:w w:val="90"/>
              </w:rPr>
              <w:t>Active Power, Inc. 2000</w:t>
            </w:r>
          </w:p>
        </w:tc>
        <w:tc>
          <w:tcPr>
            <w:tcW w:w="466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99.2**</w:t>
            </w:r>
          </w:p>
        </w:tc>
        <w:tc>
          <w:tcPr>
            <w:tcW w:w="2060" w:type="dxa"/>
            <w:vAlign w:val="bottom"/>
          </w:tcPr>
          <w:p>
            <w:pPr>
              <w:ind w:left="320"/>
              <w:spacing w:after="0"/>
              <w:rPr>
                <w:sz w:val="20"/>
                <w:szCs w:val="20"/>
                <w:color w:val="auto"/>
              </w:rPr>
            </w:pPr>
            <w:r>
              <w:rPr>
                <w:rFonts w:ascii="Arial" w:cs="Arial" w:eastAsia="Arial" w:hAnsi="Arial"/>
                <w:sz w:val="18"/>
                <w:szCs w:val="18"/>
                <w:color w:val="auto"/>
                <w:w w:val="90"/>
              </w:rPr>
              <w:t>Active Power, Inc. 2000</w:t>
            </w:r>
          </w:p>
        </w:tc>
        <w:tc>
          <w:tcPr>
            <w:tcW w:w="46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8" w:right="80" w:firstLine="8"/>
        <w:spacing w:after="0" w:line="268" w:lineRule="auto"/>
        <w:tabs>
          <w:tab w:leader="none" w:pos="16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pacing w:after="0" w:line="37" w:lineRule="exact"/>
        <w:rPr>
          <w:sz w:val="20"/>
          <w:szCs w:val="20"/>
          <w:color w:val="auto"/>
        </w:rPr>
      </w:pPr>
    </w:p>
    <w:p>
      <w:pPr>
        <w:ind w:left="-8" w:firstLine="8"/>
        <w:spacing w:after="0" w:line="268"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 99.2 is incorporated herein by reference to Exhibit 99.2 to Registrant’s Registration Statement No. 333-43248 on Form S-8 filed with the SEC on August 8, 2000.</w:t>
      </w:r>
    </w:p>
    <w:p>
      <w:pPr>
        <w:sectPr>
          <w:pgSz w:w="11900" w:h="16838" w:orient="portrait"/>
          <w:cols w:equalWidth="0" w:num="1">
            <w:col w:w="11032"/>
          </w:cols>
          <w:pgMar w:left="248" w:top="422" w:right="6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EXHIBIT 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OPINION AND CONSENT OF ANDREWS &amp; KURTH L.L.P.</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24,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2128 W. Braker, B12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TX 78758</w:t>
      </w:r>
    </w:p>
    <w:p>
      <w:pPr>
        <w:spacing w:after="0" w:line="151" w:lineRule="exact"/>
        <w:rPr>
          <w:sz w:val="20"/>
          <w:szCs w:val="20"/>
          <w:color w:val="auto"/>
        </w:rPr>
      </w:pPr>
    </w:p>
    <w:p>
      <w:pPr>
        <w:ind w:left="20" w:right="2800" w:hanging="4"/>
        <w:spacing w:after="0" w:line="422" w:lineRule="auto"/>
        <w:rPr>
          <w:sz w:val="20"/>
          <w:szCs w:val="20"/>
          <w:color w:val="auto"/>
        </w:rPr>
      </w:pPr>
      <w:r>
        <w:rPr>
          <w:rFonts w:ascii="Arial" w:cs="Arial" w:eastAsia="Arial" w:hAnsi="Arial"/>
          <w:sz w:val="18"/>
          <w:szCs w:val="18"/>
          <w:color w:val="auto"/>
        </w:rPr>
        <w:t>Re:</w:t>
      </w:r>
      <w:r>
        <w:rPr>
          <w:sz w:val="20"/>
          <w:szCs w:val="20"/>
          <w:color w:val="auto"/>
        </w:rPr>
        <w:t xml:space="preserve"> </w:t>
      </w:r>
      <w:r>
        <w:rPr>
          <w:rFonts w:ascii="Arial" w:cs="Arial" w:eastAsia="Arial" w:hAnsi="Arial"/>
          <w:sz w:val="18"/>
          <w:szCs w:val="18"/>
          <w:u w:val="single" w:color="auto"/>
          <w:color w:val="auto"/>
        </w:rPr>
        <w:t xml:space="preserve">Active Power, Inc.- Registration Statement on Form S-8 for of an Aggregate of 2,057,081 Shares of Common Stock </w:t>
      </w:r>
      <w:r>
        <w:rPr>
          <w:rFonts w:ascii="Arial" w:cs="Arial" w:eastAsia="Arial" w:hAnsi="Arial"/>
          <w:sz w:val="18"/>
          <w:szCs w:val="18"/>
          <w:color w:val="auto"/>
        </w:rPr>
        <w:t>Ladies and Gentlemen:</w:t>
      </w:r>
    </w:p>
    <w:p>
      <w:pPr>
        <w:spacing w:after="0" w:line="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We have acted as counsel to Active Power, Inc., a Delaware Corporation (the “Company”), in connection with the registration on Form S-8 (the “Registration Statement”) under the Securities Act of 1933, as amended, of an additional 2,057,081 shares of Common Stock, which consists of (i) 1,645,666 shares of Common Stock under the Company’s 2000 Stock Incentive Plan (the “Incentive Plan”), and (ii) 411,415 shares of Common Stock under the Company’s 2000 Employee Stock Purchase Plan (the “Purchase Plan”). All of such additional shares are collectively referred to herein as the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8 of Form S-8 and Item 601(b)(5)(i) of Regulation S-K.</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reviewed the Company’s charter documents and the corporate proceedings taken by the Company in connection with the establishment of the Incentive Plan and the Purchase Plan. Based on such review, we are of the opinion that, if, as and when the Shares have been issued and sold (and the consideration therefor received) pursuant to the provisions of option agreements duly authorized under the Incentive Plan and in accordance with the Registration Statement, or in accordance with the stock purchase agreements under the Purchase Plan and in accordance with the Registration Statement, such Shares will be duly authorized, legally issued, 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letter as Exhibit 5 to the Registration Statement.</w:t>
      </w:r>
    </w:p>
    <w:p>
      <w:pPr>
        <w:spacing w:after="0" w:line="15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Incentive Plan, the Purchase Plan, or the Shares.</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ANDREWS &amp; KURTH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ANDREWS &amp; KURTH L.L.P.</w:t>
      </w:r>
    </w:p>
    <w:p>
      <w:pPr>
        <w:sectPr>
          <w:pgSz w:w="11900" w:h="16838" w:orient="portrait"/>
          <w:cols w:equalWidth="0" w:num="1">
            <w:col w:w="11400"/>
          </w:cols>
          <w:pgMar w:left="240" w:top="274" w:right="2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 OF INDEPENDENT AUDITORS</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2000 Stock Incentive Plan and the 2000 Employee Stock Purchase Plan of Active Power, Inc. of our report dated January 15, 2003, with respect to the consolidated financial statements of Active Power, Inc. included in its Annual Report (Form 10-K) for the year ended December 31, 2002, filed with the Securities and Exchange Commission.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23, 2003</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2019-12-14T18:22:23Z</dcterms:created>
  <dcterms:modified xsi:type="dcterms:W3CDTF">2019-12-14T18:22:23Z</dcterms:modified>
</cp:coreProperties>
</file>