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12, 2024</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4514 Cole Avenue, Suite 1600</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Dallas, Texas 75205</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 2021 Incentive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4514 Cole Avenue, Suite 1600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Dallas, Texas 75205</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54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tc>
      </w:tr>
      <w:tr>
        <w:trPr>
          <w:trHeight w:val="315"/>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Melodie Craft, Esq.</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Todd E. Lenson, Esq.</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Jordan M. Rosenbaum, Esq.</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P10, Inc.</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Kramer Levin Naftalis &amp; Frankel LLP</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4514 Cole Avenue, Suite 1600</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1177 Avenue of the Americas</w:t>
            </w:r>
          </w:p>
        </w:tc>
      </w:tr>
      <w:tr>
        <w:trPr>
          <w:trHeight w:val="216"/>
        </w:trPr>
        <w:tc>
          <w:tcPr>
            <w:tcW w:w="27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Dallas, Texas 75205</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New York, NY 10036</w:t>
            </w:r>
          </w:p>
        </w:tc>
      </w:tr>
      <w:tr>
        <w:trPr>
          <w:trHeight w:val="238"/>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Telephone: (214) 997-1956</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Telephone: (212) 715-9100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is being filed by P10, Inc., a Delaware corporation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to register an additional 11,000,000 shares of the Registrant’s Class A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that may be offered and sold under the P10, Inc. 2021 Incentive Plan (as amended,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which shares of Common Stock are in addition to the securities for which a registration statement on Form S-8 was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May 5, 2022 (File No. 333-264882) (the “</w:t>
      </w:r>
      <w:r>
        <w:rPr>
          <w:rFonts w:ascii="Times New Roman" w:cs="Times New Roman" w:eastAsia="Times New Roman" w:hAnsi="Times New Roman"/>
          <w:sz w:val="18"/>
          <w:szCs w:val="18"/>
          <w:b w:val="1"/>
          <w:bCs w:val="1"/>
          <w:color w:val="auto"/>
        </w:rPr>
        <w:t>2022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and on January 26, 2023 (File No. 333-269425) (the “</w:t>
      </w:r>
      <w:r>
        <w:rPr>
          <w:rFonts w:ascii="Times New Roman" w:cs="Times New Roman" w:eastAsia="Times New Roman" w:hAnsi="Times New Roman"/>
          <w:sz w:val="18"/>
          <w:szCs w:val="18"/>
          <w:b w:val="1"/>
          <w:bCs w:val="1"/>
          <w:color w:val="auto"/>
        </w:rPr>
        <w:t>2023 Registration Statement</w:t>
      </w:r>
      <w:r>
        <w:rPr>
          <w:rFonts w:ascii="Times New Roman" w:cs="Times New Roman" w:eastAsia="Times New Roman" w:hAnsi="Times New Roman"/>
          <w:sz w:val="18"/>
          <w:szCs w:val="18"/>
          <w:color w:val="auto"/>
        </w:rPr>
        <w:t>”). On February 27, 2024, the Board of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adopted, subject to the requisite stockholders’ approval, an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Plan to increase the number of shares of Common Stock that may be issued under the Plan by 11,000,000 shares. The Registrant’s stockholders approved the Amendment at its 2024 Annual Meeting of Stockholders.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Registration Statement relates to securities of the same class as those to which the 2022 Registration Statement and 2023 Registration Statement related, and is submitted in accordance with General Instruction E to Form S-8 regarding the Registration of Additional Securities. Pursuant to Instruction E of Form S-8, the contents of the 2022 Registration Statement and the 2023 Registration Statement are incorporated herein by reference and made a part of this Registration Statement, except as modified or supplemented by the information set forth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The following documents filed with the Commission by the Registrant pursuant to the Securities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are hereby incorporated by reference in this Registration Statement:</w:t>
      </w:r>
    </w:p>
    <w:p>
      <w:pPr>
        <w:spacing w:after="0" w:line="64" w:lineRule="exact"/>
        <w:rPr>
          <w:sz w:val="20"/>
          <w:szCs w:val="20"/>
          <w:color w:val="auto"/>
        </w:rPr>
      </w:pPr>
    </w:p>
    <w:p>
      <w:pPr>
        <w:ind w:left="960" w:right="5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Commission on March 13, 2024 (the “</w:t>
      </w:r>
      <w:r>
        <w:rPr>
          <w:rFonts w:ascii="Times New Roman" w:cs="Times New Roman" w:eastAsia="Times New Roman" w:hAnsi="Times New Roman"/>
          <w:sz w:val="18"/>
          <w:szCs w:val="18"/>
          <w:b w:val="1"/>
          <w:bCs w:val="1"/>
          <w:color w:val="auto"/>
        </w:rPr>
        <w:t>2023 Annual Report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Commission on May 9, 2024;</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(other than information furnished rather than filed) (including amendments) filed with the SEC on </w:t>
      </w:r>
      <w:hyperlink r:id="rId20">
        <w:r>
          <w:rPr>
            <w:rFonts w:ascii="Times New Roman" w:cs="Times New Roman" w:eastAsia="Times New Roman" w:hAnsi="Times New Roman"/>
            <w:sz w:val="18"/>
            <w:szCs w:val="18"/>
            <w:u w:val="single" w:color="auto"/>
            <w:color w:val="0000EE"/>
          </w:rPr>
          <w:t>February 9, 2024</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April 22, 2024</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May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
        <w:r>
          <w:rPr>
            <w:rFonts w:ascii="Times New Roman" w:cs="Times New Roman" w:eastAsia="Times New Roman" w:hAnsi="Times New Roman"/>
            <w:sz w:val="18"/>
            <w:szCs w:val="18"/>
            <w:u w:val="single" w:color="auto"/>
            <w:color w:val="0000EE"/>
          </w:rPr>
          <w:t>June 17,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24">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for the 2024 Annual Meeting of Stockholders filed with the SEC on April 24, 2024; and</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25">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2023 Annual Report and any amendment or report filed for the purpose of further updating such description.</w:t>
      </w:r>
    </w:p>
    <w:p>
      <w:pPr>
        <w:spacing w:after="0" w:line="162" w:lineRule="exact"/>
        <w:rPr>
          <w:rFonts w:ascii="Times New Roman" w:cs="Times New Roman" w:eastAsia="Times New Roman" w:hAnsi="Times New Roman"/>
          <w:sz w:val="18"/>
          <w:szCs w:val="18"/>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of the documents that the Registrant subsequently files with the Commission pursuant to Sections 13(a), 13(c), 14 and 15(d) of the Exchange Act (except for any portions of the Registrant’s Current Reports on Form 8-K furnished pursuant to Item 2.02 or Item 7.01 thereof and any corresponding exhibits thereto not filed with the Commission),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date of filing of such documents.</w:t>
      </w:r>
    </w:p>
    <w:p>
      <w:pPr>
        <w:sectPr>
          <w:pgSz w:w="11900" w:h="16838" w:orient="portrait"/>
          <w:cols w:equalWidth="0" w:num="1">
            <w:col w:w="11000"/>
          </w:cols>
          <w:pgMar w:left="440" w:top="266" w:right="459" w:bottom="1440" w:gutter="0" w:footer="0" w:header="0"/>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accompanying Exhibit Index are filed as part of, and incorporated by reference into, this Registration Statement.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40" w:type="dxa"/>
            <w:vAlign w:val="bottom"/>
            <w:gridSpan w:val="7"/>
          </w:tcPr>
          <w:p>
            <w:pPr>
              <w:ind w:left="114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960" w:type="dxa"/>
            <w:vAlign w:val="bottom"/>
            <w:gridSpan w:val="13"/>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Certificate of Incorporation of P10, Inc. (incorporated by reference to Exhibit 3.1 to the Registrant’s Current</w:t>
              </w:r>
            </w:hyperlink>
          </w:p>
        </w:tc>
      </w:tr>
      <w:tr>
        <w:trPr>
          <w:trHeight w:val="196"/>
        </w:trPr>
        <w:tc>
          <w:tcPr>
            <w:tcW w:w="1040" w:type="dxa"/>
            <w:vAlign w:val="bottom"/>
          </w:tcPr>
          <w:p>
            <w:pPr>
              <w:spacing w:after="0"/>
              <w:rPr>
                <w:sz w:val="17"/>
                <w:szCs w:val="17"/>
                <w:color w:val="auto"/>
              </w:rPr>
            </w:pPr>
          </w:p>
        </w:tc>
        <w:tc>
          <w:tcPr>
            <w:tcW w:w="95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Report on Form 8-K filed on October 26, 2021)</w:t>
              </w:r>
              <w:r>
                <w:rPr>
                  <w:rFonts w:ascii="Times New Roman" w:cs="Times New Roman" w:eastAsia="Times New Roman" w:hAnsi="Times New Roman"/>
                  <w:sz w:val="18"/>
                  <w:szCs w:val="18"/>
                  <w:color w:val="000000"/>
                </w:rPr>
                <w:t>.</w:t>
              </w:r>
            </w:hyperlink>
          </w:p>
        </w:tc>
        <w:tc>
          <w:tcPr>
            <w:tcW w:w="46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9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Amended and Restated Bylaws of P10, Inc. (incorporated by reference to Exhibit 3.2 to the Registrant’s Current Report on Form 8-K filed</w:t>
              </w:r>
            </w:hyperlink>
          </w:p>
        </w:tc>
      </w:tr>
      <w:tr>
        <w:trPr>
          <w:trHeight w:val="196"/>
        </w:trPr>
        <w:tc>
          <w:tcPr>
            <w:tcW w:w="1040" w:type="dxa"/>
            <w:vAlign w:val="bottom"/>
          </w:tcPr>
          <w:p>
            <w:pPr>
              <w:spacing w:after="0"/>
              <w:rPr>
                <w:sz w:val="17"/>
                <w:szCs w:val="17"/>
                <w:color w:val="auto"/>
              </w:rPr>
            </w:pPr>
          </w:p>
        </w:tc>
        <w:tc>
          <w:tcPr>
            <w:tcW w:w="9960" w:type="dxa"/>
            <w:vAlign w:val="bottom"/>
            <w:gridSpan w:val="13"/>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on October 26, 2021)</w:t>
              </w:r>
              <w:r>
                <w:rPr>
                  <w:rFonts w:ascii="Times New Roman" w:cs="Times New Roman" w:eastAsia="Times New Roman" w:hAnsi="Times New Roman"/>
                  <w:sz w:val="18"/>
                  <w:szCs w:val="18"/>
                  <w:color w:val="000000"/>
                </w:rPr>
                <w:t>.</w:t>
              </w:r>
            </w:hyperlink>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8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P10, Inc. 2021 Equity Incentive Plan, as amended (incorporated by reference to Exhibit 10.1 to the Registrant’s Current Report on Form</w:t>
              </w:r>
            </w:hyperlink>
          </w:p>
        </w:tc>
        <w:tc>
          <w:tcPr>
            <w:tcW w:w="16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60" w:type="dxa"/>
            <w:vAlign w:val="bottom"/>
            <w:gridSpan w:val="1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8-K filed on December 13, 2022)</w:t>
              </w:r>
              <w:r>
                <w:rPr>
                  <w:rFonts w:ascii="Times New Roman" w:cs="Times New Roman" w:eastAsia="Times New Roman" w:hAnsi="Times New Roman"/>
                  <w:sz w:val="18"/>
                  <w:szCs w:val="18"/>
                  <w:color w:val="000000"/>
                </w:rPr>
                <w:t>.</w:t>
              </w:r>
            </w:hyperlink>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960" w:type="dxa"/>
            <w:vAlign w:val="bottom"/>
            <w:gridSpan w:val="13"/>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Amendment No. 1 to P10, Inc. 2021 Equity Incentive Plan (incorporated by reference to Exhibit 10.1 to the Registrant’s Current Report</w:t>
              </w:r>
            </w:hyperlink>
          </w:p>
        </w:tc>
      </w:tr>
      <w:tr>
        <w:trPr>
          <w:trHeight w:val="196"/>
        </w:trPr>
        <w:tc>
          <w:tcPr>
            <w:tcW w:w="1040" w:type="dxa"/>
            <w:vAlign w:val="bottom"/>
          </w:tcPr>
          <w:p>
            <w:pPr>
              <w:spacing w:after="0"/>
              <w:rPr>
                <w:sz w:val="17"/>
                <w:szCs w:val="17"/>
                <w:color w:val="auto"/>
              </w:rPr>
            </w:pPr>
          </w:p>
        </w:tc>
        <w:tc>
          <w:tcPr>
            <w:tcW w:w="97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on Form 8-K filed on June 17, 2024).</w:t>
              </w:r>
            </w:hyperlink>
          </w:p>
        </w:tc>
        <w:tc>
          <w:tcPr>
            <w:tcW w:w="20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99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Opinion of Kramer Levin Naftalis &amp; Frankel LLP.</w:t>
            </w:r>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3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 Accounting Firm.</w:t>
            </w:r>
          </w:p>
        </w:tc>
        <w:tc>
          <w:tcPr>
            <w:tcW w:w="4640" w:type="dxa"/>
            <w:vAlign w:val="bottom"/>
            <w:gridSpan w:val="6"/>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9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Kramer Levin Naftalis &amp; Frankel LLP (included as part of Exhibit 5.1).</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9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Power of Attorney (included in the signature pages to this Registration Statement).</w:t>
            </w:r>
          </w:p>
        </w:tc>
        <w:tc>
          <w:tcPr>
            <w:tcW w:w="20" w:type="dxa"/>
            <w:vAlign w:val="bottom"/>
            <w:tcBorders>
              <w:top w:val="single" w:sz="8" w:color="0000EE"/>
            </w:tcBorders>
          </w:tcPr>
          <w:p>
            <w:pPr>
              <w:spacing w:after="0"/>
              <w:rPr>
                <w:sz w:val="24"/>
                <w:szCs w:val="24"/>
                <w:color w:val="auto"/>
              </w:rPr>
            </w:pPr>
          </w:p>
        </w:tc>
        <w:tc>
          <w:tcPr>
            <w:tcW w:w="3980" w:type="dxa"/>
            <w:vAlign w:val="bottom"/>
            <w:gridSpan w:val="4"/>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740" w:type="dxa"/>
            <w:vAlign w:val="bottom"/>
            <w:gridSpan w:val="12"/>
          </w:tcPr>
          <w:p>
            <w:pPr>
              <w:spacing w:after="0"/>
              <w:rPr>
                <w:sz w:val="24"/>
                <w:szCs w:val="24"/>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000"/>
          </w:cols>
          <w:pgMar w:left="440" w:top="270" w:right="45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July 12,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Luke A. Sarsfield III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Luke A. Sarsfield III, Amanda Coussens and Melodie Craft,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92" w:lineRule="exact"/>
        <w:rPr>
          <w:sz w:val="20"/>
          <w:szCs w:val="20"/>
          <w:color w:val="auto"/>
        </w:rPr>
      </w:pPr>
    </w:p>
    <w:p>
      <w:pPr>
        <w:ind w:right="420"/>
        <w:spacing w:after="0" w:line="29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and power of attorney has been signed by the following persons in the capacities indicated on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July, 2024.</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654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5"/>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Luke A. Sarsfield III</w:t>
            </w:r>
          </w:p>
        </w:tc>
        <w:tc>
          <w:tcPr>
            <w:tcW w:w="65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Luke A. Sarsfield III</w:t>
            </w:r>
          </w:p>
        </w:tc>
        <w:tc>
          <w:tcPr>
            <w:tcW w:w="65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rPr>
              <w:t>(Principal Executive Officer) and Director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Amanda Coussens</w:t>
            </w:r>
          </w:p>
        </w:tc>
        <w:tc>
          <w:tcPr>
            <w:tcW w:w="65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 and Principal Accounting Officer)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Amanda Coussens</w:t>
            </w:r>
          </w:p>
        </w:tc>
        <w:tc>
          <w:tcPr>
            <w:tcW w:w="65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Alpert</w:t>
            </w:r>
          </w:p>
        </w:tc>
        <w:tc>
          <w:tcPr>
            <w:tcW w:w="65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Alpert</w:t>
            </w:r>
          </w:p>
        </w:tc>
        <w:tc>
          <w:tcPr>
            <w:tcW w:w="65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Travis Barnes</w:t>
            </w:r>
          </w:p>
        </w:tc>
        <w:tc>
          <w:tcPr>
            <w:tcW w:w="65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Travis Barnes</w:t>
            </w:r>
          </w:p>
        </w:tc>
        <w:tc>
          <w:tcPr>
            <w:tcW w:w="65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Tracey Benford</w:t>
            </w:r>
          </w:p>
        </w:tc>
        <w:tc>
          <w:tcPr>
            <w:tcW w:w="65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Tracey Benford</w:t>
            </w:r>
          </w:p>
        </w:tc>
        <w:tc>
          <w:tcPr>
            <w:tcW w:w="65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Gwilliam</w:t>
            </w:r>
          </w:p>
        </w:tc>
        <w:tc>
          <w:tcPr>
            <w:tcW w:w="65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Gwilliam</w:t>
            </w:r>
          </w:p>
        </w:tc>
        <w:tc>
          <w:tcPr>
            <w:tcW w:w="65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McCoy</w:t>
            </w:r>
          </w:p>
        </w:tc>
        <w:tc>
          <w:tcPr>
            <w:tcW w:w="65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McCoy</w:t>
            </w:r>
          </w:p>
        </w:tc>
        <w:tc>
          <w:tcPr>
            <w:tcW w:w="6540" w:type="dxa"/>
            <w:vAlign w:val="bottom"/>
          </w:tcPr>
          <w:p>
            <w:pPr>
              <w:spacing w:after="0"/>
              <w:rPr>
                <w:sz w:val="19"/>
                <w:szCs w:val="19"/>
                <w:color w:val="auto"/>
              </w:rPr>
            </w:pPr>
          </w:p>
        </w:tc>
      </w:tr>
    </w:tbl>
    <w:p>
      <w:pPr>
        <w:sectPr>
          <w:pgSz w:w="11900" w:h="16838" w:orient="portrait"/>
          <w:cols w:equalWidth="0" w:num="1">
            <w:col w:w="10880"/>
          </w:cols>
          <w:pgMar w:left="440" w:top="266" w:right="57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740" w:type="dxa"/>
            <w:vAlign w:val="bottom"/>
          </w:tcPr>
          <w:p>
            <w:pPr>
              <w:jc w:val="center"/>
              <w:ind w:left="3035"/>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5"/>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Edwin Poston</w:t>
            </w:r>
          </w:p>
        </w:tc>
        <w:tc>
          <w:tcPr>
            <w:tcW w:w="3740" w:type="dxa"/>
            <w:vAlign w:val="bottom"/>
          </w:tcPr>
          <w:p>
            <w:pPr>
              <w:jc w:val="center"/>
              <w:ind w:left="3055"/>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Edwin Poston</w:t>
            </w:r>
          </w:p>
        </w:tc>
        <w:tc>
          <w:tcPr>
            <w:tcW w:w="37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B. Stewart, Jr.</w:t>
            </w:r>
          </w:p>
        </w:tc>
        <w:tc>
          <w:tcPr>
            <w:tcW w:w="3740" w:type="dxa"/>
            <w:vAlign w:val="bottom"/>
          </w:tcPr>
          <w:p>
            <w:pPr>
              <w:jc w:val="center"/>
              <w:ind w:left="3055"/>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B. Stewart, Jr.</w:t>
            </w:r>
          </w:p>
        </w:tc>
        <w:tc>
          <w:tcPr>
            <w:tcW w:w="37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 Clark Webb</w:t>
            </w:r>
          </w:p>
        </w:tc>
        <w:tc>
          <w:tcPr>
            <w:tcW w:w="3740" w:type="dxa"/>
            <w:vAlign w:val="bottom"/>
          </w:tcPr>
          <w:p>
            <w:pPr>
              <w:jc w:val="center"/>
              <w:ind w:left="3055"/>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 Clark Webb</w:t>
            </w:r>
          </w:p>
        </w:tc>
        <w:tc>
          <w:tcPr>
            <w:tcW w:w="3740" w:type="dxa"/>
            <w:vAlign w:val="bottom"/>
          </w:tcPr>
          <w:p>
            <w:pPr>
              <w:spacing w:after="0"/>
              <w:rPr>
                <w:sz w:val="19"/>
                <w:szCs w:val="19"/>
                <w:color w:val="auto"/>
              </w:rPr>
            </w:pPr>
          </w:p>
        </w:tc>
      </w:tr>
    </w:tbl>
    <w:p>
      <w:pPr>
        <w:sectPr>
          <w:pgSz w:w="11900" w:h="16838" w:orient="portrait"/>
          <w:cols w:equalWidth="0" w:num="1">
            <w:col w:w="10019"/>
          </w:cols>
          <w:pgMar w:left="440" w:top="263"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July 12, 2024</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P10,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Dallas, Texas 75205</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We have acted as counsel to P10, Inc., a Delaware corporation (the “Registrant”), in connection with the preparation and filing by the Registrant of a Registration Statement on Form S-8 (the “Registration Statement”) with the Securities and Exchange Commission (the “Commission”), with respect to the registration under the Securities Act of 1933, as amended (the “Act”), of an aggregate of 11,000,000 shares of the Registrant’s common stock, par value $0.001 per share (the “Shares”), which may be issued pursuant to the P10, Inc. 2021 Incentive Plan (as amended, the “Plan”).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have reviewed copies of (i) the Registration Statement, in substantially the form filed or to be filed with the Commission pursuant to the Act,</w:t>
      </w:r>
    </w:p>
    <w:p>
      <w:pPr>
        <w:spacing w:after="0" w:line="27" w:lineRule="exact"/>
        <w:rPr>
          <w:sz w:val="20"/>
          <w:szCs w:val="20"/>
          <w:color w:val="auto"/>
        </w:rPr>
      </w:pPr>
    </w:p>
    <w:p>
      <w:pPr>
        <w:ind w:left="4" w:right="460" w:hanging="4"/>
        <w:spacing w:after="0" w:line="290" w:lineRule="auto"/>
        <w:tabs>
          <w:tab w:leader="none" w:pos="26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(iii) the Registrant’s certificate of incorporation and bylaws, each as currently in effect on the date hereof, and (iv) resolutions of the Compensation Committee and Board of Directors of the Registrant relating to the approval of the Plan and the filing of the Registration Statement.</w:t>
      </w:r>
    </w:p>
    <w:p>
      <w:pPr>
        <w:spacing w:after="0" w:line="157"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We have also reviewed such other documents and made such other investigations as we have deemed appropriate. As to various questions of fact material to this opinion, we have relied upon statements, representations and certificates of officers or representatives of the Registrant, public officials and others. We have not independently verified the facts so relied on.</w:t>
      </w:r>
    </w:p>
    <w:p>
      <w:pPr>
        <w:spacing w:after="0" w:line="176"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limitations and assumptions set forth herein, we are of the opinion that the Shares have been duly authorized and, upon the issuance thereof and payment therefor in accordance with the terms stated in the Plan or in the award agreements entered into pursuant thereto, will be legally issued, fully paid and non-assessable.</w:t>
      </w:r>
    </w:p>
    <w:p>
      <w:pPr>
        <w:spacing w:after="0" w:line="176"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We do not express any opinion with respect to any law other than the General Corporation Law of the State of Delaware. This opinion is rendered only with respect to the laws and legal interpretations and the facts and circumstances in effect on the date hereof.</w:t>
      </w:r>
    </w:p>
    <w:p>
      <w:pPr>
        <w:spacing w:after="0" w:line="162"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use of this opinion as an exhibit to the Registration Statement. In giving this consent, we do not thereby admit that we are within the category of persons whose consent is required under Section 7 of the Act or the rules and regulations promulgated thereunder.</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Kramer Levin Naftalis &amp; Frankel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KRAMER LEVIN NAFTALIS &amp; FRANKEL LLP</w:t>
      </w:r>
    </w:p>
    <w:p>
      <w:pPr>
        <w:sectPr>
          <w:pgSz w:w="11900" w:h="16838" w:orient="portrait"/>
          <w:cols w:equalWidth="0" w:num="1">
            <w:col w:w="11024"/>
          </w:cols>
          <w:pgMar w:left="436"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12, 2024, with respect to the consolidated financial statements of P10, Inc.,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2024</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320" w:type="dxa"/>
            <w:vAlign w:val="bottom"/>
            <w:tcBorders>
              <w:top w:val="single" w:sz="8" w:color="auto"/>
              <w:left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0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35"/>
        </w:trPr>
        <w:tc>
          <w:tcPr>
            <w:tcW w:w="132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6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9"/>
        </w:trPr>
        <w:tc>
          <w:tcPr>
            <w:tcW w:w="132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95"/>
              </w:rPr>
              <w:t>Security Type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 (1)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6"/>
        </w:trPr>
        <w:tc>
          <w:tcPr>
            <w:tcW w:w="1320" w:type="dxa"/>
            <w:vAlign w:val="bottom"/>
            <w:tcBorders>
              <w:left w:val="single" w:sz="8" w:color="auto"/>
              <w:right w:val="single" w:sz="8" w:color="auto"/>
            </w:tcBorders>
          </w:tcPr>
          <w:p>
            <w:pPr>
              <w:jc w:val="center"/>
              <w:ind w:left="8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4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Class A common</w:t>
            </w:r>
          </w:p>
        </w:tc>
        <w:tc>
          <w:tcPr>
            <w:tcW w:w="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6"/>
        </w:trPr>
        <w:tc>
          <w:tcPr>
            <w:tcW w:w="13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 value</w:t>
            </w:r>
          </w:p>
        </w:tc>
        <w:tc>
          <w:tcPr>
            <w:tcW w:w="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$147.60 per</w:t>
            </w:r>
          </w:p>
        </w:tc>
        <w:tc>
          <w:tcPr>
            <w:tcW w:w="1000" w:type="dxa"/>
            <w:vAlign w:val="bottom"/>
            <w:tcBorders>
              <w:right w:val="single" w:sz="8" w:color="auto"/>
            </w:tcBorders>
          </w:tcPr>
          <w:p>
            <w:pPr>
              <w:spacing w:after="0"/>
              <w:rPr>
                <w:sz w:val="18"/>
                <w:szCs w:val="18"/>
                <w:color w:val="auto"/>
              </w:rPr>
            </w:pPr>
          </w:p>
        </w:tc>
      </w:tr>
      <w:tr>
        <w:trPr>
          <w:trHeight w:val="241"/>
        </w:trPr>
        <w:tc>
          <w:tcPr>
            <w:tcW w:w="1320" w:type="dxa"/>
            <w:vAlign w:val="bottom"/>
            <w:tcBorders>
              <w:left w:val="single" w:sz="8" w:color="auto"/>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$0.001 per share</w:t>
            </w: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11,000,000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$8.345 (2)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$91,795,000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$13,548.94</w:t>
            </w:r>
          </w:p>
        </w:tc>
      </w:tr>
      <w:tr>
        <w:trPr>
          <w:trHeight w:val="239"/>
        </w:trPr>
        <w:tc>
          <w:tcPr>
            <w:tcW w:w="1320" w:type="dxa"/>
            <w:vAlign w:val="bottom"/>
            <w:tcBorders>
              <w:left w:val="single" w:sz="8" w:color="auto"/>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$91,795,000</w:t>
            </w: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$13,548.94</w:t>
            </w:r>
          </w:p>
        </w:tc>
      </w:tr>
      <w:tr>
        <w:trPr>
          <w:trHeight w:val="237"/>
        </w:trPr>
        <w:tc>
          <w:tcPr>
            <w:tcW w:w="1320" w:type="dxa"/>
            <w:vAlign w:val="bottom"/>
            <w:tcBorders>
              <w:left w:val="single" w:sz="8" w:color="auto"/>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7"/>
        </w:trPr>
        <w:tc>
          <w:tcPr>
            <w:tcW w:w="1320" w:type="dxa"/>
            <w:vAlign w:val="bottom"/>
            <w:tcBorders>
              <w:left w:val="single" w:sz="8" w:color="auto"/>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left="419"/>
              <w:spacing w:after="0"/>
              <w:rPr>
                <w:sz w:val="20"/>
                <w:szCs w:val="20"/>
                <w:color w:val="auto"/>
              </w:rPr>
            </w:pPr>
            <w:r>
              <w:rPr>
                <w:rFonts w:ascii="Times New Roman" w:cs="Times New Roman" w:eastAsia="Times New Roman" w:hAnsi="Times New Roman"/>
                <w:sz w:val="18"/>
                <w:szCs w:val="18"/>
                <w:color w:val="auto"/>
                <w:w w:val="98"/>
              </w:rPr>
              <w:t>Net Fee Due</w:t>
            </w:r>
          </w:p>
        </w:tc>
        <w:tc>
          <w:tcPr>
            <w:tcW w:w="6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$13,548.94</w:t>
            </w:r>
          </w:p>
        </w:tc>
      </w:tr>
    </w:tbl>
    <w:p>
      <w:pPr>
        <w:spacing w:after="0" w:line="225" w:lineRule="exact"/>
        <w:rPr>
          <w:sz w:val="20"/>
          <w:szCs w:val="20"/>
          <w:color w:val="auto"/>
        </w:rPr>
      </w:pPr>
    </w:p>
    <w:p>
      <w:pPr>
        <w:ind w:left="424" w:right="60" w:hanging="424"/>
        <w:spacing w:after="0" w:line="25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11,000,000 additional shares of common stock, par value $0.001 per share (the “Common Stock”) of P10, Inc., a Delaware corporation, reserved and available for delivery with respect to awards under the P10, Inc. 2021 Incentive Plan, as amended (the “Plan”). Pursuant to Rule 416(a) of the Securities Act of 1933, as amended (the “Securities Act”), this Registration Statement shall also cover any additional shares of Common Stock that become issuable under the Plan by reason of any stock dividend, stock split, recapitalization or other similar transaction effected without receipt of consideration that increases the number of outstanding shares of Common Stock.</w:t>
      </w:r>
    </w:p>
    <w:p>
      <w:pPr>
        <w:spacing w:after="0" w:line="3" w:lineRule="exact"/>
        <w:rPr>
          <w:rFonts w:ascii="Times New Roman" w:cs="Times New Roman" w:eastAsia="Times New Roman" w:hAnsi="Times New Roman"/>
          <w:sz w:val="18"/>
          <w:szCs w:val="18"/>
          <w:color w:val="auto"/>
        </w:rPr>
      </w:pPr>
    </w:p>
    <w:p>
      <w:pPr>
        <w:ind w:left="424" w:right="8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of the Securities Act, solely for the purpose of calculating the registration fee. The proposed maximum offering price per share is based on the average of the high and low prices reported by the New York Stock Exchange on July 8, 2024 which is within five (5) business days prior to the date of this Registration Statement.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18" Type="http://schemas.openxmlformats.org/officeDocument/2006/relationships/hyperlink" Target="http://www.sec.gov/ix?doc=/Archives/edgar/data/1841968/000095017024030461/px-20231231.htm" TargetMode="External"/><Relationship Id="rId19" Type="http://schemas.openxmlformats.org/officeDocument/2006/relationships/hyperlink" Target="http://www.sec.gov/ix?doc=/Archives/edgar/data/1841968/000095017024056908/px-20240331.htm" TargetMode="External"/><Relationship Id="rId20" Type="http://schemas.openxmlformats.org/officeDocument/2006/relationships/hyperlink" Target="http://www.sec.gov/ix?doc=/Archives/edgar/data/1841968/000095017024013368/px-20240206.htm" TargetMode="External"/><Relationship Id="rId21" Type="http://schemas.openxmlformats.org/officeDocument/2006/relationships/hyperlink" Target="http://www.sec.gov/ix?doc=/Archives/edgar/data/1841968/000095017024046364/px-20240422.htm" TargetMode="External"/><Relationship Id="rId22" Type="http://schemas.openxmlformats.org/officeDocument/2006/relationships/hyperlink" Target="http://www.sec.gov/ix?doc=/Archives/edgar/data/1841968/000095017024055658/px-20240506.htm" TargetMode="External"/><Relationship Id="rId23" Type="http://schemas.openxmlformats.org/officeDocument/2006/relationships/hyperlink" Target="http://www.sec.gov/Archives/edgar/data/1841968/000095017024074124/px-20240614.htm" TargetMode="External"/><Relationship Id="rId24" Type="http://schemas.openxmlformats.org/officeDocument/2006/relationships/hyperlink" Target="http://www.sec.gov/Archives/edgar/data/1841968/000095017024047664/p10_proxy_2023_-_no_xbrl.htm" TargetMode="External"/><Relationship Id="rId25" Type="http://schemas.openxmlformats.org/officeDocument/2006/relationships/hyperlink" Target="http://www.sec.gov/Archives/edgar/data/1841968/000095017024030461/px-ex4_3.htm" TargetMode="External"/><Relationship Id="rId27" Type="http://schemas.openxmlformats.org/officeDocument/2006/relationships/hyperlink" Target="http://www.sec.gov/Archives/edgar/data/1841968/000119312521308150/d247132dex31.htm" TargetMode="External"/><Relationship Id="rId28" Type="http://schemas.openxmlformats.org/officeDocument/2006/relationships/hyperlink" Target="http://www.sec.gov/Archives/edgar/data/1841968/000119312521308150/d247132dex32.htm" TargetMode="External"/><Relationship Id="rId29" Type="http://schemas.openxmlformats.org/officeDocument/2006/relationships/hyperlink" Target="http://www.sec.gov/Archives/edgar/data/1841968/000119312522304161/d412423dex101.htm" TargetMode="External"/><Relationship Id="rId30" Type="http://schemas.openxmlformats.org/officeDocument/2006/relationships/hyperlink" Target="http://www.sec.gov/Archives/edgar/data/1841968/000095017024074124/p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2024-07-12T16:44:43Z</dcterms:created>
  <dcterms:modified xsi:type="dcterms:W3CDTF">2024-07-12T16:44:43Z</dcterms:modified>
</cp:coreProperties>
</file>