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Name of Issuer: ACTIVE POWER INC.</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CUSIP Number: 00504W100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Date of Event Which Requires Filing of This Statement: December 31, 2005</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Check the appropriate box to designate the rule pursuant</w:t>
      </w:r>
    </w:p>
    <w:p>
      <w:pPr>
        <w:spacing w:after="0" w:line="2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to which this Schedule is filed:</w:t>
      </w:r>
    </w:p>
    <w:p>
      <w:pPr>
        <w:jc w:val="both"/>
        <w:ind w:left="3280" w:right="5159" w:hanging="6"/>
        <w:spacing w:after="0" w:line="323" w:lineRule="auto"/>
        <w:tabs>
          <w:tab w:leader="none" w:pos="37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13s-1(d)</w:t>
      </w:r>
    </w:p>
    <w:p>
      <w:pPr>
        <w:spacing w:after="0" w:line="47" w:lineRule="exact"/>
        <w:rPr>
          <w:sz w:val="24"/>
          <w:szCs w:val="24"/>
          <w:color w:val="auto"/>
        </w:rPr>
      </w:pPr>
    </w:p>
    <w:p>
      <w:pPr>
        <w:ind w:left="120" w:right="1879"/>
        <w:spacing w:after="0" w:line="24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ind w:left="120" w:right="2099"/>
        <w:spacing w:after="0" w:line="262" w:lineRule="auto"/>
        <w:rPr>
          <w:sz w:val="20"/>
          <w:szCs w:val="20"/>
          <w:color w:val="auto"/>
        </w:rPr>
      </w:pPr>
      <w:r>
        <w:rPr>
          <w:rFonts w:ascii="Courier New" w:cs="Courier New" w:eastAsia="Courier New" w:hAnsi="Courier New"/>
          <w:sz w:val="18"/>
          <w:szCs w:val="18"/>
          <w:color w:val="auto"/>
        </w:rPr>
        <w:t>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3" w:lineRule="exact"/>
        <w:rPr>
          <w:sz w:val="24"/>
          <w:szCs w:val="24"/>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and S.S. or I.R.S. Identification</w:t>
      </w:r>
    </w:p>
    <w:p>
      <w:pPr>
        <w:spacing w:after="0" w:line="29" w:lineRule="exact"/>
        <w:rPr>
          <w:sz w:val="24"/>
          <w:szCs w:val="24"/>
          <w:color w:val="auto"/>
        </w:rPr>
      </w:pP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No of Above Person:</w:t>
      </w:r>
      <w:r>
        <w:rPr>
          <w:sz w:val="20"/>
          <w:szCs w:val="20"/>
          <w:color w:val="auto"/>
        </w:rPr>
        <w:tab/>
      </w:r>
      <w:r>
        <w:rPr>
          <w:rFonts w:ascii="Courier New" w:cs="Courier New" w:eastAsia="Courier New" w:hAnsi="Courier New"/>
          <w:sz w:val="16"/>
          <w:szCs w:val="16"/>
          <w:color w:val="auto"/>
        </w:rPr>
        <w:t>Dawson Herman Capital Management Inc.</w:t>
      </w: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Tax ID:</w:t>
      </w:r>
      <w:r>
        <w:rPr>
          <w:sz w:val="20"/>
          <w:szCs w:val="20"/>
          <w:color w:val="auto"/>
        </w:rPr>
        <w:tab/>
      </w:r>
      <w:r>
        <w:rPr>
          <w:rFonts w:ascii="Courier New" w:cs="Courier New" w:eastAsia="Courier New" w:hAnsi="Courier New"/>
          <w:sz w:val="16"/>
          <w:szCs w:val="16"/>
          <w:color w:val="auto"/>
        </w:rPr>
        <w:t>06-1033494</w:t>
      </w:r>
    </w:p>
    <w:p>
      <w:pPr>
        <w:spacing w:after="0" w:line="169" w:lineRule="exact"/>
        <w:rPr>
          <w:sz w:val="24"/>
          <w:szCs w:val="24"/>
          <w:color w:val="auto"/>
        </w:rPr>
      </w:pPr>
    </w:p>
    <w:p>
      <w:pPr>
        <w:ind w:left="860" w:right="4419" w:hanging="852"/>
        <w:spacing w:after="0" w:line="257" w:lineRule="auto"/>
        <w:tabs>
          <w:tab w:leader="none" w:pos="7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169"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right="5579" w:hanging="852"/>
        <w:spacing w:after="0" w:line="347" w:lineRule="auto"/>
        <w:tabs>
          <w:tab w:leader="none" w:pos="75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Connecticut</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96"/>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5.</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3,474,530</w:t>
            </w:r>
          </w:p>
        </w:tc>
      </w:tr>
      <w:tr>
        <w:trPr>
          <w:trHeight w:val="405"/>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6.</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1480" w:hanging="735"/>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3,474,530</w:t>
      </w:r>
    </w:p>
    <w:p>
      <w:pPr>
        <w:spacing w:after="0" w:line="201" w:lineRule="exact"/>
        <w:rPr>
          <w:sz w:val="24"/>
          <w:szCs w:val="24"/>
          <w:color w:val="auto"/>
        </w:rPr>
      </w:pPr>
    </w:p>
    <w:p>
      <w:pPr>
        <w:ind w:left="740"/>
        <w:spacing w:after="0"/>
        <w:tabs>
          <w:tab w:leader="none" w:pos="1460" w:val="left"/>
          <w:tab w:leader="none" w:pos="526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0</w:t>
      </w:r>
    </w:p>
    <w:p>
      <w:pPr>
        <w:spacing w:after="0" w:line="201" w:lineRule="exact"/>
        <w:rPr>
          <w:sz w:val="24"/>
          <w:szCs w:val="24"/>
          <w:color w:val="auto"/>
        </w:rPr>
      </w:pPr>
    </w:p>
    <w:p>
      <w:pPr>
        <w:ind w:left="740" w:right="3039" w:hanging="732"/>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3,474,530</w:t>
      </w:r>
    </w:p>
    <w:p>
      <w:pPr>
        <w:spacing w:after="0" w:line="18"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4"/>
          <w:szCs w:val="24"/>
          <w:color w:val="auto"/>
        </w:rPr>
      </w:pPr>
    </w:p>
    <w:p>
      <w:pPr>
        <w:spacing w:after="0"/>
        <w:tabs>
          <w:tab w:leader="none" w:pos="720" w:val="left"/>
          <w:tab w:leader="none" w:pos="6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r>
        <w:rPr>
          <w:sz w:val="20"/>
          <w:szCs w:val="20"/>
          <w:color w:val="auto"/>
        </w:rPr>
        <w:tab/>
      </w:r>
      <w:r>
        <w:rPr>
          <w:rFonts w:ascii="Courier New" w:cs="Courier New" w:eastAsia="Courier New" w:hAnsi="Courier New"/>
          <w:sz w:val="16"/>
          <w:szCs w:val="16"/>
          <w:color w:val="auto"/>
        </w:rPr>
        <w:t>7.13%</w:t>
      </w:r>
    </w:p>
    <w:p>
      <w:pPr>
        <w:spacing w:after="0" w:line="201" w:lineRule="exact"/>
        <w:rPr>
          <w:sz w:val="24"/>
          <w:szCs w:val="24"/>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r>
        <w:rPr>
          <w:rFonts w:ascii="Courier New" w:cs="Courier New" w:eastAsia="Courier New" w:hAnsi="Courier New"/>
          <w:sz w:val="16"/>
          <w:szCs w:val="16"/>
          <w:color w:val="auto"/>
        </w:rPr>
        <w:t>IA, CO</w:t>
      </w:r>
    </w:p>
    <w:p>
      <w:pPr>
        <w:spacing w:after="0" w:line="200" w:lineRule="exact"/>
        <w:rPr>
          <w:sz w:val="24"/>
          <w:szCs w:val="24"/>
          <w:color w:val="auto"/>
        </w:rPr>
      </w:pPr>
    </w:p>
    <w:p>
      <w:pPr>
        <w:spacing w:after="0" w:line="204"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Item 1(a) Name of Issuer:</w:t>
      </w:r>
      <w:r>
        <w:rPr>
          <w:sz w:val="20"/>
          <w:szCs w:val="20"/>
          <w:color w:val="auto"/>
        </w:rPr>
        <w:tab/>
      </w:r>
      <w:r>
        <w:rPr>
          <w:rFonts w:ascii="Courier New" w:cs="Courier New" w:eastAsia="Courier New" w:hAnsi="Courier New"/>
          <w:sz w:val="16"/>
          <w:szCs w:val="16"/>
          <w:color w:val="auto"/>
        </w:rPr>
        <w:t>Active Power Inc.</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1(b) Address of Issuer's Principal Executive Offices:</w:t>
      </w:r>
    </w:p>
    <w:p>
      <w:pPr>
        <w:spacing w:after="0" w:line="3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2128 W. Braker Lane, BK12, Austin, TX 78758</w:t>
      </w:r>
    </w:p>
    <w:p>
      <w:pPr>
        <w:spacing w:after="0" w:line="169" w:lineRule="exact"/>
        <w:rPr>
          <w:sz w:val="24"/>
          <w:szCs w:val="24"/>
          <w:color w:val="auto"/>
        </w:rPr>
      </w:pPr>
    </w:p>
    <w:p>
      <w:pPr>
        <w:ind w:left="960" w:right="2319" w:hanging="947"/>
        <w:spacing w:after="0" w:line="344" w:lineRule="auto"/>
        <w:rPr>
          <w:sz w:val="20"/>
          <w:szCs w:val="20"/>
          <w:color w:val="auto"/>
        </w:rPr>
      </w:pPr>
      <w:r>
        <w:rPr>
          <w:rFonts w:ascii="Courier New" w:cs="Courier New" w:eastAsia="Courier New" w:hAnsi="Courier New"/>
          <w:sz w:val="16"/>
          <w:szCs w:val="16"/>
          <w:color w:val="auto"/>
        </w:rPr>
        <w:t>Item 2(a)-(c). Name, Principal Business Address, and Citizenship of Persons Filing: Dawson Herman Capital Management Inc., 354 Pequot Avenue, Southport, CT 06890, which is a Connecticut corporation.</w:t>
      </w:r>
    </w:p>
    <w:p>
      <w:pPr>
        <w:spacing w:after="0" w:line="31" w:lineRule="exact"/>
        <w:rPr>
          <w:sz w:val="24"/>
          <w:szCs w:val="24"/>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00504W100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This statement is filed pursuant to Rule 13d-1(b)(1)(ii)(E).</w:t>
      </w:r>
    </w:p>
    <w:p>
      <w:pPr>
        <w:sectPr>
          <w:pgSz w:w="11900" w:h="16838" w:orient="portrait"/>
          <w:cols w:equalWidth="0" w:num="1">
            <w:col w:w="10219"/>
          </w:cols>
          <w:pgMar w:left="240" w:top="218" w:right="1440" w:bottom="0" w:gutter="0" w:footer="0" w:header="0"/>
        </w:sectPr>
      </w:pPr>
    </w:p>
    <w:bookmarkStart w:id="1" w:name="page2"/>
    <w:bookmarkEnd w:id="1"/>
    <w:p>
      <w:pPr>
        <w:jc w:val="both"/>
        <w:ind w:left="860" w:right="2839"/>
        <w:spacing w:after="0" w:line="292" w:lineRule="auto"/>
        <w:rPr>
          <w:sz w:val="20"/>
          <w:szCs w:val="20"/>
          <w:color w:val="auto"/>
        </w:rPr>
      </w:pPr>
      <w:r>
        <w:rPr>
          <w:rFonts w:ascii="Courier New" w:cs="Courier New" w:eastAsia="Courier New" w:hAnsi="Courier New"/>
          <w:sz w:val="18"/>
          <w:szCs w:val="18"/>
          <w:color w:val="auto"/>
        </w:rPr>
        <w:t>Dawson Herman Capital Management Inc. is an investment adviser registered under Section 203 of the Investment Advisers Act of 1940.</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31" w:lineRule="exact"/>
        <w:rPr>
          <w:sz w:val="20"/>
          <w:szCs w:val="20"/>
          <w:color w:val="auto"/>
        </w:rPr>
      </w:pPr>
    </w:p>
    <w:p>
      <w:pPr>
        <w:ind w:left="860" w:right="2619"/>
        <w:spacing w:after="0" w:line="273" w:lineRule="auto"/>
        <w:rPr>
          <w:sz w:val="20"/>
          <w:szCs w:val="20"/>
          <w:color w:val="auto"/>
        </w:rPr>
      </w:pPr>
      <w:r>
        <w:rPr>
          <w:rFonts w:ascii="Courier New" w:cs="Courier New" w:eastAsia="Courier New" w:hAnsi="Courier New"/>
          <w:sz w:val="18"/>
          <w:szCs w:val="18"/>
          <w:color w:val="auto"/>
        </w:rPr>
        <w:t>Ownership as of December 31, 2005 is incorporated herein by reference from items (5) - (9) and (11) of the cover page of the Reporting Person.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2619" w:hanging="842"/>
        <w:spacing w:after="0" w:line="298" w:lineRule="auto"/>
        <w:rPr>
          <w:sz w:val="20"/>
          <w:szCs w:val="20"/>
          <w:color w:val="auto"/>
        </w:rPr>
      </w:pPr>
      <w:r>
        <w:rPr>
          <w:rFonts w:ascii="Courier New" w:cs="Courier New" w:eastAsia="Courier New" w:hAnsi="Courier New"/>
          <w:sz w:val="16"/>
          <w:szCs w:val="16"/>
          <w:color w:val="auto"/>
        </w:rPr>
        <w:t>Item 6. Ownership of More than Five Percent on Behalf of Another Person. The reporting person is an investment adviser registered under Section 203 of the Investment Advisers Act of 1940 and, as such, has beneficial ownership of the shares which are the subject of this filing through the investment discretion the reporting person exercises over its clients' accounts.</w:t>
      </w:r>
    </w:p>
    <w:p>
      <w:pPr>
        <w:spacing w:after="0" w:line="68" w:lineRule="exact"/>
        <w:rPr>
          <w:sz w:val="20"/>
          <w:szCs w:val="20"/>
          <w:color w:val="auto"/>
        </w:rPr>
      </w:pPr>
    </w:p>
    <w:p>
      <w:pPr>
        <w:ind w:left="860" w:right="1999" w:hanging="842"/>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the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01" w:lineRule="exact"/>
        <w:rPr>
          <w:sz w:val="20"/>
          <w:szCs w:val="20"/>
          <w:color w:val="auto"/>
        </w:rPr>
      </w:pPr>
    </w:p>
    <w:p>
      <w:pPr>
        <w:ind w:right="23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 or effect.</w:t>
      </w:r>
    </w:p>
    <w:p>
      <w:pPr>
        <w:spacing w:after="0" w:line="93" w:lineRule="exact"/>
        <w:rPr>
          <w:sz w:val="20"/>
          <w:szCs w:val="20"/>
          <w:color w:val="auto"/>
        </w:rPr>
      </w:pPr>
    </w:p>
    <w:p>
      <w:pPr>
        <w:ind w:right="1879"/>
        <w:spacing w:after="0" w:line="40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S. Galvin</w:t>
      </w:r>
    </w:p>
    <w:p>
      <w:pPr>
        <w:spacing w:after="0" w:line="3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CFO</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7"/>
    </w:lvl>
  </w:abstractNum>
  <w:abstractNum w:abstractNumId="4">
    <w:nsid w:val="507ED7AB"/>
    <w:multiLevelType w:val="hybridMultilevel"/>
    <w:lvl w:ilvl="0">
      <w:lvlJc w:val="left"/>
      <w:lvlText w:val="%1."/>
      <w:numFmt w:val="decimal"/>
      <w:start w:val="9"/>
    </w:lvl>
  </w:abstractNum>
  <w:abstractNum w:abstractNumId="5">
    <w:nsid w:val="2EB141F2"/>
    <w:multiLevelType w:val="hybridMultilevel"/>
    <w:lvl w:ilvl="0">
      <w:lvlJc w:val="left"/>
      <w:lvlText w:val="%1."/>
      <w:numFmt w:val="decimal"/>
      <w:start w:val="12"/>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2019-12-14T18:11:26Z</dcterms:created>
  <dcterms:modified xsi:type="dcterms:W3CDTF">2019-12-14T18:11:26Z</dcterms:modified>
</cp:coreProperties>
</file>