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-225425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5266690</wp:posOffset>
            </wp:positionH>
            <wp:positionV relativeFrom="paragraph">
              <wp:posOffset>-626110</wp:posOffset>
            </wp:positionV>
            <wp:extent cx="58420" cy="6394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3980815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23495</wp:posOffset>
            </wp:positionV>
            <wp:extent cx="6993890" cy="55524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890" cy="5552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40" w:space="320"/>
            <w:col w:w="8520"/>
          </w:cols>
          <w:pgMar w:left="460" w:top="217" w:right="35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Abell Alexander I.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P10, INC.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4514 COLE AVENUE, SUITE 1600</w:t>
      </w:r>
    </w:p>
    <w:p>
      <w:pPr>
        <w:spacing w:after="0" w:line="28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75205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142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P10,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PX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21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4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4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ind w:left="40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84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06/24/2024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940" w:type="dxa"/>
            <w:vAlign w:val="bottom"/>
            <w:vMerge w:val="restart"/>
          </w:tcPr>
          <w:p>
            <w:pPr>
              <w:ind w:left="10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See Remarks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34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320" w:right="640"/>
        <w:spacing w:after="0" w:line="24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06/24/2024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6"/>
              </w:rPr>
              <w:t>M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25,830</w:t>
            </w:r>
          </w:p>
        </w:tc>
        <w:tc>
          <w:tcPr>
            <w:tcW w:w="5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jc w:val="center"/>
              <w:ind w:lef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1.17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425,830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06/24/2024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2"/>
              </w:rPr>
              <w:t>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10,209</w:t>
            </w:r>
          </w:p>
        </w:tc>
        <w:tc>
          <w:tcPr>
            <w:tcW w:w="5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ind w:left="1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8.3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415,621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06/24/2024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2"/>
              </w:rPr>
              <w:t>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15,621</w:t>
            </w:r>
          </w:p>
        </w:tc>
        <w:tc>
          <w:tcPr>
            <w:tcW w:w="5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ind w:left="1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8.3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00" w:type="dxa"/>
            <w:vAlign w:val="bottom"/>
            <w:gridSpan w:val="11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25,830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1.17</w:t>
            </w:r>
          </w:p>
        </w:tc>
        <w:tc>
          <w:tcPr>
            <w:tcW w:w="1040" w:type="dxa"/>
            <w:vAlign w:val="bottom"/>
            <w:vMerge w:val="restart"/>
          </w:tcPr>
          <w:p>
            <w:pPr>
              <w:jc w:val="right"/>
              <w:ind w:right="1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06/24/2024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1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ind w:left="4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25,830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01/30/2024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01/30/2029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3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-2009775</wp:posOffset>
            </wp:positionV>
            <wp:extent cx="29210" cy="20148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0148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reporting person may be deemed to be a member of a Section 13(d) group that collectively owns more than 10% of the Issuer's Common Stock.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/s/Amanda Coussens, as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-8890</wp:posOffset>
            </wp:positionV>
            <wp:extent cx="103187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18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 in Fact for the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06/25/2024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-15875</wp:posOffset>
            </wp:positionV>
            <wp:extent cx="188531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53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-15875</wp:posOffset>
            </wp:positionV>
            <wp:extent cx="7423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23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888941" TargetMode="External"/><Relationship Id="rId13" Type="http://schemas.openxmlformats.org/officeDocument/2006/relationships/hyperlink" Target="http://www.sec.gov/cgi-bin/browse-edgar?action=getcompany&amp;CIK=00018419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2024-06-25T19:57:10Z</dcterms:created>
  <dcterms:modified xsi:type="dcterms:W3CDTF">2024-06-25T19:57:10Z</dcterms:modified>
</cp:coreProperties>
</file>