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left="5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left="500"/>
        <w:spacing w:after="0"/>
        <w:rPr>
          <w:sz w:val="20"/>
          <w:szCs w:val="20"/>
          <w:color w:val="auto"/>
        </w:rPr>
      </w:pPr>
      <w:r>
        <w:rPr>
          <w:rFonts w:ascii="Arial" w:cs="Arial" w:eastAsia="Arial" w:hAnsi="Arial"/>
          <w:sz w:val="32"/>
          <w:szCs w:val="32"/>
          <w:b w:val="1"/>
          <w:bCs w:val="1"/>
          <w:color w:val="auto"/>
        </w:rPr>
        <w:t>SECURITIES AND EXCHANGE COMMISSION</w:t>
      </w:r>
    </w:p>
    <w:p>
      <w:pPr>
        <w:jc w:val="center"/>
        <w:ind w:left="500"/>
        <w:spacing w:after="0" w:line="228" w:lineRule="auto"/>
        <w:rPr>
          <w:sz w:val="20"/>
          <w:szCs w:val="20"/>
          <w:color w:val="auto"/>
        </w:rPr>
      </w:pPr>
      <w:r>
        <w:rPr>
          <w:rFonts w:ascii="Arial" w:cs="Arial" w:eastAsia="Arial" w:hAnsi="Arial"/>
          <w:sz w:val="22"/>
          <w:szCs w:val="22"/>
          <w:color w:val="auto"/>
        </w:rPr>
        <w:t>Washington, D.C. 20549</w:t>
      </w:r>
    </w:p>
    <w:p>
      <w:pPr>
        <w:jc w:val="center"/>
        <w:ind w:left="500"/>
        <w:spacing w:after="0"/>
        <w:rPr>
          <w:sz w:val="20"/>
          <w:szCs w:val="20"/>
          <w:color w:val="auto"/>
        </w:rPr>
      </w:pPr>
      <w:r>
        <w:rPr>
          <w:rFonts w:ascii="Arial" w:cs="Arial" w:eastAsia="Arial" w:hAnsi="Arial"/>
          <w:sz w:val="32"/>
          <w:szCs w:val="32"/>
          <w:b w:val="1"/>
          <w:bCs w:val="1"/>
          <w:color w:val="auto"/>
        </w:rPr>
        <w:t>SCHEDULE 13G</w:t>
      </w:r>
    </w:p>
    <w:p>
      <w:pPr>
        <w:jc w:val="center"/>
        <w:ind w:left="500"/>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spacing w:after="0" w:line="244" w:lineRule="auto"/>
        <w:rPr>
          <w:sz w:val="20"/>
          <w:szCs w:val="20"/>
          <w:color w:val="auto"/>
        </w:rPr>
      </w:pPr>
      <w:r>
        <w:rPr>
          <w:rFonts w:ascii="Arial" w:cs="Arial" w:eastAsia="Arial" w:hAnsi="Arial"/>
          <w:sz w:val="22"/>
          <w:szCs w:val="22"/>
          <w:b w:val="1"/>
          <w:bCs w:val="1"/>
          <w:color w:val="auto"/>
        </w:rPr>
        <w:t>INFORMATION TO BE INCLUDED IN STATEMENTS FILED PURSUANT TO RULES 13d-1 (b), (c) AND (d) AND AMENDMENTS THERETO FILED PURSUANT TO 13d-2 (b) (Amendment No. 1</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1078"/>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1078"/>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140" w:hanging="1078"/>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Exhibit Index on Page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1780" w:right="3760" w:hanging="1340"/>
        <w:spacing w:after="0" w:line="261"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Austin Ventures IV-A, L.P.</w:t>
      </w: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60" w:hanging="1099"/>
        <w:spacing w:after="0"/>
        <w:tabs>
          <w:tab w:leader="none" w:pos="21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60" w:hanging="1099"/>
        <w:spacing w:after="0" w:line="207" w:lineRule="exact"/>
        <w:tabs>
          <w:tab w:leader="none" w:pos="2160" w:val="left"/>
        </w:tabs>
        <w:numPr>
          <w:ilvl w:val="1"/>
          <w:numId w:val="3"/>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-1857375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-1214120</wp:posOffset>
            </wp:positionV>
            <wp:extent cx="5908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-1000125</wp:posOffset>
            </wp:positionV>
            <wp:extent cx="5908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-562610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72"/>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6"/>
                <w:szCs w:val="6"/>
                <w:color w:val="auto"/>
              </w:rPr>
            </w:pPr>
          </w:p>
        </w:tc>
        <w:tc>
          <w:tcPr>
            <w:tcW w:w="9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9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4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Reporting</w:t>
      </w:r>
    </w:p>
    <w:p>
      <w:pPr>
        <w:spacing w:after="0" w:line="190" w:lineRule="auto"/>
        <w:rPr>
          <w:sz w:val="20"/>
          <w:szCs w:val="20"/>
          <w:color w:val="auto"/>
        </w:rPr>
      </w:pPr>
      <w:r>
        <w:rPr>
          <w:rFonts w:ascii="Arial" w:cs="Arial" w:eastAsia="Arial" w:hAnsi="Arial"/>
          <w:sz w:val="18"/>
          <w:szCs w:val="18"/>
          <w:b w:val="1"/>
          <w:bCs w:val="1"/>
          <w:color w:val="auto"/>
        </w:rPr>
        <w:t>Person With</w:t>
      </w:r>
    </w:p>
    <w:p>
      <w:pPr>
        <w:ind w:left="1600"/>
        <w:spacing w:after="0"/>
        <w:tabs>
          <w:tab w:leader="none" w:pos="2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8"/>
          <w:szCs w:val="18"/>
          <w:b w:val="1"/>
          <w:bCs w:val="1"/>
          <w:color w:val="auto"/>
        </w:rPr>
        <w:t>Sole Dispositive Power</w:t>
      </w:r>
    </w:p>
    <w:p>
      <w:pPr>
        <w:spacing w:after="0" w:line="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40005</wp:posOffset>
            </wp:positionV>
            <wp:extent cx="5728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600"/>
        <w:spacing w:after="0"/>
        <w:tabs>
          <w:tab w:leader="none" w:pos="2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8"/>
          <w:szCs w:val="18"/>
          <w:b w:val="1"/>
          <w:bCs w:val="1"/>
          <w:color w:val="auto"/>
        </w:rPr>
        <w:t>Shared Dispositive Power</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40005</wp:posOffset>
            </wp:positionV>
            <wp:extent cx="5728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Check if the Aggregate Amount in Row (9) Excludes Certain Shares (See Instructions)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720" w:right="3760" w:hanging="1340"/>
        <w:spacing w:after="0" w:line="261"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Austin Ventures IV-B, L.P.</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-1857375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-1214120</wp:posOffset>
            </wp:positionV>
            <wp:extent cx="5908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-1000125</wp:posOffset>
            </wp:positionV>
            <wp:extent cx="5908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1260" w:type="dxa"/>
            <w:vAlign w:val="bottom"/>
            <w:vMerge w:val="continue"/>
          </w:tcPr>
          <w:p>
            <w:pPr>
              <w:spacing w:after="0"/>
              <w:rPr>
                <w:sz w:val="24"/>
                <w:szCs w:val="24"/>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Arial" w:cs="Arial" w:eastAsia="Arial" w:hAnsi="Arial"/>
                <w:sz w:val="16"/>
                <w:szCs w:val="16"/>
                <w:b w:val="1"/>
                <w:bCs w:val="1"/>
                <w:color w:val="auto"/>
              </w:rPr>
              <w:t>Reporting</w:t>
            </w:r>
          </w:p>
        </w:tc>
        <w:tc>
          <w:tcPr>
            <w:tcW w:w="10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8"/>
        </w:trPr>
        <w:tc>
          <w:tcPr>
            <w:tcW w:w="2340" w:type="dxa"/>
            <w:vAlign w:val="bottom"/>
            <w:vMerge w:val="continue"/>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400" w:right="7000" w:hanging="791"/>
        <w:spacing w:after="0" w:line="282" w:lineRule="auto"/>
        <w:tabs>
          <w:tab w:leader="none" w:pos="24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-1137285</wp:posOffset>
            </wp:positionV>
            <wp:extent cx="5728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1" w:right="239" w:bottom="0" w:gutter="0" w:footer="0" w:header="0"/>
        </w:sectPr>
      </w:pPr>
    </w:p>
    <w:bookmarkStart w:id="2" w:name="page3"/>
    <w:bookmarkEnd w:id="2"/>
    <w:p>
      <w:pPr>
        <w:ind w:left="1000" w:right="6360" w:hanging="620"/>
        <w:spacing w:after="0" w:line="282" w:lineRule="auto"/>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hanging="620"/>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720" w:right="3760" w:hanging="1340"/>
        <w:spacing w:after="0" w:line="261" w:lineRule="auto"/>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AV Partners IV, L.P.</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8"/>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-1857375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-1214120</wp:posOffset>
            </wp:positionV>
            <wp:extent cx="59086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-1000125</wp:posOffset>
            </wp:positionV>
            <wp:extent cx="59086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1260" w:type="dxa"/>
            <w:vAlign w:val="bottom"/>
            <w:vMerge w:val="continue"/>
          </w:tcPr>
          <w:p>
            <w:pPr>
              <w:spacing w:after="0"/>
              <w:rPr>
                <w:sz w:val="24"/>
                <w:szCs w:val="24"/>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Arial" w:cs="Arial" w:eastAsia="Arial" w:hAnsi="Arial"/>
                <w:sz w:val="16"/>
                <w:szCs w:val="16"/>
                <w:b w:val="1"/>
                <w:bCs w:val="1"/>
                <w:color w:val="auto"/>
              </w:rPr>
              <w:t>Reporting</w:t>
            </w:r>
          </w:p>
        </w:tc>
        <w:tc>
          <w:tcPr>
            <w:tcW w:w="10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8"/>
        </w:trPr>
        <w:tc>
          <w:tcPr>
            <w:tcW w:w="2340" w:type="dxa"/>
            <w:vAlign w:val="bottom"/>
            <w:vMerge w:val="continue"/>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400" w:right="7000" w:hanging="791"/>
        <w:spacing w:after="0" w:line="282" w:lineRule="auto"/>
        <w:tabs>
          <w:tab w:leader="none" w:pos="24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6360" w:hanging="620"/>
        <w:spacing w:after="0" w:line="282" w:lineRule="auto"/>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-2257425</wp:posOffset>
            </wp:positionV>
            <wp:extent cx="57283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-1682750</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-1108710</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ectPr>
          <w:pgSz w:w="11900" w:h="16838" w:orient="portrait"/>
          <w:cols w:equalWidth="0" w:num="1">
            <w:col w:w="11360"/>
          </w:cols>
          <w:pgMar w:left="300" w:top="472" w:right="239" w:bottom="0" w:gutter="0" w:footer="0" w:header="0"/>
        </w:sectPr>
      </w:pPr>
    </w:p>
    <w:bookmarkStart w:id="3" w:name="page4"/>
    <w:bookmarkEnd w:id="3"/>
    <w:p>
      <w:pPr>
        <w:ind w:left="1720" w:right="3760" w:hanging="1340"/>
        <w:spacing w:after="0" w:line="261" w:lineRule="auto"/>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Names of Reporting Persons. I.R.S. Identification Nos. of above persons (entities only) </w:t>
      </w:r>
      <w:r>
        <w:rPr>
          <w:rFonts w:ascii="Arial" w:cs="Arial" w:eastAsia="Arial" w:hAnsi="Arial"/>
          <w:sz w:val="18"/>
          <w:szCs w:val="18"/>
          <w:color w:val="auto"/>
        </w:rPr>
        <w:t>Joseph C. Aragona</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1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-1857375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-1214120</wp:posOffset>
            </wp:positionV>
            <wp:extent cx="59086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-1000125</wp:posOffset>
            </wp:positionV>
            <wp:extent cx="59086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1260" w:type="dxa"/>
            <w:vAlign w:val="bottom"/>
            <w:vMerge w:val="continue"/>
          </w:tcPr>
          <w:p>
            <w:pPr>
              <w:spacing w:after="0"/>
              <w:rPr>
                <w:sz w:val="24"/>
                <w:szCs w:val="24"/>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Arial" w:cs="Arial" w:eastAsia="Arial" w:hAnsi="Arial"/>
                <w:sz w:val="16"/>
                <w:szCs w:val="16"/>
                <w:b w:val="1"/>
                <w:bCs w:val="1"/>
                <w:color w:val="auto"/>
              </w:rPr>
              <w:t>Reporting</w:t>
            </w:r>
          </w:p>
        </w:tc>
        <w:tc>
          <w:tcPr>
            <w:tcW w:w="10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8"/>
        </w:trPr>
        <w:tc>
          <w:tcPr>
            <w:tcW w:w="2340" w:type="dxa"/>
            <w:vAlign w:val="bottom"/>
            <w:vMerge w:val="continue"/>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400" w:right="7000" w:hanging="791"/>
        <w:spacing w:after="0" w:line="282" w:lineRule="auto"/>
        <w:tabs>
          <w:tab w:leader="none" w:pos="240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6360" w:hanging="620"/>
        <w:spacing w:after="0" w:line="282"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-2257425</wp:posOffset>
            </wp:positionV>
            <wp:extent cx="57283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-1682750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-1108710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720" w:right="3760" w:hanging="1340"/>
        <w:spacing w:after="0" w:line="261" w:lineRule="auto"/>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Kenneth P. DeAngelis</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1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-1242695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-599440</wp:posOffset>
            </wp:positionV>
            <wp:extent cx="59086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-384810</wp:posOffset>
            </wp:positionV>
            <wp:extent cx="59086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51435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540" w:right="239" w:bottom="104" w:gutter="0" w:footer="0" w:header="0"/>
        </w:sectPr>
      </w:pPr>
    </w:p>
    <w:bookmarkStart w:id="4" w:name="page5"/>
    <w:bookmarkEnd w:id="4"/>
    <w:p>
      <w:pPr>
        <w:ind w:left="1000" w:right="7560" w:hanging="620"/>
        <w:spacing w:after="0" w:line="282" w:lineRule="auto"/>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 Citizen</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2400" w:right="7560" w:hanging="791"/>
        <w:spacing w:after="0" w:line="282" w:lineRule="auto"/>
        <w:tabs>
          <w:tab w:leader="none" w:pos="240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11430</wp:posOffset>
            </wp:positionV>
            <wp:extent cx="57283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Arial" w:cs="Arial" w:eastAsia="Arial" w:hAnsi="Arial"/>
                <w:sz w:val="16"/>
                <w:szCs w:val="16"/>
                <w:b w:val="1"/>
                <w:bCs w:val="1"/>
                <w:color w:val="auto"/>
              </w:rPr>
              <w:t>Reporting</w:t>
            </w:r>
          </w:p>
        </w:tc>
        <w:tc>
          <w:tcPr>
            <w:tcW w:w="10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90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38"/>
        </w:trPr>
        <w:tc>
          <w:tcPr>
            <w:tcW w:w="2340" w:type="dxa"/>
            <w:vAlign w:val="bottom"/>
            <w:vMerge w:val="continue"/>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400" w:right="7000" w:hanging="791"/>
        <w:spacing w:after="0" w:line="282" w:lineRule="auto"/>
        <w:tabs>
          <w:tab w:leader="none" w:pos="24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6360" w:hanging="620"/>
        <w:spacing w:after="0" w:line="282" w:lineRule="auto"/>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-2257425</wp:posOffset>
            </wp:positionV>
            <wp:extent cx="57283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-1682750</wp:posOffset>
            </wp:positionV>
            <wp:extent cx="6612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-1108710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720" w:right="3760" w:hanging="1340"/>
        <w:spacing w:after="0" w:line="261" w:lineRule="auto"/>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Jeffery C. Garvey</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18"/>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-1857375</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-1214120</wp:posOffset>
            </wp:positionV>
            <wp:extent cx="59086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-1000125</wp:posOffset>
            </wp:positionV>
            <wp:extent cx="59086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60"/>
          </w:cols>
          <w:pgMar w:left="300" w:top="121" w:right="239" w:bottom="45"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8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8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80" w:type="dxa"/>
            <w:vAlign w:val="bottom"/>
          </w:tcPr>
          <w:p>
            <w:pPr>
              <w:spacing w:after="0"/>
              <w:rPr>
                <w:sz w:val="18"/>
                <w:szCs w:val="18"/>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bl>
    <w:p>
      <w:pPr>
        <w:spacing w:after="0"/>
        <w:rPr>
          <w:sz w:val="20"/>
          <w:szCs w:val="20"/>
          <w:color w:val="auto"/>
        </w:rPr>
      </w:pPr>
      <w:r>
        <w:rPr>
          <w:rFonts w:ascii="Arial" w:cs="Arial" w:eastAsia="Arial" w:hAnsi="Arial"/>
          <w:sz w:val="18"/>
          <w:szCs w:val="18"/>
          <w:b w:val="1"/>
          <w:bCs w:val="1"/>
          <w:color w:val="auto"/>
        </w:rPr>
        <w:t>Reporting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 With</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 Voting Power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5728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Shared Voting Power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57283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Sole Dispositive Power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40005</wp:posOffset>
            </wp:positionV>
            <wp:extent cx="57283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ectPr>
          <w:pgSz w:w="11900" w:h="16838" w:orient="portrait"/>
          <w:cols w:equalWidth="0" w:num="2">
            <w:col w:w="1740" w:space="660"/>
            <w:col w:w="8960"/>
          </w:cols>
          <w:pgMar w:left="300" w:top="121" w:right="239" w:bottom="45" w:gutter="0" w:footer="0" w:header="0"/>
          <w:type w:val="continuous"/>
        </w:sectPr>
      </w:pPr>
    </w:p>
    <w:bookmarkStart w:id="5" w:name="page6"/>
    <w:bookmarkEnd w:id="5"/>
    <w:p>
      <w:pPr>
        <w:spacing w:after="0" w:line="68" w:lineRule="exact"/>
        <w:rPr>
          <w:sz w:val="20"/>
          <w:szCs w:val="20"/>
          <w:color w:val="auto"/>
        </w:rPr>
      </w:pPr>
    </w:p>
    <w:p>
      <w:pPr>
        <w:ind w:left="2400" w:right="7000" w:hanging="791"/>
        <w:spacing w:after="0" w:line="282" w:lineRule="auto"/>
        <w:tabs>
          <w:tab w:leader="none" w:pos="240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6360" w:hanging="620"/>
        <w:spacing w:after="0" w:line="282" w:lineRule="auto"/>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hanging="620"/>
        <w:spacing w:after="0"/>
        <w:tabs>
          <w:tab w:leader="none" w:pos="10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-2257425</wp:posOffset>
            </wp:positionV>
            <wp:extent cx="57283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-1682750</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-1108710</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720" w:right="3760" w:hanging="1340"/>
        <w:spacing w:after="0" w:line="261" w:lineRule="auto"/>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William P. Wood (“Wood”)</w:t>
      </w: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Tax ID Number:</w:t>
      </w: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1000" w:hanging="620"/>
        <w:spacing w:after="0"/>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00" w:hanging="1099"/>
        <w:spacing w:after="0"/>
        <w:tabs>
          <w:tab w:leader="none" w:pos="210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o</w:t>
      </w:r>
    </w:p>
    <w:p>
      <w:pPr>
        <w:spacing w:after="0" w:line="97" w:lineRule="exact"/>
        <w:rPr>
          <w:rFonts w:ascii="Arial" w:cs="Arial" w:eastAsia="Arial" w:hAnsi="Arial"/>
          <w:sz w:val="18"/>
          <w:szCs w:val="18"/>
          <w:b w:val="1"/>
          <w:bCs w:val="1"/>
          <w:color w:val="auto"/>
        </w:rPr>
      </w:pPr>
    </w:p>
    <w:p>
      <w:pPr>
        <w:ind w:left="2100" w:hanging="1099"/>
        <w:spacing w:after="0" w:line="207" w:lineRule="exact"/>
        <w:tabs>
          <w:tab w:leader="none" w:pos="2100" w:val="left"/>
        </w:tabs>
        <w:numPr>
          <w:ilvl w:val="1"/>
          <w:numId w:val="21"/>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-1857375</wp:posOffset>
            </wp:positionV>
            <wp:extent cx="6612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-1214120</wp:posOffset>
            </wp:positionV>
            <wp:extent cx="59086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1304925</wp:posOffset>
            </wp:positionH>
            <wp:positionV relativeFrom="paragraph">
              <wp:posOffset>-1000125</wp:posOffset>
            </wp:positionV>
            <wp:extent cx="59086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5.</w:t>
            </w:r>
          </w:p>
        </w:tc>
        <w:tc>
          <w:tcPr>
            <w:tcW w:w="902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w w:val="94"/>
              </w:rPr>
              <w:t>67,517 shares, all of which are directly owned by Silverton Partners, L.P. (“Silverton”), a Texas limited partnership, and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Wood, the sole general partner of Silverton, may be deemed to have sole power to vote these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5"/>
        </w:trPr>
        <w:tc>
          <w:tcPr>
            <w:tcW w:w="1260" w:type="dxa"/>
            <w:vAlign w:val="bottom"/>
            <w:vMerge w:val="continue"/>
          </w:tcPr>
          <w:p>
            <w:pPr>
              <w:spacing w:after="0"/>
              <w:rPr>
                <w:sz w:val="24"/>
                <w:szCs w:val="24"/>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6.</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08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99"/>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080" w:type="dxa"/>
            <w:vAlign w:val="bottom"/>
          </w:tcPr>
          <w:p>
            <w:pPr>
              <w:spacing w:after="0"/>
              <w:rPr>
                <w:sz w:val="8"/>
                <w:szCs w:val="8"/>
                <w:color w:val="auto"/>
              </w:rPr>
            </w:pPr>
          </w:p>
        </w:tc>
        <w:tc>
          <w:tcPr>
            <w:tcW w:w="9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0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7.</w:t>
            </w:r>
          </w:p>
        </w:tc>
        <w:tc>
          <w:tcPr>
            <w:tcW w:w="90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Arial" w:cs="Arial" w:eastAsia="Arial" w:hAnsi="Arial"/>
                <w:sz w:val="16"/>
                <w:szCs w:val="16"/>
                <w:b w:val="1"/>
                <w:bCs w:val="1"/>
                <w:color w:val="auto"/>
              </w:rPr>
              <w:t>Reporting</w:t>
            </w:r>
          </w:p>
        </w:tc>
        <w:tc>
          <w:tcPr>
            <w:tcW w:w="10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Person With</w:t>
            </w:r>
          </w:p>
        </w:tc>
        <w:tc>
          <w:tcPr>
            <w:tcW w:w="9020" w:type="dxa"/>
            <w:vAlign w:val="bottom"/>
          </w:tcPr>
          <w:p>
            <w:pPr>
              <w:ind w:left="60"/>
              <w:spacing w:after="0" w:line="200" w:lineRule="exact"/>
              <w:rPr>
                <w:sz w:val="20"/>
                <w:szCs w:val="20"/>
                <w:color w:val="auto"/>
              </w:rPr>
            </w:pPr>
            <w:r>
              <w:rPr>
                <w:rFonts w:ascii="Arial" w:cs="Arial" w:eastAsia="Arial" w:hAnsi="Arial"/>
                <w:sz w:val="18"/>
                <w:szCs w:val="18"/>
                <w:color w:val="auto"/>
                <w:w w:val="97"/>
              </w:rPr>
              <w:t>67,517 shares, all of which are directly owned by Silverton, and Wood, the sole general partner of Silverton, may be</w:t>
            </w:r>
          </w:p>
        </w:tc>
        <w:tc>
          <w:tcPr>
            <w:tcW w:w="0" w:type="dxa"/>
            <w:vAlign w:val="bottom"/>
          </w:tcPr>
          <w:p>
            <w:pPr>
              <w:spacing w:after="0"/>
              <w:rPr>
                <w:sz w:val="1"/>
                <w:szCs w:val="1"/>
                <w:color w:val="auto"/>
              </w:rPr>
            </w:pPr>
          </w:p>
        </w:tc>
      </w:tr>
      <w:tr>
        <w:trPr>
          <w:trHeight w:val="109"/>
        </w:trPr>
        <w:tc>
          <w:tcPr>
            <w:tcW w:w="2340" w:type="dxa"/>
            <w:vAlign w:val="bottom"/>
            <w:vMerge w:val="continue"/>
          </w:tcPr>
          <w:p>
            <w:pPr>
              <w:spacing w:after="0"/>
              <w:rPr>
                <w:sz w:val="9"/>
                <w:szCs w:val="9"/>
                <w:color w:val="auto"/>
              </w:rPr>
            </w:pPr>
          </w:p>
        </w:tc>
        <w:tc>
          <w:tcPr>
            <w:tcW w:w="9020" w:type="dxa"/>
            <w:vAlign w:val="bottom"/>
            <w:vMerge w:val="restart"/>
          </w:tcPr>
          <w:p>
            <w:pPr>
              <w:ind w:left="60"/>
              <w:spacing w:after="0"/>
              <w:rPr>
                <w:sz w:val="20"/>
                <w:szCs w:val="20"/>
                <w:color w:val="auto"/>
              </w:rPr>
            </w:pPr>
            <w:r>
              <w:rPr>
                <w:rFonts w:ascii="Arial" w:cs="Arial" w:eastAsia="Arial" w:hAnsi="Arial"/>
                <w:sz w:val="18"/>
                <w:szCs w:val="18"/>
                <w:color w:val="auto"/>
              </w:rPr>
              <w:t>deemed to have sole power to dispose of these shares.</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9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400" w:right="7000" w:hanging="791"/>
        <w:spacing w:after="0" w:line="282" w:lineRule="auto"/>
        <w:tabs>
          <w:tab w:leader="none" w:pos="240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 shares.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67,517</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3740" w:hanging="620"/>
        <w:spacing w:after="0" w:line="282" w:lineRule="auto"/>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1000" w:right="6360" w:hanging="620"/>
        <w:spacing w:after="0" w:line="282" w:lineRule="auto"/>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-1711325</wp:posOffset>
            </wp:positionV>
            <wp:extent cx="5728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-1137285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-562610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06" w:orient="portrait"/>
          <w:cols w:equalWidth="0" w:num="1">
            <w:col w:w="11360"/>
          </w:cols>
          <w:pgMar w:left="300" w:top="121" w:right="239" w:bottom="0" w:gutter="0" w:footer="0" w:header="0"/>
        </w:sectPr>
      </w:pPr>
    </w:p>
    <w:bookmarkStart w:id="6" w:name="page7"/>
    <w:bookmarkEnd w:id="6"/>
    <w:p>
      <w:pPr>
        <w:ind w:left="1060" w:hanging="620"/>
        <w:spacing w:after="0"/>
        <w:tabs>
          <w:tab w:leader="none" w:pos="10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791845</wp:posOffset>
            </wp:positionH>
            <wp:positionV relativeFrom="page">
              <wp:posOffset>97790</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t>Type of Reporting Person (See Instructions)</w:t>
      </w:r>
    </w:p>
    <w:p>
      <w:pPr>
        <w:spacing w:after="0" w:line="27" w:lineRule="exact"/>
        <w:rPr>
          <w:rFonts w:ascii="Arial" w:cs="Arial" w:eastAsia="Arial" w:hAnsi="Arial"/>
          <w:sz w:val="18"/>
          <w:szCs w:val="18"/>
          <w:b w:val="1"/>
          <w:bCs w:val="1"/>
          <w:color w:val="auto"/>
        </w:rPr>
      </w:pP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This statement amends the Statement on 13(G) filed by Austin Ventures IV-A, L.P., Austin Ventures IV-B, L.P., AV Partners IV, L.P., Joseph C. Aragona, Kenneth P. DeAngelis, Jeffery C. Garvey and William P. Wood, the general partners of AVP IV. The foregoing entities and individuals are collectively referred to as the “Reporting Persons.”</w:t>
      </w: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information with respect to the ownership of the Common Stock of the issuer by the persons filing this Statement is provided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2001</w:t>
      </w:r>
      <w:r>
        <w:rPr>
          <w:rFonts w:ascii="Arial" w:cs="Arial" w:eastAsia="Arial" w:hAnsi="Arial"/>
          <w:sz w:val="18"/>
          <w:szCs w:val="18"/>
          <w:b w:val="1"/>
          <w:bCs w:val="1"/>
          <w:color w:val="auto"/>
        </w:rPr>
        <w:t>:</w:t>
      </w:r>
    </w:p>
    <w:p>
      <w:pPr>
        <w:spacing w:after="0" w:line="99" w:lineRule="exact"/>
        <w:rPr>
          <w:sz w:val="20"/>
          <w:szCs w:val="20"/>
          <w:color w:val="auto"/>
        </w:rPr>
      </w:pPr>
    </w:p>
    <w:p>
      <w:pPr>
        <w:ind w:left="1540" w:hanging="519"/>
        <w:spacing w:after="0"/>
        <w:tabs>
          <w:tab w:leader="none" w:pos="1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113" w:lineRule="exact"/>
        <w:rPr>
          <w:rFonts w:ascii="Arial" w:cs="Arial" w:eastAsia="Arial" w:hAnsi="Arial"/>
          <w:sz w:val="18"/>
          <w:szCs w:val="18"/>
          <w:b w:val="1"/>
          <w:bCs w:val="1"/>
          <w:color w:val="auto"/>
        </w:rPr>
      </w:pPr>
    </w:p>
    <w:p>
      <w:pPr>
        <w:ind w:left="1540" w:hanging="519"/>
        <w:spacing w:after="0"/>
        <w:tabs>
          <w:tab w:leader="none" w:pos="1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113" w:lineRule="exact"/>
        <w:rPr>
          <w:rFonts w:ascii="Arial" w:cs="Arial" w:eastAsia="Arial" w:hAnsi="Arial"/>
          <w:sz w:val="18"/>
          <w:szCs w:val="18"/>
          <w:b w:val="1"/>
          <w:bCs w:val="1"/>
          <w:color w:val="auto"/>
        </w:rPr>
      </w:pPr>
    </w:p>
    <w:p>
      <w:pPr>
        <w:ind w:left="1540" w:hanging="519"/>
        <w:spacing w:after="0"/>
        <w:tabs>
          <w:tab w:leader="none" w:pos="1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ind w:left="2280" w:hanging="746"/>
        <w:spacing w:after="0"/>
        <w:tabs>
          <w:tab w:leader="none" w:pos="228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121"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See Row 5 of cover page for each Reporting Person.</w:t>
      </w:r>
    </w:p>
    <w:p>
      <w:pPr>
        <w:spacing w:after="0" w:line="113" w:lineRule="exact"/>
        <w:rPr>
          <w:rFonts w:ascii="Arial" w:cs="Arial" w:eastAsia="Arial" w:hAnsi="Arial"/>
          <w:sz w:val="18"/>
          <w:szCs w:val="18"/>
          <w:b w:val="1"/>
          <w:bCs w:val="1"/>
          <w:color w:val="auto"/>
        </w:rPr>
      </w:pPr>
    </w:p>
    <w:p>
      <w:pPr>
        <w:ind w:left="2280" w:hanging="746"/>
        <w:spacing w:after="0"/>
        <w:tabs>
          <w:tab w:leader="none" w:pos="228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121"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color w:val="auto"/>
        </w:rPr>
        <w:t>See Row 6 of cover page for each Reporting Person.</w:t>
      </w:r>
    </w:p>
    <w:p>
      <w:pPr>
        <w:spacing w:after="0" w:line="113" w:lineRule="exact"/>
        <w:rPr>
          <w:rFonts w:ascii="Arial" w:cs="Arial" w:eastAsia="Arial" w:hAnsi="Arial"/>
          <w:sz w:val="18"/>
          <w:szCs w:val="18"/>
          <w:b w:val="1"/>
          <w:bCs w:val="1"/>
          <w:color w:val="auto"/>
        </w:rPr>
      </w:pPr>
    </w:p>
    <w:p>
      <w:pPr>
        <w:ind w:left="2280" w:right="5200" w:hanging="746"/>
        <w:spacing w:after="0" w:line="451" w:lineRule="auto"/>
        <w:tabs>
          <w:tab w:leader="none" w:pos="2280" w:val="left"/>
        </w:tabs>
        <w:numPr>
          <w:ilvl w:val="1"/>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 power to dispose or to direct the disposition of: </w:t>
      </w:r>
      <w:r>
        <w:rPr>
          <w:rFonts w:ascii="Arial" w:cs="Arial" w:eastAsia="Arial" w:hAnsi="Arial"/>
          <w:sz w:val="15"/>
          <w:szCs w:val="15"/>
          <w:color w:val="auto"/>
        </w:rPr>
        <w:t>See Row 7 of cover page for each Reporting Person.</w:t>
      </w:r>
    </w:p>
    <w:p>
      <w:pPr>
        <w:ind w:left="2280" w:right="4980" w:hanging="746"/>
        <w:spacing w:after="0" w:line="488" w:lineRule="auto"/>
        <w:tabs>
          <w:tab w:leader="none" w:pos="2280" w:val="left"/>
        </w:tabs>
        <w:numPr>
          <w:ilvl w:val="1"/>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Row 8 of cover page for each Reporting Person.</w:t>
      </w:r>
    </w:p>
    <w:p>
      <w:pPr>
        <w:spacing w:after="0" w:line="25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20" w:type="dxa"/>
            <w:vAlign w:val="bottom"/>
          </w:tcPr>
          <w:p>
            <w:pPr>
              <w:ind w:left="60"/>
              <w:spacing w:after="0"/>
              <w:rPr>
                <w:sz w:val="20"/>
                <w:szCs w:val="20"/>
                <w:color w:val="auto"/>
              </w:rPr>
            </w:pPr>
            <w:r>
              <w:rPr>
                <w:rFonts w:ascii="Arial" w:cs="Arial" w:eastAsia="Arial" w:hAnsi="Arial"/>
                <w:sz w:val="18"/>
                <w:szCs w:val="18"/>
                <w:color w:val="auto"/>
                <w:w w:val="95"/>
              </w:rPr>
              <w:t>of the class of securities, check the following:</w:t>
            </w:r>
          </w:p>
        </w:tc>
        <w:tc>
          <w:tcPr>
            <w:tcW w:w="7920" w:type="dxa"/>
            <w:vAlign w:val="bottom"/>
          </w:tcPr>
          <w:p>
            <w:pPr>
              <w:jc w:val="right"/>
              <w:ind w:right="721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r>
      <w:tr>
        <w:trPr>
          <w:trHeight w:val="640"/>
        </w:trPr>
        <w:tc>
          <w:tcPr>
            <w:tcW w:w="3520" w:type="dxa"/>
            <w:vAlign w:val="bottom"/>
          </w:tcPr>
          <w:p>
            <w:pPr>
              <w:spacing w:after="0"/>
              <w:rPr>
                <w:sz w:val="24"/>
                <w:szCs w:val="24"/>
                <w:color w:val="auto"/>
              </w:rPr>
            </w:pPr>
          </w:p>
        </w:tc>
        <w:tc>
          <w:tcPr>
            <w:tcW w:w="7920" w:type="dxa"/>
            <w:vAlign w:val="bottom"/>
          </w:tcPr>
          <w:p>
            <w:pPr>
              <w:jc w:val="right"/>
              <w:ind w:right="5590"/>
              <w:spacing w:after="0"/>
              <w:rPr>
                <w:sz w:val="20"/>
                <w:szCs w:val="20"/>
                <w:color w:val="auto"/>
              </w:rPr>
            </w:pPr>
            <w:r>
              <w:rPr>
                <w:rFonts w:ascii="Arial" w:cs="Arial" w:eastAsia="Arial" w:hAnsi="Arial"/>
                <w:sz w:val="18"/>
                <w:szCs w:val="18"/>
                <w:color w:val="auto"/>
              </w:rPr>
              <w:t>9</w:t>
            </w:r>
          </w:p>
        </w:tc>
      </w:tr>
      <w:tr>
        <w:trPr>
          <w:trHeight w:val="91"/>
        </w:trPr>
        <w:tc>
          <w:tcPr>
            <w:tcW w:w="3520" w:type="dxa"/>
            <w:vAlign w:val="bottom"/>
            <w:tcBorders>
              <w:bottom w:val="single" w:sz="8" w:color="808080"/>
            </w:tcBorders>
          </w:tcPr>
          <w:p>
            <w:pPr>
              <w:spacing w:after="0"/>
              <w:rPr>
                <w:sz w:val="7"/>
                <w:szCs w:val="7"/>
                <w:color w:val="auto"/>
              </w:rPr>
            </w:pPr>
          </w:p>
        </w:tc>
        <w:tc>
          <w:tcPr>
            <w:tcW w:w="79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Dated: February 11, 2002</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tcPr>
          <w:p>
            <w:pPr>
              <w:ind w:left="20"/>
              <w:spacing w:after="0"/>
              <w:rPr>
                <w:sz w:val="20"/>
                <w:szCs w:val="20"/>
                <w:color w:val="auto"/>
              </w:rPr>
            </w:pPr>
            <w:r>
              <w:rPr>
                <w:rFonts w:ascii="Arial" w:cs="Arial" w:eastAsia="Arial" w:hAnsi="Arial"/>
                <w:sz w:val="18"/>
                <w:szCs w:val="18"/>
                <w:color w:val="auto"/>
              </w:rPr>
              <w:t>AUSTIN VENTURES IV-A, L.P.</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Nicholson</w:t>
            </w:r>
          </w:p>
        </w:tc>
        <w:tc>
          <w:tcPr>
            <w:tcW w:w="0" w:type="dxa"/>
            <w:vAlign w:val="bottom"/>
          </w:tcPr>
          <w:p>
            <w:pPr>
              <w:spacing w:after="0"/>
              <w:rPr>
                <w:sz w:val="1"/>
                <w:szCs w:val="1"/>
                <w:color w:val="auto"/>
              </w:rPr>
            </w:pPr>
          </w:p>
        </w:tc>
      </w:tr>
      <w:tr>
        <w:trPr>
          <w:trHeight w:val="195"/>
        </w:trPr>
        <w:tc>
          <w:tcPr>
            <w:tcW w:w="6240" w:type="dxa"/>
            <w:vAlign w:val="bottom"/>
          </w:tcPr>
          <w:p>
            <w:pPr>
              <w:ind w:left="20"/>
              <w:spacing w:after="0" w:line="195" w:lineRule="exact"/>
              <w:rPr>
                <w:sz w:val="20"/>
                <w:szCs w:val="20"/>
                <w:color w:val="auto"/>
              </w:rPr>
            </w:pPr>
            <w:r>
              <w:rPr>
                <w:rFonts w:ascii="Arial" w:cs="Arial" w:eastAsia="Arial" w:hAnsi="Arial"/>
                <w:sz w:val="18"/>
                <w:szCs w:val="18"/>
                <w:color w:val="auto"/>
              </w:rPr>
              <w:t>By AV Partners IV, L.P.,</w:t>
            </w: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John Nicholson</w:t>
            </w:r>
          </w:p>
        </w:tc>
        <w:tc>
          <w:tcPr>
            <w:tcW w:w="0" w:type="dxa"/>
            <w:vAlign w:val="bottom"/>
          </w:tcPr>
          <w:p>
            <w:pPr>
              <w:spacing w:after="0"/>
              <w:rPr>
                <w:sz w:val="1"/>
                <w:szCs w:val="1"/>
                <w:color w:val="auto"/>
              </w:rPr>
            </w:pPr>
          </w:p>
        </w:tc>
      </w:tr>
      <w:tr>
        <w:trPr>
          <w:trHeight w:val="202"/>
        </w:trPr>
        <w:tc>
          <w:tcPr>
            <w:tcW w:w="624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Officer/Attorney-In-Fact</w:t>
            </w:r>
          </w:p>
        </w:tc>
        <w:tc>
          <w:tcPr>
            <w:tcW w:w="0" w:type="dxa"/>
            <w:vAlign w:val="bottom"/>
          </w:tcPr>
          <w:p>
            <w:pPr>
              <w:spacing w:after="0"/>
              <w:rPr>
                <w:sz w:val="1"/>
                <w:szCs w:val="1"/>
                <w:color w:val="auto"/>
              </w:rPr>
            </w:pPr>
          </w:p>
        </w:tc>
      </w:tr>
      <w:tr>
        <w:trPr>
          <w:trHeight w:val="459"/>
        </w:trPr>
        <w:tc>
          <w:tcPr>
            <w:tcW w:w="6240" w:type="dxa"/>
            <w:vAlign w:val="bottom"/>
          </w:tcPr>
          <w:p>
            <w:pPr>
              <w:ind w:left="20"/>
              <w:spacing w:after="0"/>
              <w:rPr>
                <w:sz w:val="20"/>
                <w:szCs w:val="20"/>
                <w:color w:val="auto"/>
              </w:rPr>
            </w:pPr>
            <w:r>
              <w:rPr>
                <w:rFonts w:ascii="Arial" w:cs="Arial" w:eastAsia="Arial" w:hAnsi="Arial"/>
                <w:sz w:val="18"/>
                <w:szCs w:val="18"/>
                <w:color w:val="auto"/>
              </w:rPr>
              <w:t>AUSTIN VENTURES IV-B, L.P.</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Nicholson</w:t>
            </w:r>
          </w:p>
        </w:tc>
        <w:tc>
          <w:tcPr>
            <w:tcW w:w="0" w:type="dxa"/>
            <w:vAlign w:val="bottom"/>
          </w:tcPr>
          <w:p>
            <w:pPr>
              <w:spacing w:after="0"/>
              <w:rPr>
                <w:sz w:val="1"/>
                <w:szCs w:val="1"/>
                <w:color w:val="auto"/>
              </w:rPr>
            </w:pPr>
          </w:p>
        </w:tc>
      </w:tr>
      <w:tr>
        <w:trPr>
          <w:trHeight w:val="195"/>
        </w:trPr>
        <w:tc>
          <w:tcPr>
            <w:tcW w:w="6240" w:type="dxa"/>
            <w:vAlign w:val="bottom"/>
          </w:tcPr>
          <w:p>
            <w:pPr>
              <w:ind w:left="20"/>
              <w:spacing w:after="0" w:line="195" w:lineRule="exact"/>
              <w:rPr>
                <w:sz w:val="20"/>
                <w:szCs w:val="20"/>
                <w:color w:val="auto"/>
              </w:rPr>
            </w:pPr>
            <w:r>
              <w:rPr>
                <w:rFonts w:ascii="Arial" w:cs="Arial" w:eastAsia="Arial" w:hAnsi="Arial"/>
                <w:sz w:val="18"/>
                <w:szCs w:val="18"/>
                <w:color w:val="auto"/>
              </w:rPr>
              <w:t>By AV Partners IV, L.P.,</w:t>
            </w: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John Nicholson</w:t>
            </w:r>
          </w:p>
        </w:tc>
        <w:tc>
          <w:tcPr>
            <w:tcW w:w="0" w:type="dxa"/>
            <w:vAlign w:val="bottom"/>
          </w:tcPr>
          <w:p>
            <w:pPr>
              <w:spacing w:after="0"/>
              <w:rPr>
                <w:sz w:val="1"/>
                <w:szCs w:val="1"/>
                <w:color w:val="auto"/>
              </w:rPr>
            </w:pPr>
          </w:p>
        </w:tc>
      </w:tr>
      <w:tr>
        <w:trPr>
          <w:trHeight w:val="202"/>
        </w:trPr>
        <w:tc>
          <w:tcPr>
            <w:tcW w:w="624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Officer/Attorney-In-Fact</w:t>
            </w:r>
          </w:p>
        </w:tc>
        <w:tc>
          <w:tcPr>
            <w:tcW w:w="0" w:type="dxa"/>
            <w:vAlign w:val="bottom"/>
          </w:tcPr>
          <w:p>
            <w:pPr>
              <w:spacing w:after="0"/>
              <w:rPr>
                <w:sz w:val="1"/>
                <w:szCs w:val="1"/>
                <w:color w:val="auto"/>
              </w:rPr>
            </w:pPr>
          </w:p>
        </w:tc>
      </w:tr>
      <w:tr>
        <w:trPr>
          <w:trHeight w:val="459"/>
        </w:trPr>
        <w:tc>
          <w:tcPr>
            <w:tcW w:w="6240" w:type="dxa"/>
            <w:vAlign w:val="bottom"/>
          </w:tcPr>
          <w:p>
            <w:pPr>
              <w:ind w:left="20"/>
              <w:spacing w:after="0"/>
              <w:rPr>
                <w:sz w:val="20"/>
                <w:szCs w:val="20"/>
                <w:color w:val="auto"/>
              </w:rPr>
            </w:pPr>
            <w:r>
              <w:rPr>
                <w:rFonts w:ascii="Arial" w:cs="Arial" w:eastAsia="Arial" w:hAnsi="Arial"/>
                <w:sz w:val="18"/>
                <w:szCs w:val="18"/>
                <w:color w:val="auto"/>
              </w:rPr>
              <w:t>AV PARTNERS IV, L.P.</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Nicholson</w:t>
            </w:r>
          </w:p>
        </w:tc>
        <w:tc>
          <w:tcPr>
            <w:tcW w:w="0" w:type="dxa"/>
            <w:vAlign w:val="bottom"/>
          </w:tcPr>
          <w:p>
            <w:pPr>
              <w:spacing w:after="0"/>
              <w:rPr>
                <w:sz w:val="1"/>
                <w:szCs w:val="1"/>
                <w:color w:val="auto"/>
              </w:rPr>
            </w:pPr>
          </w:p>
        </w:tc>
      </w:tr>
      <w:tr>
        <w:trPr>
          <w:trHeight w:val="224"/>
        </w:trPr>
        <w:tc>
          <w:tcPr>
            <w:tcW w:w="6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404"/>
        </w:trPr>
        <w:tc>
          <w:tcPr>
            <w:tcW w:w="62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John Nicholson</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Officer/Attorney-In-Fact</w:t>
            </w:r>
          </w:p>
        </w:tc>
        <w:tc>
          <w:tcPr>
            <w:tcW w:w="0" w:type="dxa"/>
            <w:vAlign w:val="bottom"/>
          </w:tcPr>
          <w:p>
            <w:pPr>
              <w:spacing w:after="0"/>
              <w:rPr>
                <w:sz w:val="1"/>
                <w:szCs w:val="1"/>
                <w:color w:val="auto"/>
              </w:rPr>
            </w:pPr>
          </w:p>
        </w:tc>
      </w:tr>
    </w:tbl>
    <w:p>
      <w:pPr>
        <w:sectPr>
          <w:pgSz w:w="11900" w:h="16838" w:orient="portrait"/>
          <w:cols w:equalWidth="0" w:num="1">
            <w:col w:w="11440"/>
          </w:cols>
          <w:pgMar w:left="240" w:top="553" w:right="2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JOSEPH C. ARAGONA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 John Nicholson</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4"/>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4"/>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John Nicholson</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Chief Financial Officer/Attorney-In-Fact</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780" w:type="dxa"/>
            <w:vAlign w:val="bottom"/>
          </w:tcPr>
          <w:p>
            <w:pPr>
              <w:ind w:left="20"/>
              <w:spacing w:after="0"/>
              <w:rPr>
                <w:sz w:val="20"/>
                <w:szCs w:val="20"/>
                <w:color w:val="auto"/>
              </w:rPr>
            </w:pPr>
            <w:r>
              <w:rPr>
                <w:rFonts w:ascii="Arial" w:cs="Arial" w:eastAsia="Arial" w:hAnsi="Arial"/>
                <w:sz w:val="18"/>
                <w:szCs w:val="18"/>
                <w:color w:val="auto"/>
              </w:rPr>
              <w:t>KENNETH P. DeANGELIS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 John Nicholson</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4"/>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4"/>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John Nicholson</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Chief Financial Officer/Attorney-In-Fact</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780" w:type="dxa"/>
            <w:vAlign w:val="bottom"/>
          </w:tcPr>
          <w:p>
            <w:pPr>
              <w:spacing w:after="0"/>
              <w:rPr>
                <w:sz w:val="24"/>
                <w:szCs w:val="24"/>
                <w:color w:val="auto"/>
              </w:rPr>
            </w:pPr>
          </w:p>
        </w:tc>
        <w:tc>
          <w:tcPr>
            <w:tcW w:w="146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5"/>
        </w:trPr>
        <w:tc>
          <w:tcPr>
            <w:tcW w:w="4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753"/>
        </w:trPr>
        <w:tc>
          <w:tcPr>
            <w:tcW w:w="4780" w:type="dxa"/>
            <w:vAlign w:val="bottom"/>
          </w:tcPr>
          <w:p>
            <w:pPr>
              <w:ind w:left="20"/>
              <w:spacing w:after="0"/>
              <w:rPr>
                <w:sz w:val="20"/>
                <w:szCs w:val="20"/>
                <w:color w:val="auto"/>
              </w:rPr>
            </w:pPr>
            <w:r>
              <w:rPr>
                <w:rFonts w:ascii="Arial" w:cs="Arial" w:eastAsia="Arial" w:hAnsi="Arial"/>
                <w:sz w:val="18"/>
                <w:szCs w:val="18"/>
                <w:color w:val="auto"/>
              </w:rPr>
              <w:t>JEFFERY C. GARVEY</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 Nicholson</w:t>
            </w:r>
          </w:p>
        </w:tc>
        <w:tc>
          <w:tcPr>
            <w:tcW w:w="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24"/>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4"/>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John Nicholson</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Chief Financial Officer/Attorney-In-Fact</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780" w:type="dxa"/>
            <w:vAlign w:val="bottom"/>
          </w:tcPr>
          <w:p>
            <w:pPr>
              <w:ind w:left="20"/>
              <w:spacing w:after="0"/>
              <w:rPr>
                <w:sz w:val="20"/>
                <w:szCs w:val="20"/>
                <w:color w:val="auto"/>
              </w:rPr>
            </w:pPr>
            <w:r>
              <w:rPr>
                <w:rFonts w:ascii="Arial" w:cs="Arial" w:eastAsia="Arial" w:hAnsi="Arial"/>
                <w:sz w:val="18"/>
                <w:szCs w:val="18"/>
                <w:color w:val="auto"/>
              </w:rPr>
              <w:t>WILLIAM P. WOOD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John Nicholson</w:t>
            </w:r>
          </w:p>
        </w:tc>
        <w:tc>
          <w:tcPr>
            <w:tcW w:w="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24"/>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4"/>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John Nicholson</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gridSpan w:val="3"/>
          </w:tcPr>
          <w:p>
            <w:pPr>
              <w:ind w:left="20"/>
              <w:spacing w:after="0"/>
              <w:rPr>
                <w:sz w:val="20"/>
                <w:szCs w:val="20"/>
                <w:color w:val="auto"/>
              </w:rPr>
            </w:pPr>
            <w:r>
              <w:rPr>
                <w:rFonts w:ascii="Arial" w:cs="Arial" w:eastAsia="Arial" w:hAnsi="Arial"/>
                <w:sz w:val="18"/>
                <w:szCs w:val="18"/>
                <w:color w:val="auto"/>
              </w:rPr>
              <w:t>Chief Financial Officer/Attorney-In-Fact</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64"/>
        </w:trPr>
        <w:tc>
          <w:tcPr>
            <w:tcW w:w="4780" w:type="dxa"/>
            <w:vAlign w:val="bottom"/>
          </w:tcPr>
          <w:p>
            <w:pPr>
              <w:spacing w:after="0"/>
              <w:rPr>
                <w:sz w:val="24"/>
                <w:szCs w:val="24"/>
                <w:color w:val="auto"/>
              </w:rPr>
            </w:pPr>
          </w:p>
        </w:tc>
        <w:tc>
          <w:tcPr>
            <w:tcW w:w="146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5"/>
        </w:trPr>
        <w:tc>
          <w:tcPr>
            <w:tcW w:w="4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915"/>
        </w:trPr>
        <w:tc>
          <w:tcPr>
            <w:tcW w:w="4780" w:type="dxa"/>
            <w:vAlign w:val="bottom"/>
          </w:tcPr>
          <w:p>
            <w:pPr>
              <w:spacing w:after="0"/>
              <w:rPr>
                <w:sz w:val="24"/>
                <w:szCs w:val="24"/>
                <w:color w:val="auto"/>
              </w:rPr>
            </w:pPr>
          </w:p>
        </w:tc>
        <w:tc>
          <w:tcPr>
            <w:tcW w:w="5600" w:type="dxa"/>
            <w:vAlign w:val="bottom"/>
            <w:gridSpan w:val="7"/>
          </w:tcPr>
          <w:p>
            <w:pPr>
              <w:jc w:val="center"/>
              <w:ind w:right="372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8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2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3"/>
        </w:trPr>
        <w:tc>
          <w:tcPr>
            <w:tcW w:w="4780" w:type="dxa"/>
            <w:vAlign w:val="bottom"/>
          </w:tcPr>
          <w:p>
            <w:pPr>
              <w:spacing w:after="0"/>
              <w:rPr>
                <w:sz w:val="20"/>
                <w:szCs w:val="20"/>
                <w:color w:val="auto"/>
              </w:rPr>
            </w:pPr>
            <w:r>
              <w:rPr>
                <w:rFonts w:ascii="Arial" w:cs="Arial" w:eastAsia="Arial" w:hAnsi="Arial"/>
                <w:sz w:val="18"/>
                <w:szCs w:val="18"/>
                <w:color w:val="auto"/>
              </w:rPr>
              <w:t>Exhibit A: Agreement of Joint Filing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780" w:type="dxa"/>
            <w:vAlign w:val="bottom"/>
          </w:tcPr>
          <w:p>
            <w:pPr>
              <w:spacing w:after="0"/>
              <w:rPr>
                <w:sz w:val="20"/>
                <w:szCs w:val="20"/>
                <w:color w:val="auto"/>
              </w:rPr>
            </w:pPr>
            <w:r>
              <w:rPr>
                <w:rFonts w:ascii="Arial" w:cs="Arial" w:eastAsia="Arial" w:hAnsi="Arial"/>
                <w:sz w:val="18"/>
                <w:szCs w:val="18"/>
                <w:color w:val="auto"/>
              </w:rPr>
              <w:t>Exhibit B: Reference to John Nicholson as Attorney-In-Fact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91"/>
        </w:trPr>
        <w:tc>
          <w:tcPr>
            <w:tcW w:w="4780" w:type="dxa"/>
            <w:vAlign w:val="bottom"/>
          </w:tcPr>
          <w:p>
            <w:pPr>
              <w:spacing w:after="0"/>
              <w:rPr>
                <w:sz w:val="24"/>
                <w:szCs w:val="24"/>
                <w:color w:val="auto"/>
              </w:rPr>
            </w:pPr>
          </w:p>
        </w:tc>
        <w:tc>
          <w:tcPr>
            <w:tcW w:w="146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91"/>
        </w:trPr>
        <w:tc>
          <w:tcPr>
            <w:tcW w:w="47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gridSpan w:val="3"/>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r>
      <w:tr>
        <w:trPr>
          <w:trHeight w:val="767"/>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5"/>
          </w:tcPr>
          <w:p>
            <w:pPr>
              <w:jc w:val="center"/>
              <w:ind w:right="4160"/>
              <w:spacing w:after="0"/>
              <w:rPr>
                <w:sz w:val="20"/>
                <w:szCs w:val="20"/>
                <w:color w:val="auto"/>
              </w:rPr>
            </w:pPr>
            <w:r>
              <w:rPr>
                <w:rFonts w:ascii="Arial" w:cs="Arial" w:eastAsia="Arial" w:hAnsi="Arial"/>
                <w:sz w:val="18"/>
                <w:szCs w:val="18"/>
                <w:color w:val="auto"/>
              </w:rPr>
              <w:t>EXHIBIT A</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2"/>
        </w:trPr>
        <w:tc>
          <w:tcPr>
            <w:tcW w:w="4780" w:type="dxa"/>
            <w:vAlign w:val="bottom"/>
          </w:tcPr>
          <w:p>
            <w:pPr>
              <w:spacing w:after="0"/>
              <w:rPr>
                <w:sz w:val="24"/>
                <w:szCs w:val="24"/>
                <w:color w:val="auto"/>
              </w:rPr>
            </w:pPr>
          </w:p>
        </w:tc>
        <w:tc>
          <w:tcPr>
            <w:tcW w:w="5600" w:type="dxa"/>
            <w:vAlign w:val="bottom"/>
            <w:gridSpan w:val="7"/>
          </w:tcPr>
          <w:p>
            <w:pPr>
              <w:jc w:val="center"/>
              <w:ind w:right="3740"/>
              <w:spacing w:after="0"/>
              <w:rPr>
                <w:sz w:val="20"/>
                <w:szCs w:val="20"/>
                <w:color w:val="auto"/>
              </w:rPr>
            </w:pPr>
            <w:r>
              <w:rPr>
                <w:rFonts w:ascii="Arial" w:cs="Arial" w:eastAsia="Arial" w:hAnsi="Arial"/>
                <w:sz w:val="18"/>
                <w:szCs w:val="18"/>
                <w:color w:val="auto"/>
                <w:w w:val="93"/>
              </w:rPr>
              <w:t>Agreement of Joint Filing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-5638165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-5638165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-3142615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-3142615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-758190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right="120" w:firstLine="1440"/>
        <w:spacing w:after="0" w:line="264" w:lineRule="auto"/>
        <w:rPr>
          <w:sz w:val="20"/>
          <w:szCs w:val="20"/>
          <w:color w:val="auto"/>
        </w:rPr>
      </w:pPr>
      <w:r>
        <w:rPr>
          <w:rFonts w:ascii="Arial" w:cs="Arial" w:eastAsia="Arial" w:hAnsi="Arial"/>
          <w:sz w:val="18"/>
          <w:szCs w:val="18"/>
          <w:color w:val="auto"/>
        </w:rPr>
        <w:t>The Reporting Persons hereby agree that a single Schedule 13G (or any amendment thereto) relating to the Common Stock of Active Power, Inc. shall be filed on behalf of each of the Reporting Persons. Note that copies of the applicable Agreement of Joint Filing are already on file with the appropriate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REFERENCE TO JOHN NICHOLSON AS ATTORNEY-IN-FACT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firstLine="720"/>
        <w:spacing w:after="0" w:line="277" w:lineRule="auto"/>
        <w:rPr>
          <w:sz w:val="20"/>
          <w:szCs w:val="20"/>
          <w:color w:val="auto"/>
        </w:rPr>
      </w:pPr>
      <w:r>
        <w:rPr>
          <w:rFonts w:ascii="Arial" w:cs="Arial" w:eastAsia="Arial" w:hAnsi="Arial"/>
          <w:sz w:val="18"/>
          <w:szCs w:val="18"/>
          <w:color w:val="auto"/>
        </w:rPr>
        <w:t>John Nicholson has signed the enclosed documents as Attorney-In-Fact. Note that copies of the applicable Power of Attorneys are already on file with the appropriate agencies.</w:t>
      </w:r>
    </w:p>
    <w:p>
      <w:pPr>
        <w:sectPr>
          <w:pgSz w:w="11900" w:h="16838" w:orient="portrait"/>
          <w:cols w:equalWidth="0" w:num="1">
            <w:col w:w="11440"/>
          </w:cols>
          <w:pgMar w:left="240" w:top="341" w:right="219" w:bottom="0" w:gutter="0" w:footer="0" w:header="0"/>
        </w:sectPr>
      </w:pPr>
    </w:p>
    <w:bookmarkStart w:id="8" w:name="page9"/>
    <w:bookmarkEnd w:id="8"/>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87630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decimal"/>
      <w:start w:val="1"/>
    </w:lvl>
    <w:lvl w:ilvl="1">
      <w:lvlJc w:val="left"/>
      <w:lvlText w:val="%2."/>
      <w:numFmt w:val="decimal"/>
      <w:start w:val="8"/>
    </w:lvl>
  </w:abstractNum>
  <w:abstractNum w:abstractNumId="5">
    <w:nsid w:val="41A7C4C9"/>
    <w:multiLevelType w:val="hybridMultilevel"/>
    <w:lvl w:ilvl="0">
      <w:lvlJc w:val="left"/>
      <w:lvlText w:val="%1."/>
      <w:numFmt w:val="decimal"/>
      <w:start w:val="9"/>
    </w:lvl>
    <w:lvl w:ilvl="1">
      <w:lvlJc w:val="left"/>
      <w:lvlText w:val="%2"/>
      <w:numFmt w:val="decimal"/>
      <w:start w:val="1"/>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
    </w:lvl>
    <w:lvl w:ilvl="1">
      <w:lvlJc w:val="left"/>
      <w:lvlText w:val="(%2)"/>
      <w:numFmt w:val="lowerLetter"/>
      <w:start w:val="1"/>
    </w:lvl>
  </w:abstractNum>
  <w:abstractNum w:abstractNumId="8">
    <w:nsid w:val="25E45D32"/>
    <w:multiLevelType w:val="hybridMultilevel"/>
    <w:lvl w:ilvl="0">
      <w:lvlJc w:val="left"/>
      <w:lvlText w:val="%1"/>
      <w:numFmt w:val="decimal"/>
      <w:start w:val="1"/>
    </w:lvl>
    <w:lvl w:ilvl="1">
      <w:lvlJc w:val="left"/>
      <w:lvlText w:val="%2."/>
      <w:numFmt w:val="decimal"/>
      <w:start w:val="8"/>
    </w:lvl>
  </w:abstractNum>
  <w:abstractNum w:abstractNumId="9">
    <w:nsid w:val="519B500D"/>
    <w:multiLevelType w:val="hybridMultilevel"/>
    <w:lvl w:ilvl="0">
      <w:lvlJc w:val="left"/>
      <w:lvlText w:val="%1."/>
      <w:numFmt w:val="decimal"/>
      <w:start w:val="9"/>
    </w:lvl>
    <w:lvl w:ilvl="1">
      <w:lvlJc w:val="left"/>
      <w:lvlText w:val="%2"/>
      <w:numFmt w:val="decimal"/>
      <w:start w:val="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lvl w:ilvl="1">
      <w:lvlJc w:val="left"/>
      <w:lvlText w:val="%2."/>
      <w:numFmt w:val="decimal"/>
      <w:start w:val="8"/>
    </w:lvl>
  </w:abstractNum>
  <w:abstractNum w:abstractNumId="12">
    <w:nsid w:val="7C83E458"/>
    <w:multiLevelType w:val="hybridMultilevel"/>
    <w:lvl w:ilvl="0">
      <w:lvlJc w:val="left"/>
      <w:lvlText w:val="%1."/>
      <w:numFmt w:val="decimal"/>
      <w:start w:val="9"/>
    </w:lvl>
    <w:lvl w:ilvl="1">
      <w:lvlJc w:val="left"/>
      <w:lvlText w:val="%2"/>
      <w:numFmt w:val="decimal"/>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abstractNum>
  <w:abstractNum w:abstractNumId="14">
    <w:nsid w:val="62BBD95A"/>
    <w:multiLevelType w:val="hybridMultilevel"/>
    <w:lvl w:ilvl="0">
      <w:lvlJc w:val="left"/>
      <w:lvlText w:val="%1."/>
      <w:numFmt w:val="decimal"/>
      <w:start w:val="4"/>
    </w:lvl>
    <w:lvl w:ilvl="1">
      <w:lvlJc w:val="left"/>
      <w:lvlText w:val="%2."/>
      <w:numFmt w:val="decimal"/>
      <w:start w:val="5"/>
    </w:lvl>
  </w:abstractNum>
  <w:abstractNum w:abstractNumId="15">
    <w:nsid w:val="436C6125"/>
    <w:multiLevelType w:val="hybridMultilevel"/>
    <w:lvl w:ilvl="0">
      <w:lvlJc w:val="left"/>
      <w:lvlText w:val="%1"/>
      <w:numFmt w:val="decimal"/>
      <w:start w:val="1"/>
    </w:lvl>
    <w:lvl w:ilvl="1">
      <w:lvlJc w:val="left"/>
      <w:lvlText w:val="%2."/>
      <w:numFmt w:val="decimal"/>
      <w:start w:val="8"/>
    </w:lvl>
  </w:abstractNum>
  <w:abstractNum w:abstractNumId="16">
    <w:nsid w:val="628C895D"/>
    <w:multiLevelType w:val="hybridMultilevel"/>
    <w:lvl w:ilvl="0">
      <w:lvlJc w:val="left"/>
      <w:lvlText w:val="%1."/>
      <w:numFmt w:val="decimal"/>
      <w:start w:val="9"/>
    </w:lvl>
    <w:lvl w:ilvl="1">
      <w:lvlJc w:val="left"/>
      <w:lvlText w:val="%2"/>
      <w:numFmt w:val="decimal"/>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1"/>
    </w:lvl>
    <w:lvl w:ilvl="1">
      <w:lvlJc w:val="left"/>
      <w:lvlText w:val="%2."/>
      <w:numFmt w:val="decimal"/>
      <w:start w:val="8"/>
    </w:lvl>
  </w:abstractNum>
  <w:abstractNum w:abstractNumId="19">
    <w:nsid w:val="2443A858"/>
    <w:multiLevelType w:val="hybridMultilevel"/>
    <w:lvl w:ilvl="0">
      <w:lvlJc w:val="left"/>
      <w:lvlText w:val="%1."/>
      <w:numFmt w:val="decimal"/>
      <w:start w:val="9"/>
    </w:lvl>
    <w:lvl w:ilvl="1">
      <w:lvlJc w:val="left"/>
      <w:lvlText w:val="%2"/>
      <w:numFmt w:val="decimal"/>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8"/>
    </w:lvl>
  </w:abstractNum>
  <w:abstractNum w:abstractNumId="22">
    <w:nsid w:val="75A2A8D4"/>
    <w:multiLevelType w:val="hybridMultilevel"/>
    <w:lvl w:ilvl="0">
      <w:lvlJc w:val="left"/>
      <w:lvlText w:val="%1."/>
      <w:numFmt w:val="decimal"/>
      <w:start w:val="9"/>
    </w:lvl>
    <w:lvl w:ilvl="1">
      <w:lvlJc w:val="left"/>
      <w:lvlText w:val="%2"/>
      <w:numFmt w:val="decimal"/>
      <w:start w:val="1"/>
    </w:lvl>
  </w:abstractNum>
  <w:abstractNum w:abstractNumId="23">
    <w:nsid w:val="8EDBDAB"/>
    <w:multiLevelType w:val="hybridMultilevel"/>
    <w:lvl w:ilvl="0">
      <w:lvlJc w:val="left"/>
      <w:lvlText w:val="%1."/>
      <w:numFmt w:val="decimal"/>
      <w:start w:val="12"/>
    </w:lvl>
  </w:abstractNum>
  <w:abstractNum w:abstractNumId="24">
    <w:nsid w:val="79838CB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2019-12-14T16:14:37Z</dcterms:created>
  <dcterms:modified xsi:type="dcterms:W3CDTF">2019-12-14T16:14:37Z</dcterms:modified>
</cp:coreProperties>
</file>