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3967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2"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Blatherwick Nell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0"/>
                <w:szCs w:val="10"/>
                <w:color w:val="auto"/>
              </w:rPr>
            </w:pPr>
          </w:p>
        </w:tc>
        <w:tc>
          <w:tcPr>
            <w:tcW w:w="1160" w:type="dxa"/>
            <w:vAlign w:val="bottom"/>
          </w:tcPr>
          <w:p>
            <w:pPr>
              <w:ind w:left="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8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03/05/2024</w:t>
            </w:r>
          </w:p>
        </w:tc>
        <w:tc>
          <w:tcPr>
            <w:tcW w:w="180" w:type="dxa"/>
            <w:vAlign w:val="bottom"/>
          </w:tcPr>
          <w:p>
            <w:pPr>
              <w:spacing w:after="0"/>
              <w:rPr>
                <w:sz w:val="18"/>
                <w:szCs w:val="18"/>
                <w:color w:val="auto"/>
              </w:rPr>
            </w:pPr>
          </w:p>
        </w:tc>
        <w:tc>
          <w:tcPr>
            <w:tcW w:w="194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jc w:val="center"/>
              <w:ind w:left="624"/>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Times New Roman" w:cs="Times New Roman" w:eastAsia="Times New Roman" w:hAnsi="Times New Roman"/>
                <w:sz w:val="17"/>
                <w:szCs w:val="17"/>
                <w:color w:val="0000FF"/>
                <w:w w:val="99"/>
              </w:rPr>
              <w:t>6,234</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10,637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Times New Roman" w:cs="Times New Roman" w:eastAsia="Times New Roman" w:hAnsi="Times New Roman"/>
                <w:sz w:val="17"/>
                <w:szCs w:val="17"/>
                <w:color w:val="0000FF"/>
                <w:w w:val="99"/>
              </w:rPr>
              <w:t>2,157</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8.09</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8,480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(2)</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Times New Roman" w:cs="Times New Roman" w:eastAsia="Times New Roman" w:hAnsi="Times New Roman"/>
                <w:sz w:val="17"/>
                <w:szCs w:val="17"/>
                <w:color w:val="0000FF"/>
                <w:w w:val="99"/>
              </w:rPr>
              <w:t>6,234</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66,759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(2)</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Times New Roman" w:cs="Times New Roman" w:eastAsia="Times New Roman" w:hAnsi="Times New Roman"/>
                <w:sz w:val="17"/>
                <w:szCs w:val="17"/>
                <w:color w:val="0000FF"/>
                <w:w w:val="99"/>
              </w:rPr>
              <w:t>1,827</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8.09</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64,932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(3)</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03/05/2024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P</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22"/>
              <w:spacing w:after="0"/>
              <w:rPr>
                <w:sz w:val="20"/>
                <w:szCs w:val="20"/>
                <w:color w:val="auto"/>
              </w:rPr>
            </w:pPr>
            <w:r>
              <w:rPr>
                <w:rFonts w:ascii="Times New Roman" w:cs="Times New Roman" w:eastAsia="Times New Roman" w:hAnsi="Times New Roman"/>
                <w:sz w:val="17"/>
                <w:szCs w:val="17"/>
                <w:color w:val="0000FF"/>
                <w:w w:val="98"/>
              </w:rPr>
              <w:t>12,500</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7.98</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24,169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(3)</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22"/>
              <w:spacing w:after="0"/>
              <w:rPr>
                <w:sz w:val="20"/>
                <w:szCs w:val="20"/>
                <w:color w:val="auto"/>
              </w:rPr>
            </w:pPr>
            <w:r>
              <w:rPr>
                <w:rFonts w:ascii="Times New Roman" w:cs="Times New Roman" w:eastAsia="Times New Roman" w:hAnsi="Times New Roman"/>
                <w:sz w:val="17"/>
                <w:szCs w:val="17"/>
                <w:color w:val="0000FF"/>
                <w:w w:val="98"/>
              </w:rPr>
              <w:t>21,577</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45,746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(3)</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Times New Roman" w:cs="Times New Roman" w:eastAsia="Times New Roman" w:hAnsi="Times New Roman"/>
                <w:sz w:val="17"/>
                <w:szCs w:val="17"/>
                <w:color w:val="0000FF"/>
                <w:w w:val="99"/>
              </w:rPr>
              <w:t>6,447</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8.09</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39,299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(4)</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22"/>
              <w:spacing w:after="0"/>
              <w:rPr>
                <w:sz w:val="20"/>
                <w:szCs w:val="20"/>
                <w:color w:val="auto"/>
              </w:rPr>
            </w:pPr>
            <w:r>
              <w:rPr>
                <w:rFonts w:ascii="Times New Roman" w:cs="Times New Roman" w:eastAsia="Times New Roman" w:hAnsi="Times New Roman"/>
                <w:sz w:val="17"/>
                <w:szCs w:val="17"/>
                <w:color w:val="0000FF"/>
                <w:w w:val="98"/>
              </w:rPr>
              <w:t>21,577</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58,521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(4)</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Times New Roman" w:cs="Times New Roman" w:eastAsia="Times New Roman" w:hAnsi="Times New Roman"/>
                <w:sz w:val="17"/>
                <w:szCs w:val="17"/>
                <w:color w:val="0000FF"/>
                <w:w w:val="99"/>
              </w:rPr>
              <w:t>6,443</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8.09</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52,078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(5)</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22"/>
              <w:spacing w:after="0"/>
              <w:rPr>
                <w:sz w:val="20"/>
                <w:szCs w:val="20"/>
                <w:color w:val="auto"/>
              </w:rPr>
            </w:pPr>
            <w:r>
              <w:rPr>
                <w:rFonts w:ascii="Times New Roman" w:cs="Times New Roman" w:eastAsia="Times New Roman" w:hAnsi="Times New Roman"/>
                <w:sz w:val="17"/>
                <w:szCs w:val="17"/>
                <w:color w:val="0000FF"/>
                <w:w w:val="98"/>
              </w:rPr>
              <w:t>43,155</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68,430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(5)</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22"/>
              <w:spacing w:after="0"/>
              <w:rPr>
                <w:sz w:val="20"/>
                <w:szCs w:val="20"/>
                <w:color w:val="auto"/>
              </w:rPr>
            </w:pPr>
            <w:r>
              <w:rPr>
                <w:rFonts w:ascii="Times New Roman" w:cs="Times New Roman" w:eastAsia="Times New Roman" w:hAnsi="Times New Roman"/>
                <w:sz w:val="17"/>
                <w:szCs w:val="17"/>
                <w:color w:val="0000FF"/>
                <w:w w:val="98"/>
              </w:rPr>
              <w:t>10,486</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8.09</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8"/>
              </w:rPr>
              <w:t>57,944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(6)</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22"/>
              <w:spacing w:after="0"/>
              <w:rPr>
                <w:sz w:val="20"/>
                <w:szCs w:val="20"/>
                <w:color w:val="auto"/>
              </w:rPr>
            </w:pPr>
            <w:r>
              <w:rPr>
                <w:rFonts w:ascii="Times New Roman" w:cs="Times New Roman" w:eastAsia="Times New Roman" w:hAnsi="Times New Roman"/>
                <w:sz w:val="17"/>
                <w:szCs w:val="17"/>
                <w:color w:val="0000FF"/>
                <w:w w:val="98"/>
              </w:rPr>
              <w:t>43,155</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443,155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(6)</w:t>
            </w:r>
          </w:p>
        </w:tc>
        <w:tc>
          <w:tcPr>
            <w:tcW w:w="1880" w:type="dxa"/>
            <w:vAlign w:val="bottom"/>
            <w:tcBorders>
              <w:bottom w:val="single" w:sz="8" w:color="2C2C2C"/>
            </w:tcBorders>
            <w:gridSpan w:val="2"/>
          </w:tcPr>
          <w:p>
            <w:pPr>
              <w:jc w:val="center"/>
              <w:ind w:left="604"/>
              <w:spacing w:after="0"/>
              <w:rPr>
                <w:sz w:val="20"/>
                <w:szCs w:val="20"/>
                <w:color w:val="auto"/>
              </w:rPr>
            </w:pPr>
            <w:r>
              <w:rPr>
                <w:rFonts w:ascii="Times New Roman" w:cs="Times New Roman" w:eastAsia="Times New Roman" w:hAnsi="Times New Roman"/>
                <w:sz w:val="17"/>
                <w:szCs w:val="17"/>
                <w:color w:val="0000FF"/>
                <w:w w:val="98"/>
              </w:rPr>
              <w:t>03/09/2024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22"/>
              <w:spacing w:after="0"/>
              <w:rPr>
                <w:sz w:val="20"/>
                <w:szCs w:val="20"/>
                <w:color w:val="auto"/>
              </w:rPr>
            </w:pPr>
            <w:r>
              <w:rPr>
                <w:rFonts w:ascii="Times New Roman" w:cs="Times New Roman" w:eastAsia="Times New Roman" w:hAnsi="Times New Roman"/>
                <w:sz w:val="17"/>
                <w:szCs w:val="17"/>
                <w:color w:val="0000FF"/>
                <w:w w:val="98"/>
              </w:rPr>
              <w:t>12,662</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8.09</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430,493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86"/>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6,234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1140" w:type="dxa"/>
            <w:vAlign w:val="bottom"/>
          </w:tcPr>
          <w:p>
            <w:pPr>
              <w:spacing w:after="0"/>
              <w:rPr>
                <w:sz w:val="12"/>
                <w:szCs w:val="12"/>
                <w:color w:val="auto"/>
              </w:rPr>
            </w:pPr>
          </w:p>
        </w:tc>
        <w:tc>
          <w:tcPr>
            <w:tcW w:w="74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6,234</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7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8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86"/>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6,234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1140" w:type="dxa"/>
            <w:vAlign w:val="bottom"/>
          </w:tcPr>
          <w:p>
            <w:pPr>
              <w:spacing w:after="0"/>
              <w:rPr>
                <w:sz w:val="12"/>
                <w:szCs w:val="12"/>
                <w:color w:val="auto"/>
              </w:rPr>
            </w:pPr>
          </w:p>
        </w:tc>
        <w:tc>
          <w:tcPr>
            <w:tcW w:w="74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6,234</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7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8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86"/>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21,577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1140" w:type="dxa"/>
            <w:vAlign w:val="bottom"/>
          </w:tcPr>
          <w:p>
            <w:pPr>
              <w:spacing w:after="0"/>
              <w:rPr>
                <w:sz w:val="12"/>
                <w:szCs w:val="12"/>
                <w:color w:val="auto"/>
              </w:rPr>
            </w:pPr>
          </w:p>
        </w:tc>
        <w:tc>
          <w:tcPr>
            <w:tcW w:w="74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40"/>
              <w:spacing w:after="0" w:line="142" w:lineRule="exact"/>
              <w:rPr>
                <w:sz w:val="20"/>
                <w:szCs w:val="20"/>
                <w:color w:val="auto"/>
              </w:rPr>
            </w:pPr>
            <w:r>
              <w:rPr>
                <w:rFonts w:ascii="Times New Roman" w:cs="Times New Roman" w:eastAsia="Times New Roman" w:hAnsi="Times New Roman"/>
                <w:sz w:val="13"/>
                <w:szCs w:val="13"/>
                <w:color w:val="0000FF"/>
              </w:rPr>
              <w:t>21,577</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7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8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86"/>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21,577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1140" w:type="dxa"/>
            <w:vAlign w:val="bottom"/>
          </w:tcPr>
          <w:p>
            <w:pPr>
              <w:spacing w:after="0"/>
              <w:rPr>
                <w:sz w:val="12"/>
                <w:szCs w:val="12"/>
                <w:color w:val="auto"/>
              </w:rPr>
            </w:pPr>
          </w:p>
        </w:tc>
        <w:tc>
          <w:tcPr>
            <w:tcW w:w="74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40"/>
              <w:spacing w:after="0" w:line="142" w:lineRule="exact"/>
              <w:rPr>
                <w:sz w:val="20"/>
                <w:szCs w:val="20"/>
                <w:color w:val="auto"/>
              </w:rPr>
            </w:pPr>
            <w:r>
              <w:rPr>
                <w:rFonts w:ascii="Times New Roman" w:cs="Times New Roman" w:eastAsia="Times New Roman" w:hAnsi="Times New Roman"/>
                <w:sz w:val="13"/>
                <w:szCs w:val="13"/>
                <w:color w:val="0000FF"/>
              </w:rPr>
              <w:t>21,577</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7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8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86"/>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43,155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1140" w:type="dxa"/>
            <w:vAlign w:val="bottom"/>
          </w:tcPr>
          <w:p>
            <w:pPr>
              <w:spacing w:after="0"/>
              <w:rPr>
                <w:sz w:val="12"/>
                <w:szCs w:val="12"/>
                <w:color w:val="auto"/>
              </w:rPr>
            </w:pPr>
          </w:p>
        </w:tc>
        <w:tc>
          <w:tcPr>
            <w:tcW w:w="74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40"/>
              <w:spacing w:after="0" w:line="142" w:lineRule="exact"/>
              <w:rPr>
                <w:sz w:val="20"/>
                <w:szCs w:val="20"/>
                <w:color w:val="auto"/>
              </w:rPr>
            </w:pPr>
            <w:r>
              <w:rPr>
                <w:rFonts w:ascii="Times New Roman" w:cs="Times New Roman" w:eastAsia="Times New Roman" w:hAnsi="Times New Roman"/>
                <w:sz w:val="13"/>
                <w:szCs w:val="13"/>
                <w:color w:val="0000FF"/>
              </w:rPr>
              <w:t>43,155</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03/09/2024</w:t>
            </w:r>
          </w:p>
        </w:tc>
        <w:tc>
          <w:tcPr>
            <w:tcW w:w="7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Borders>
              <w:bottom w:val="single" w:sz="8" w:color="808080"/>
            </w:tcBorders>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(5)</w:t>
            </w:r>
          </w:p>
        </w:tc>
        <w:tc>
          <w:tcPr>
            <w:tcW w:w="78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spacing w:after="0"/>
              <w:rPr>
                <w:sz w:val="20"/>
                <w:szCs w:val="20"/>
                <w:color w:val="auto"/>
              </w:rPr>
            </w:pPr>
          </w:p>
        </w:tc>
        <w:tc>
          <w:tcPr>
            <w:tcW w:w="114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jc w:val="center"/>
              <w:ind w:right="8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-3500120</wp:posOffset>
            </wp:positionV>
            <wp:extent cx="29210" cy="3779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79520"/>
                    </a:xfrm>
                    <a:prstGeom prst="rect">
                      <a:avLst/>
                    </a:prstGeom>
                    <a:noFill/>
                  </pic:spPr>
                </pic:pic>
              </a:graphicData>
            </a:graphic>
          </wp:anchor>
        </w:drawing>
      </w:r>
    </w:p>
    <w:p>
      <w:pPr>
        <w:sectPr>
          <w:pgSz w:w="11900" w:h="16838" w:orient="portrait"/>
          <w:cols w:equalWidth="0" w:num="1">
            <w:col w:w="11080"/>
          </w:cols>
          <w:pgMar w:left="460" w:top="217" w:right="359" w:bottom="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5"/>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43,155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140" w:type="dxa"/>
            <w:vAlign w:val="bottom"/>
            <w:gridSpan w:val="5"/>
          </w:tcPr>
          <w:p>
            <w:pPr>
              <w:ind w:left="28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1060" w:type="dxa"/>
            <w:vAlign w:val="bottom"/>
          </w:tcPr>
          <w:p>
            <w:pPr>
              <w:spacing w:after="0"/>
              <w:rPr>
                <w:sz w:val="12"/>
                <w:szCs w:val="12"/>
                <w:color w:val="auto"/>
              </w:rPr>
            </w:pPr>
          </w:p>
        </w:tc>
        <w:tc>
          <w:tcPr>
            <w:tcW w:w="720" w:type="dxa"/>
            <w:vAlign w:val="bottom"/>
            <w:gridSpan w:val="4"/>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6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43,155</w:t>
            </w:r>
          </w:p>
        </w:tc>
        <w:tc>
          <w:tcPr>
            <w:tcW w:w="8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03/09/2024</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4"/>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(6)</w:t>
            </w: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10"/>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gridSpan w:val="8"/>
          </w:tcPr>
          <w:p>
            <w:pPr>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Blatherwick Nell M.</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gridSpan w:val="8"/>
          </w:tcPr>
          <w:p>
            <w:pPr>
              <w:spacing w:after="0" w:line="219"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Nelson Andrew Rowan</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gridSpan w:val="8"/>
          </w:tcPr>
          <w:p>
            <w:pPr>
              <w:spacing w:after="0" w:line="219"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Charles K. Huebner Trust</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13"/>
          </w:tcPr>
          <w:p>
            <w:pPr>
              <w:spacing w:after="0" w:line="219"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Thomas P. Danis, Jr. Revocable Living Trust</w:t>
              </w:r>
            </w:hyperlink>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Borders>
              <w:top w:val="single" w:sz="8" w:color="0000EE"/>
            </w:tcBorders>
            <w:gridSpan w:val="8"/>
          </w:tcPr>
          <w:p>
            <w:pPr>
              <w:spacing w:after="0" w:line="212"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dated March 10, 2003</w:t>
              </w:r>
            </w:hyperlink>
          </w:p>
        </w:tc>
        <w:tc>
          <w:tcPr>
            <w:tcW w:w="10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4514 COLE AVENUE, SUITE 1600</w:t>
            </w: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75205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13"/>
          </w:tcPr>
          <w:p>
            <w:pPr>
              <w:spacing w:after="0" w:line="219"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Jon I. Madorsky Revocable Trust dated December</w:t>
              </w:r>
            </w:hyperlink>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60" w:type="dxa"/>
            <w:vAlign w:val="bottom"/>
            <w:gridSpan w:val="5"/>
          </w:tcPr>
          <w:p>
            <w:pPr>
              <w:ind w:left="120"/>
              <w:spacing w:after="0" w:line="212" w:lineRule="exact"/>
              <w:rPr>
                <w:rFonts w:ascii="Times New Roman" w:cs="Times New Roman" w:eastAsia="Times New Roman" w:hAnsi="Times New Roman"/>
                <w:sz w:val="21"/>
                <w:szCs w:val="21"/>
                <w:color w:val="0000EE"/>
                <w:w w:val="98"/>
              </w:rPr>
            </w:pPr>
            <w:hyperlink r:id="rId19">
              <w:r>
                <w:rPr>
                  <w:rFonts w:ascii="Times New Roman" w:cs="Times New Roman" w:eastAsia="Times New Roman" w:hAnsi="Times New Roman"/>
                  <w:sz w:val="21"/>
                  <w:szCs w:val="21"/>
                  <w:color w:val="0000EE"/>
                  <w:w w:val="98"/>
                </w:rPr>
                <w:t>1, 2008</w:t>
              </w:r>
            </w:hyperlink>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838" w:orient="portrait"/>
          <w:cols w:equalWidth="0" w:num="1">
            <w:col w:w="11080"/>
          </w:cols>
          <w:pgMar w:left="460" w:top="191" w:right="359" w:bottom="0" w:gutter="0" w:footer="0" w:header="0"/>
        </w:sect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91"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8"/>
                <w:szCs w:val="18"/>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64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Abell Alexander I.</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-2153920</wp:posOffset>
            </wp:positionV>
            <wp:extent cx="2809240" cy="2232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2232025"/>
                    </a:xfrm>
                    <a:prstGeom prst="rect">
                      <a:avLst/>
                    </a:prstGeom>
                    <a:noFill/>
                  </pic:spPr>
                </pic:pic>
              </a:graphicData>
            </a:graphic>
          </wp:anchor>
        </w:drawing>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N. Blatherwick.</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Nelson</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C. Huebner</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T. Danis.</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J. Madorsky.</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Abell.</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3"/>
          <w:szCs w:val="13"/>
          <w:color w:val="008000"/>
        </w:rPr>
        <w:t>This Form 4 is being filed on behalf of (i) Nell M. Blatherwick, (ii) Andrew R. Nelson, (iii) the Charles K. Huebner Trust (the "Huebner Trust") and Charles K. Huebner, as trustee of the Huebner Trust, (iv) the Thomas P. Danis Revocable Living Trust (the "Danis Trust") and Thomas P. Danis, as trustee of the Danis Trust, (v) the Jon I. Madorsky Revocable Trust (the "Madorsky Trust") and Jon I. Madorsky, as trustee of the Madorsky Trust and (vi) Alexander I. Abell (collectively, the "Reporting Persons"). The Reporting Persons may be deemed to be members of a Section 13(d) group that collectively beneficially owns more than 10% of the Issuer's Common Stock. Each of the Reporting Persons disclaims beneficial ownership of the securities of the Issuer held by each other Reporting Person, and the filing of this Form 4 shall not be construed as an admission that the Reporting Persons are beneficial owners of the securities of the Issuer reported herein. The securities reported herein do not include shares of Class B Common Stock that may be held by the Reporting Persons or securities held by any other group member other than the Reporting Persons.</w:t>
      </w:r>
    </w:p>
    <w:p>
      <w:pPr>
        <w:spacing w:after="0" w:line="5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 Fact for the Reporting</w:t>
      </w:r>
      <w:r>
        <w:rPr>
          <w:sz w:val="20"/>
          <w:szCs w:val="20"/>
          <w:color w:val="auto"/>
        </w:rPr>
        <w:tab/>
      </w:r>
      <w:r>
        <w:rPr>
          <w:rFonts w:ascii="Times New Roman" w:cs="Times New Roman" w:eastAsia="Times New Roman" w:hAnsi="Times New Roman"/>
          <w:sz w:val="16"/>
          <w:szCs w:val="16"/>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885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330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0835" cy="8255"/>
                    </a:xfrm>
                    <a:prstGeom prst="rect">
                      <a:avLst/>
                    </a:prstGeom>
                    <a:noFill/>
                  </pic:spPr>
                </pic:pic>
              </a:graphicData>
            </a:graphic>
          </wp:anchor>
        </w:drawing>
      </w:r>
    </w:p>
    <w:p>
      <w:pPr>
        <w:spacing w:after="0" w:line="31"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40" w:firstLine="2"/>
        <w:spacing w:after="0" w:line="336"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2" Type="http://schemas.openxmlformats.org/officeDocument/2006/relationships/hyperlink" Target="http://www.sec.gov/cgi-bin/browse-edgar?action=getcompany&amp;CIK=0001888782" TargetMode="External"/><Relationship Id="rId13"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889330" TargetMode="External"/><Relationship Id="rId17" Type="http://schemas.openxmlformats.org/officeDocument/2006/relationships/hyperlink" Target="http://www.sec.gov/cgi-bin/browse-edgar?action=getcompany&amp;CIK=0001971324" TargetMode="External"/><Relationship Id="rId18" Type="http://schemas.openxmlformats.org/officeDocument/2006/relationships/hyperlink" Target="http://www.sec.gov/cgi-bin/browse-edgar?action=getcompany&amp;CIK=0001889693" TargetMode="External"/><Relationship Id="rId19" Type="http://schemas.openxmlformats.org/officeDocument/2006/relationships/hyperlink" Target="http://www.sec.gov/cgi-bin/browse-edgar?action=getcompany&amp;CIK=0001895437" TargetMode="External"/><Relationship Id="rId20" Type="http://schemas.openxmlformats.org/officeDocument/2006/relationships/hyperlink" Target="http://www.sec.gov/cgi-bin/browse-edgar?action=getcompany&amp;CIK=0001888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2024-03-12T21:00:07Z</dcterms:created>
  <dcterms:modified xsi:type="dcterms:W3CDTF">2024-03-12T21:00:07Z</dcterms:modified>
</cp:coreProperties>
</file>