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6019165</wp:posOffset>
            </wp:positionH>
            <wp:positionV relativeFrom="page">
              <wp:posOffset>401955</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 No. 2)*</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 Rule 13d-1 (b)</w:t>
      </w:r>
    </w:p>
    <w:p>
      <w:pPr>
        <w:spacing w:after="0" w:line="225" w:lineRule="exact"/>
        <w:rPr>
          <w:sz w:val="20"/>
          <w:szCs w:val="20"/>
          <w:color w:val="auto"/>
        </w:rPr>
      </w:pPr>
    </w:p>
    <w:p>
      <w:pPr>
        <w:ind w:left="360" w:right="9720" w:hanging="1"/>
        <w:spacing w:after="0" w:line="601" w:lineRule="auto"/>
        <w:tabs>
          <w:tab w:leader="none" w:pos="56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Rule 13d-1 (c) o Rule 13d-1 (d)</w:t>
      </w: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8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818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8"/>
          <w:szCs w:val="18"/>
          <w:color w:val="auto"/>
        </w:rPr>
        <w:t>1.</w:t>
        <w:tab/>
        <w:t>Name of Reporting Person: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North American Equity Investors,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47-0773534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142240</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720"/>
            <w:col w:w="6620"/>
          </w:cols>
          <w:pgMar w:left="300" w:top="1320" w:right="299" w:bottom="1440" w:gutter="0" w:footer="0" w:header="0"/>
          <w:type w:val="continuous"/>
        </w:sectPr>
      </w:pPr>
    </w:p>
    <w:p>
      <w:pPr>
        <w:spacing w:after="0" w:line="262" w:lineRule="exact"/>
        <w:rPr>
          <w:sz w:val="20"/>
          <w:szCs w:val="20"/>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84" w:lineRule="exact"/>
        <w:rPr>
          <w:rFonts w:ascii="Arial" w:cs="Arial" w:eastAsia="Arial" w:hAnsi="Arial"/>
          <w:sz w:val="18"/>
          <w:szCs w:val="18"/>
          <w:color w:val="auto"/>
        </w:rPr>
      </w:pPr>
    </w:p>
    <w:p>
      <w:pPr>
        <w:ind w:left="1160" w:hanging="348"/>
        <w:spacing w:after="0" w:line="207" w:lineRule="exact"/>
        <w:tabs>
          <w:tab w:leader="none" w:pos="11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2,192,300</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060" w:type="dxa"/>
            <w:vAlign w:val="bottom"/>
            <w:vMerge w:val="continue"/>
          </w:tcPr>
          <w:p>
            <w:pPr>
              <w:spacing w:after="0"/>
              <w:rPr>
                <w:sz w:val="24"/>
                <w:szCs w:val="24"/>
                <w:color w:val="auto"/>
              </w:rPr>
            </w:pP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-855980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-855980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2,192,300</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right="7920" w:hanging="336"/>
        <w:spacing w:after="0" w:line="268"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2,192,300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62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5.14%</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8185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8"/>
          <w:szCs w:val="18"/>
          <w:color w:val="auto"/>
        </w:rPr>
        <w:t>1.</w:t>
        <w:tab/>
        <w:t>Name of Reporting Person: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Thompson Machinery Commerce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62-1098634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142240</wp:posOffset>
            </wp:positionV>
            <wp:extent cx="718185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600"/>
            <w:col w:w="6620"/>
          </w:cols>
          <w:pgMar w:left="300" w:top="1320" w:right="299" w:bottom="1440" w:gutter="0" w:footer="0" w:header="0"/>
          <w:type w:val="continuous"/>
        </w:sectPr>
      </w:pPr>
    </w:p>
    <w:p>
      <w:pPr>
        <w:spacing w:after="0" w:line="262" w:lineRule="exact"/>
        <w:rPr>
          <w:sz w:val="20"/>
          <w:szCs w:val="20"/>
          <w:color w:val="auto"/>
        </w:rPr>
      </w:pPr>
    </w:p>
    <w:p>
      <w:pPr>
        <w:ind w:left="820" w:hanging="35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160" w:hanging="34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84" w:lineRule="exact"/>
        <w:rPr>
          <w:rFonts w:ascii="Arial" w:cs="Arial" w:eastAsia="Arial" w:hAnsi="Arial"/>
          <w:sz w:val="18"/>
          <w:szCs w:val="18"/>
          <w:color w:val="auto"/>
        </w:rPr>
      </w:pPr>
    </w:p>
    <w:p>
      <w:pPr>
        <w:ind w:left="1160" w:hanging="348"/>
        <w:spacing w:after="0" w:line="207" w:lineRule="exact"/>
        <w:tabs>
          <w:tab w:leader="none" w:pos="11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820" w:hanging="35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Tennessee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500" w:right="8440" w:hanging="336"/>
        <w:spacing w:after="0" w:line="332" w:lineRule="auto"/>
        <w:tabs>
          <w:tab w:leader="none" w:pos="1500" w:val="left"/>
        </w:tabs>
        <w:numPr>
          <w:ilvl w:val="2"/>
          <w:numId w:val="5"/>
        </w:numPr>
        <w:rPr>
          <w:rFonts w:ascii="Arial" w:cs="Arial" w:eastAsia="Arial" w:hAnsi="Arial"/>
          <w:sz w:val="16"/>
          <w:szCs w:val="16"/>
          <w:color w:val="auto"/>
        </w:rPr>
      </w:pPr>
      <w:r>
        <w:rPr>
          <w:rFonts w:ascii="Arial" w:cs="Arial" w:eastAsia="Arial" w:hAnsi="Arial"/>
          <w:sz w:val="16"/>
          <w:szCs w:val="16"/>
          <w:color w:val="auto"/>
        </w:rPr>
        <w:t>Sole Voting Power: 2,192,300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-1468755</wp:posOffset>
            </wp:positionV>
            <wp:extent cx="718185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-1039495</wp:posOffset>
            </wp:positionV>
            <wp:extent cx="718185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-473710</wp:posOffset>
            </wp:positionV>
            <wp:extent cx="718185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91440</wp:posOffset>
            </wp:positionV>
            <wp:extent cx="644461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44615" cy="21590"/>
                    </a:xfrm>
                    <a:prstGeom prst="rect">
                      <a:avLst/>
                    </a:prstGeom>
                    <a:noFill/>
                  </pic:spPr>
                </pic:pic>
              </a:graphicData>
            </a:graphic>
          </wp:anchor>
        </w:drawing>
      </w:r>
    </w:p>
    <w:p>
      <w:pPr>
        <w:spacing w:after="0" w:line="26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2,192,300</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right="7920" w:hanging="336"/>
        <w:spacing w:after="0" w:line="268"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2,192,300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620" w:hanging="359"/>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5.14%</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color w:val="auto"/>
        </w:rPr>
        <w:t>Item 1.</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Name of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Inc.</w:t>
      </w:r>
    </w:p>
    <w:p>
      <w:pPr>
        <w:spacing w:after="0" w:line="204" w:lineRule="exact"/>
        <w:rPr>
          <w:sz w:val="20"/>
          <w:szCs w:val="20"/>
          <w:color w:val="auto"/>
        </w:rPr>
      </w:pPr>
    </w:p>
    <w:p>
      <w:pPr>
        <w:sectPr>
          <w:pgSz w:w="11900" w:h="16838" w:orient="portrait"/>
          <w:cols w:equalWidth="0" w:num="3">
            <w:col w:w="1340" w:space="720"/>
            <w:col w:w="4480" w:space="720"/>
            <w:col w:w="4160"/>
          </w:cols>
          <w:pgMar w:left="240" w:top="931" w:right="239" w:bottom="1440" w:gutter="0" w:footer="0" w:header="0"/>
          <w:type w:val="continuous"/>
        </w:sectPr>
      </w:pPr>
    </w:p>
    <w:p>
      <w:pPr>
        <w:spacing w:after="0" w:line="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11525 Stonehollow Drive Suite 110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Austin, TX 78758</w:t>
      </w:r>
    </w:p>
    <w:p>
      <w:pPr>
        <w:spacing w:after="0" w:line="166" w:lineRule="exact"/>
        <w:rPr>
          <w:sz w:val="20"/>
          <w:szCs w:val="20"/>
          <w:color w:val="auto"/>
        </w:rPr>
      </w:pPr>
    </w:p>
    <w:p>
      <w:pPr>
        <w:sectPr>
          <w:pgSz w:w="11900" w:h="16838" w:orient="portrait"/>
          <w:cols w:equalWidth="0" w:num="3">
            <w:col w:w="1360" w:space="700"/>
            <w:col w:w="4480" w:space="720"/>
            <w:col w:w="4160"/>
          </w:cols>
          <w:pgMar w:left="240" w:top="93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5120" w:type="dxa"/>
            <w:vAlign w:val="bottom"/>
          </w:tcPr>
          <w:p>
            <w:pPr>
              <w:ind w:left="340"/>
              <w:spacing w:after="0"/>
              <w:rPr>
                <w:sz w:val="20"/>
                <w:szCs w:val="20"/>
                <w:color w:val="auto"/>
              </w:rPr>
            </w:pPr>
            <w:r>
              <w:rPr>
                <w:rFonts w:ascii="Arial" w:cs="Arial" w:eastAsia="Arial" w:hAnsi="Arial"/>
                <w:sz w:val="18"/>
                <w:szCs w:val="18"/>
                <w:color w:val="auto"/>
              </w:rPr>
              <w:t>Name of Person Filing</w:t>
            </w:r>
          </w:p>
        </w:tc>
        <w:tc>
          <w:tcPr>
            <w:tcW w:w="3400" w:type="dxa"/>
            <w:vAlign w:val="bottom"/>
          </w:tcPr>
          <w:p>
            <w:pPr>
              <w:ind w:left="420"/>
              <w:spacing w:after="0"/>
              <w:rPr>
                <w:sz w:val="20"/>
                <w:szCs w:val="20"/>
                <w:color w:val="auto"/>
              </w:rPr>
            </w:pPr>
            <w:r>
              <w:rPr>
                <w:rFonts w:ascii="Arial" w:cs="Arial" w:eastAsia="Arial" w:hAnsi="Arial"/>
                <w:sz w:val="18"/>
                <w:szCs w:val="18"/>
                <w:b w:val="1"/>
                <w:bCs w:val="1"/>
                <w:color w:val="auto"/>
                <w:w w:val="92"/>
              </w:rPr>
              <w:t>North American Equity Investors, Inc.</w:t>
            </w:r>
          </w:p>
        </w:tc>
      </w:tr>
      <w:tr>
        <w:trPr>
          <w:trHeight w:val="414"/>
        </w:trPr>
        <w:tc>
          <w:tcPr>
            <w:tcW w:w="580" w:type="dxa"/>
            <w:vAlign w:val="bottom"/>
          </w:tcPr>
          <w:p>
            <w:pPr>
              <w:spacing w:after="0"/>
              <w:rPr>
                <w:sz w:val="20"/>
                <w:szCs w:val="20"/>
                <w:color w:val="auto"/>
              </w:rPr>
            </w:pPr>
            <w:r>
              <w:rPr>
                <w:rFonts w:ascii="Arial" w:cs="Arial" w:eastAsia="Arial" w:hAnsi="Arial"/>
                <w:sz w:val="18"/>
                <w:szCs w:val="18"/>
                <w:color w:val="auto"/>
              </w:rPr>
              <w:t>(b)</w:t>
            </w:r>
          </w:p>
        </w:tc>
        <w:tc>
          <w:tcPr>
            <w:tcW w:w="5120" w:type="dxa"/>
            <w:vAlign w:val="bottom"/>
          </w:tcPr>
          <w:p>
            <w:pPr>
              <w:ind w:left="340"/>
              <w:spacing w:after="0"/>
              <w:rPr>
                <w:sz w:val="20"/>
                <w:szCs w:val="20"/>
                <w:color w:val="auto"/>
              </w:rPr>
            </w:pPr>
            <w:r>
              <w:rPr>
                <w:rFonts w:ascii="Arial" w:cs="Arial" w:eastAsia="Arial" w:hAnsi="Arial"/>
                <w:sz w:val="18"/>
                <w:szCs w:val="18"/>
                <w:color w:val="auto"/>
              </w:rPr>
              <w:t>Address of Principal Business Office or, if none, Residence:</w:t>
            </w:r>
          </w:p>
        </w:tc>
        <w:tc>
          <w:tcPr>
            <w:tcW w:w="3400" w:type="dxa"/>
            <w:vAlign w:val="bottom"/>
          </w:tcPr>
          <w:p>
            <w:pPr>
              <w:ind w:left="420"/>
              <w:spacing w:after="0"/>
              <w:rPr>
                <w:sz w:val="20"/>
                <w:szCs w:val="20"/>
                <w:color w:val="auto"/>
              </w:rPr>
            </w:pPr>
            <w:r>
              <w:rPr>
                <w:rFonts w:ascii="Arial" w:cs="Arial" w:eastAsia="Arial" w:hAnsi="Arial"/>
                <w:sz w:val="18"/>
                <w:szCs w:val="18"/>
                <w:b w:val="1"/>
                <w:bCs w:val="1"/>
                <w:color w:val="auto"/>
              </w:rPr>
              <w:t>1245 Bridgestone Boulevard</w:t>
            </w:r>
          </w:p>
        </w:tc>
      </w:tr>
      <w:tr>
        <w:trPr>
          <w:trHeight w:val="234"/>
        </w:trPr>
        <w:tc>
          <w:tcPr>
            <w:tcW w:w="5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400" w:type="dxa"/>
            <w:vAlign w:val="bottom"/>
          </w:tcPr>
          <w:p>
            <w:pPr>
              <w:ind w:left="420"/>
              <w:spacing w:after="0"/>
              <w:rPr>
                <w:sz w:val="20"/>
                <w:szCs w:val="20"/>
                <w:color w:val="auto"/>
              </w:rPr>
            </w:pPr>
            <w:r>
              <w:rPr>
                <w:rFonts w:ascii="Arial" w:cs="Arial" w:eastAsia="Arial" w:hAnsi="Arial"/>
                <w:sz w:val="18"/>
                <w:szCs w:val="18"/>
                <w:b w:val="1"/>
                <w:bCs w:val="1"/>
                <w:color w:val="auto"/>
              </w:rPr>
              <w:t>LaVergne, TN 37015</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(c)</w:t>
            </w:r>
          </w:p>
        </w:tc>
        <w:tc>
          <w:tcPr>
            <w:tcW w:w="5120" w:type="dxa"/>
            <w:vAlign w:val="bottom"/>
          </w:tcPr>
          <w:p>
            <w:pPr>
              <w:ind w:left="340"/>
              <w:spacing w:after="0"/>
              <w:rPr>
                <w:sz w:val="20"/>
                <w:szCs w:val="20"/>
                <w:color w:val="auto"/>
              </w:rPr>
            </w:pPr>
            <w:r>
              <w:rPr>
                <w:rFonts w:ascii="Arial" w:cs="Arial" w:eastAsia="Arial" w:hAnsi="Arial"/>
                <w:sz w:val="18"/>
                <w:szCs w:val="18"/>
                <w:color w:val="auto"/>
              </w:rPr>
              <w:t>Citizenship:</w:t>
            </w:r>
          </w:p>
        </w:tc>
        <w:tc>
          <w:tcPr>
            <w:tcW w:w="3400" w:type="dxa"/>
            <w:vAlign w:val="bottom"/>
          </w:tcPr>
          <w:p>
            <w:pPr>
              <w:ind w:left="420"/>
              <w:spacing w:after="0"/>
              <w:rPr>
                <w:sz w:val="20"/>
                <w:szCs w:val="20"/>
                <w:color w:val="auto"/>
              </w:rPr>
            </w:pPr>
            <w:r>
              <w:rPr>
                <w:rFonts w:ascii="Arial" w:cs="Arial" w:eastAsia="Arial" w:hAnsi="Arial"/>
                <w:sz w:val="18"/>
                <w:szCs w:val="18"/>
                <w:b w:val="1"/>
                <w:bCs w:val="1"/>
                <w:color w:val="auto"/>
              </w:rPr>
              <w:t>Delaware</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w:t>
            </w:r>
          </w:p>
        </w:tc>
        <w:tc>
          <w:tcPr>
            <w:tcW w:w="5120" w:type="dxa"/>
            <w:vAlign w:val="bottom"/>
          </w:tcPr>
          <w:p>
            <w:pPr>
              <w:ind w:left="340"/>
              <w:spacing w:after="0"/>
              <w:rPr>
                <w:sz w:val="20"/>
                <w:szCs w:val="20"/>
                <w:color w:val="auto"/>
              </w:rPr>
            </w:pPr>
            <w:r>
              <w:rPr>
                <w:rFonts w:ascii="Arial" w:cs="Arial" w:eastAsia="Arial" w:hAnsi="Arial"/>
                <w:sz w:val="18"/>
                <w:szCs w:val="18"/>
                <w:color w:val="auto"/>
              </w:rPr>
              <w:t>Title of Class of Securities:</w:t>
            </w:r>
          </w:p>
        </w:tc>
        <w:tc>
          <w:tcPr>
            <w:tcW w:w="3400" w:type="dxa"/>
            <w:vAlign w:val="bottom"/>
          </w:tcPr>
          <w:p>
            <w:pPr>
              <w:ind w:left="420"/>
              <w:spacing w:after="0"/>
              <w:rPr>
                <w:sz w:val="20"/>
                <w:szCs w:val="20"/>
                <w:color w:val="auto"/>
              </w:rPr>
            </w:pPr>
            <w:r>
              <w:rPr>
                <w:rFonts w:ascii="Arial" w:cs="Arial" w:eastAsia="Arial" w:hAnsi="Arial"/>
                <w:sz w:val="18"/>
                <w:szCs w:val="18"/>
                <w:b w:val="1"/>
                <w:bCs w:val="1"/>
                <w:color w:val="auto"/>
              </w:rPr>
              <w:t>Common stock</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(e)</w:t>
            </w:r>
          </w:p>
        </w:tc>
        <w:tc>
          <w:tcPr>
            <w:tcW w:w="5120" w:type="dxa"/>
            <w:vAlign w:val="bottom"/>
          </w:tcPr>
          <w:p>
            <w:pPr>
              <w:ind w:left="340"/>
              <w:spacing w:after="0"/>
              <w:rPr>
                <w:sz w:val="20"/>
                <w:szCs w:val="20"/>
                <w:color w:val="auto"/>
              </w:rPr>
            </w:pPr>
            <w:r>
              <w:rPr>
                <w:rFonts w:ascii="Arial" w:cs="Arial" w:eastAsia="Arial" w:hAnsi="Arial"/>
                <w:sz w:val="18"/>
                <w:szCs w:val="18"/>
                <w:color w:val="auto"/>
              </w:rPr>
              <w:t>CUSIP Number:</w:t>
            </w:r>
          </w:p>
        </w:tc>
        <w:tc>
          <w:tcPr>
            <w:tcW w:w="3400" w:type="dxa"/>
            <w:vAlign w:val="bottom"/>
          </w:tcPr>
          <w:p>
            <w:pPr>
              <w:ind w:left="420"/>
              <w:spacing w:after="0"/>
              <w:rPr>
                <w:sz w:val="20"/>
                <w:szCs w:val="20"/>
                <w:color w:val="auto"/>
              </w:rPr>
            </w:pPr>
            <w:r>
              <w:rPr>
                <w:rFonts w:ascii="Arial" w:cs="Arial" w:eastAsia="Arial" w:hAnsi="Arial"/>
                <w:sz w:val="18"/>
                <w:szCs w:val="18"/>
                <w:b w:val="1"/>
                <w:bCs w:val="1"/>
                <w:color w:val="auto"/>
              </w:rPr>
              <w:t>00504W100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 APPLICABLE</w:t>
      </w:r>
    </w:p>
    <w:p>
      <w:pPr>
        <w:sectPr>
          <w:pgSz w:w="11900" w:h="16838" w:orient="portrait"/>
          <w:cols w:equalWidth="0" w:num="1">
            <w:col w:w="11420"/>
          </w:cols>
          <w:pgMar w:left="240" w:top="931" w:right="239" w:bottom="1440" w:gutter="0" w:footer="0" w:header="0"/>
          <w:type w:val="continuous"/>
        </w:sectPr>
      </w:pP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Broker or dealer registered under section 15 of the Act (15 U.S.C. 78o).</w:t>
      </w:r>
    </w:p>
    <w:p>
      <w:pPr>
        <w:spacing w:after="0" w:line="211" w:lineRule="exact"/>
        <w:rPr>
          <w:sz w:val="20"/>
          <w:szCs w:val="20"/>
          <w:color w:val="auto"/>
        </w:rPr>
      </w:pPr>
    </w:p>
    <w:p>
      <w:pPr>
        <w:sectPr>
          <w:pgSz w:w="11900" w:h="16838" w:orient="portrait"/>
          <w:cols w:equalWidth="0" w:num="3">
            <w:col w:w="1360" w:space="720"/>
            <w:col w:w="100" w:space="580"/>
            <w:col w:w="8660"/>
          </w:cols>
          <w:pgMar w:left="240" w:top="931" w:right="239" w:bottom="1440" w:gutter="0" w:footer="0" w:header="0"/>
          <w:type w:val="continuous"/>
        </w:sectPr>
      </w:pPr>
    </w:p>
    <w:p>
      <w:pPr>
        <w:spacing w:after="0" w:line="3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Bank as defined in section 3(a)(6) of the Act (15 U.S.C. 78c).</w:t>
      </w:r>
    </w:p>
    <w:p>
      <w:pPr>
        <w:spacing w:after="0" w:line="45" w:lineRule="exact"/>
        <w:rPr>
          <w:sz w:val="20"/>
          <w:szCs w:val="20"/>
          <w:color w:val="auto"/>
        </w:rPr>
      </w:pPr>
    </w:p>
    <w:p>
      <w:pPr>
        <w:sectPr>
          <w:pgSz w:w="11900" w:h="16838" w:orient="portrait"/>
          <w:cols w:equalWidth="0" w:num="3">
            <w:col w:w="1380" w:space="700"/>
            <w:col w:w="100" w:space="580"/>
            <w:col w:w="8660"/>
          </w:cols>
          <w:pgMar w:left="240" w:top="931" w:right="239" w:bottom="1440" w:gutter="0" w:footer="0" w:header="0"/>
          <w:type w:val="continuous"/>
        </w:sectPr>
      </w:pPr>
    </w:p>
    <w:p>
      <w:pPr>
        <w:ind w:left="2080" w:hanging="911"/>
        <w:spacing w:after="0"/>
        <w:tabs>
          <w:tab w:leader="none" w:pos="2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2080" w:hanging="911"/>
        <w:spacing w:after="0"/>
        <w:tabs>
          <w:tab w:leader="none" w:pos="2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9" w:lineRule="exact"/>
        <w:rPr>
          <w:sz w:val="20"/>
          <w:szCs w:val="20"/>
          <w:color w:val="auto"/>
        </w:rPr>
      </w:pPr>
    </w:p>
    <w:p>
      <w:pPr>
        <w:ind w:left="1160"/>
        <w:spacing w:after="0"/>
        <w:tabs>
          <w:tab w:leader="none" w:pos="2060" w:val="left"/>
          <w:tab w:leader="none" w:pos="27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An investment adviser in accordance with §240.13d-1(b)(1)(ii)(E);</w:t>
      </w:r>
    </w:p>
    <w:p>
      <w:pPr>
        <w:spacing w:after="0" w:line="9" w:lineRule="exact"/>
        <w:rPr>
          <w:sz w:val="20"/>
          <w:szCs w:val="20"/>
          <w:color w:val="auto"/>
        </w:rPr>
      </w:pPr>
    </w:p>
    <w:p>
      <w:pPr>
        <w:ind w:left="2080" w:hanging="911"/>
        <w:spacing w:after="0"/>
        <w:tabs>
          <w:tab w:leader="none" w:pos="2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9" w:lineRule="exact"/>
        <w:rPr>
          <w:rFonts w:ascii="Arial" w:cs="Arial" w:eastAsia="Arial" w:hAnsi="Arial"/>
          <w:sz w:val="18"/>
          <w:szCs w:val="18"/>
          <w:color w:val="auto"/>
        </w:rPr>
      </w:pPr>
    </w:p>
    <w:p>
      <w:pPr>
        <w:ind w:left="2080" w:hanging="911"/>
        <w:spacing w:after="0"/>
        <w:tabs>
          <w:tab w:leader="none" w:pos="2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4"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ind w:left="34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w w:val="91"/>
              </w:rPr>
              <w:t>A savings associations as defined in Section 3(b) of the Federal Deposit Insurance Act (12 U.S.C. 1813);</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w:t>
            </w:r>
          </w:p>
        </w:tc>
        <w:tc>
          <w:tcPr>
            <w:tcW w:w="740" w:type="dxa"/>
            <w:vAlign w:val="bottom"/>
          </w:tcPr>
          <w:p>
            <w:pPr>
              <w:ind w:left="34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w:t>
            </w:r>
          </w:p>
        </w:tc>
      </w:tr>
      <w:tr>
        <w:trPr>
          <w:trHeight w:val="216"/>
        </w:trPr>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940" w:type="dxa"/>
            <w:vAlign w:val="bottom"/>
          </w:tcPr>
          <w:p>
            <w:pPr>
              <w:ind w:left="280"/>
              <w:spacing w:after="0"/>
              <w:rPr>
                <w:sz w:val="20"/>
                <w:szCs w:val="20"/>
                <w:color w:val="auto"/>
              </w:rPr>
            </w:pPr>
            <w:r>
              <w:rPr>
                <w:rFonts w:ascii="Arial" w:cs="Arial" w:eastAsia="Arial" w:hAnsi="Arial"/>
                <w:sz w:val="18"/>
                <w:szCs w:val="18"/>
                <w:color w:val="auto"/>
              </w:rPr>
              <w:t>Investment Company Act of 1940 (15 U.S.C. 80a-3);</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ind w:left="340"/>
              <w:spacing w:after="0"/>
              <w:rPr>
                <w:sz w:val="20"/>
                <w:szCs w:val="20"/>
                <w:color w:val="auto"/>
              </w:rPr>
            </w:pPr>
            <w:r>
              <w:rPr>
                <w:rFonts w:ascii="Arial" w:cs="Arial" w:eastAsia="Arial" w:hAnsi="Arial"/>
                <w:sz w:val="18"/>
                <w:szCs w:val="18"/>
                <w:color w:val="auto"/>
              </w:rPr>
              <w:t>o</w:t>
            </w:r>
          </w:p>
        </w:tc>
        <w:tc>
          <w:tcPr>
            <w:tcW w:w="7940" w:type="dxa"/>
            <w:vAlign w:val="bottom"/>
          </w:tcPr>
          <w:p>
            <w:pPr>
              <w:ind w:left="280"/>
              <w:spacing w:after="0"/>
              <w:rPr>
                <w:sz w:val="20"/>
                <w:szCs w:val="20"/>
                <w:color w:val="auto"/>
              </w:rPr>
            </w:pPr>
            <w:r>
              <w:rPr>
                <w:rFonts w:ascii="Arial" w:cs="Arial" w:eastAsia="Arial" w:hAnsi="Arial"/>
                <w:sz w:val="18"/>
                <w:szCs w:val="18"/>
                <w:color w:val="auto"/>
              </w:rPr>
              <w:t>Group, in accordance with §240.13d-1(b)(1)(ii)(J).</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3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4940" w:type="dxa"/>
            <w:vAlign w:val="bottom"/>
          </w:tcPr>
          <w:p>
            <w:pPr>
              <w:ind w:left="340"/>
              <w:spacing w:after="0"/>
              <w:rPr>
                <w:sz w:val="20"/>
                <w:szCs w:val="20"/>
                <w:color w:val="auto"/>
              </w:rPr>
            </w:pPr>
            <w:r>
              <w:rPr>
                <w:rFonts w:ascii="Arial" w:cs="Arial" w:eastAsia="Arial" w:hAnsi="Arial"/>
                <w:sz w:val="18"/>
                <w:szCs w:val="18"/>
                <w:color w:val="auto"/>
              </w:rPr>
              <w:t>Amount beneficially owned:</w:t>
            </w:r>
          </w:p>
        </w:tc>
        <w:tc>
          <w:tcPr>
            <w:tcW w:w="3240" w:type="dxa"/>
            <w:vAlign w:val="bottom"/>
          </w:tcPr>
          <w:p>
            <w:pPr>
              <w:ind w:left="2520"/>
              <w:spacing w:after="0"/>
              <w:rPr>
                <w:sz w:val="20"/>
                <w:szCs w:val="20"/>
                <w:color w:val="auto"/>
              </w:rPr>
            </w:pPr>
            <w:r>
              <w:rPr>
                <w:rFonts w:ascii="Arial" w:cs="Arial" w:eastAsia="Arial" w:hAnsi="Arial"/>
                <w:sz w:val="18"/>
                <w:szCs w:val="18"/>
                <w:b w:val="1"/>
                <w:bCs w:val="1"/>
                <w:color w:val="auto"/>
                <w:w w:val="87"/>
              </w:rPr>
              <w:t>2,192,300</w:t>
            </w:r>
          </w:p>
        </w:tc>
      </w:t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(b)</w:t>
            </w:r>
          </w:p>
        </w:tc>
        <w:tc>
          <w:tcPr>
            <w:tcW w:w="4940" w:type="dxa"/>
            <w:vAlign w:val="bottom"/>
          </w:tcPr>
          <w:p>
            <w:pPr>
              <w:ind w:left="340"/>
              <w:spacing w:after="0"/>
              <w:rPr>
                <w:sz w:val="20"/>
                <w:szCs w:val="20"/>
                <w:color w:val="auto"/>
              </w:rPr>
            </w:pPr>
            <w:r>
              <w:rPr>
                <w:rFonts w:ascii="Arial" w:cs="Arial" w:eastAsia="Arial" w:hAnsi="Arial"/>
                <w:sz w:val="18"/>
                <w:szCs w:val="18"/>
                <w:color w:val="auto"/>
              </w:rPr>
              <w:t>Percent of class:</w:t>
            </w:r>
          </w:p>
        </w:tc>
        <w:tc>
          <w:tcPr>
            <w:tcW w:w="3240" w:type="dxa"/>
            <w:vAlign w:val="bottom"/>
          </w:tcPr>
          <w:p>
            <w:pPr>
              <w:ind w:left="2520"/>
              <w:spacing w:after="0"/>
              <w:rPr>
                <w:sz w:val="20"/>
                <w:szCs w:val="20"/>
                <w:color w:val="auto"/>
              </w:rPr>
            </w:pPr>
            <w:r>
              <w:rPr>
                <w:rFonts w:ascii="Arial" w:cs="Arial" w:eastAsia="Arial" w:hAnsi="Arial"/>
                <w:sz w:val="18"/>
                <w:szCs w:val="18"/>
                <w:b w:val="1"/>
                <w:bCs w:val="1"/>
                <w:color w:val="auto"/>
              </w:rPr>
              <w:t>5.14%</w:t>
            </w:r>
          </w:p>
        </w:tc>
      </w:tr>
    </w:tbl>
    <w:p>
      <w:pPr>
        <w:ind w:left="2060" w:hanging="911"/>
        <w:spacing w:after="0"/>
        <w:tabs>
          <w:tab w:leader="none" w:pos="2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ind w:left="1420"/>
              <w:spacing w:after="0"/>
              <w:rPr>
                <w:sz w:val="20"/>
                <w:szCs w:val="20"/>
                <w:color w:val="auto"/>
              </w:rPr>
            </w:pPr>
            <w:r>
              <w:rPr>
                <w:rFonts w:ascii="Arial" w:cs="Arial" w:eastAsia="Arial" w:hAnsi="Arial"/>
                <w:sz w:val="18"/>
                <w:szCs w:val="18"/>
                <w:color w:val="auto"/>
              </w:rPr>
              <w:t>(i)</w:t>
            </w:r>
          </w:p>
        </w:tc>
        <w:tc>
          <w:tcPr>
            <w:tcW w:w="5760" w:type="dxa"/>
            <w:vAlign w:val="bottom"/>
          </w:tcPr>
          <w:p>
            <w:pPr>
              <w:ind w:left="700"/>
              <w:spacing w:after="0"/>
              <w:rPr>
                <w:sz w:val="20"/>
                <w:szCs w:val="20"/>
                <w:color w:val="auto"/>
              </w:rPr>
            </w:pPr>
            <w:r>
              <w:rPr>
                <w:rFonts w:ascii="Arial" w:cs="Arial" w:eastAsia="Arial" w:hAnsi="Arial"/>
                <w:sz w:val="18"/>
                <w:szCs w:val="18"/>
                <w:color w:val="auto"/>
              </w:rPr>
              <w:t>Sole power to vote or to direct the vote</w:t>
            </w:r>
          </w:p>
        </w:tc>
        <w:tc>
          <w:tcPr>
            <w:tcW w:w="3260" w:type="dxa"/>
            <w:vAlign w:val="bottom"/>
          </w:tcPr>
          <w:p>
            <w:pPr>
              <w:jc w:val="right"/>
              <w:ind w:right="1310"/>
              <w:spacing w:after="0"/>
              <w:rPr>
                <w:sz w:val="20"/>
                <w:szCs w:val="20"/>
                <w:color w:val="auto"/>
              </w:rPr>
            </w:pPr>
            <w:r>
              <w:rPr>
                <w:rFonts w:ascii="Arial" w:cs="Arial" w:eastAsia="Arial" w:hAnsi="Arial"/>
                <w:sz w:val="18"/>
                <w:szCs w:val="18"/>
                <w:b w:val="1"/>
                <w:bCs w:val="1"/>
                <w:color w:val="auto"/>
              </w:rPr>
              <w:t>2,192,300</w:t>
            </w:r>
          </w:p>
        </w:tc>
      </w:tr>
      <w:tr>
        <w:trPr>
          <w:trHeight w:val="216"/>
        </w:trPr>
        <w:tc>
          <w:tcPr>
            <w:tcW w:w="2400" w:type="dxa"/>
            <w:vAlign w:val="bottom"/>
          </w:tcPr>
          <w:p>
            <w:pPr>
              <w:ind w:left="1420"/>
              <w:spacing w:after="0"/>
              <w:rPr>
                <w:sz w:val="20"/>
                <w:szCs w:val="20"/>
                <w:color w:val="auto"/>
              </w:rPr>
            </w:pPr>
            <w:r>
              <w:rPr>
                <w:rFonts w:ascii="Arial" w:cs="Arial" w:eastAsia="Arial" w:hAnsi="Arial"/>
                <w:sz w:val="18"/>
                <w:szCs w:val="18"/>
                <w:color w:val="auto"/>
              </w:rPr>
              <w:t>(ii)</w:t>
            </w:r>
          </w:p>
        </w:tc>
        <w:tc>
          <w:tcPr>
            <w:tcW w:w="5760" w:type="dxa"/>
            <w:vAlign w:val="bottom"/>
          </w:tcPr>
          <w:p>
            <w:pPr>
              <w:ind w:left="700"/>
              <w:spacing w:after="0"/>
              <w:rPr>
                <w:sz w:val="20"/>
                <w:szCs w:val="20"/>
                <w:color w:val="auto"/>
              </w:rPr>
            </w:pPr>
            <w:r>
              <w:rPr>
                <w:rFonts w:ascii="Arial" w:cs="Arial" w:eastAsia="Arial" w:hAnsi="Arial"/>
                <w:sz w:val="18"/>
                <w:szCs w:val="18"/>
                <w:color w:val="auto"/>
              </w:rPr>
              <w:t>Shared power to vote or to direct the vote</w:t>
            </w:r>
          </w:p>
        </w:tc>
        <w:tc>
          <w:tcPr>
            <w:tcW w:w="3260" w:type="dxa"/>
            <w:vAlign w:val="bottom"/>
          </w:tcPr>
          <w:p>
            <w:pPr>
              <w:jc w:val="right"/>
              <w:ind w:right="1310"/>
              <w:spacing w:after="0"/>
              <w:rPr>
                <w:sz w:val="20"/>
                <w:szCs w:val="20"/>
                <w:color w:val="auto"/>
              </w:rPr>
            </w:pPr>
            <w:r>
              <w:rPr>
                <w:rFonts w:ascii="Arial" w:cs="Arial" w:eastAsia="Arial" w:hAnsi="Arial"/>
                <w:sz w:val="18"/>
                <w:szCs w:val="18"/>
                <w:b w:val="1"/>
                <w:bCs w:val="1"/>
                <w:color w:val="auto"/>
              </w:rPr>
              <w:t>N/A</w:t>
            </w:r>
          </w:p>
        </w:tc>
      </w:tr>
      <w:tr>
        <w:trPr>
          <w:trHeight w:val="216"/>
        </w:trPr>
        <w:tc>
          <w:tcPr>
            <w:tcW w:w="2400" w:type="dxa"/>
            <w:vAlign w:val="bottom"/>
          </w:tcPr>
          <w:p>
            <w:pPr>
              <w:ind w:left="1420"/>
              <w:spacing w:after="0"/>
              <w:rPr>
                <w:sz w:val="20"/>
                <w:szCs w:val="20"/>
                <w:color w:val="auto"/>
              </w:rPr>
            </w:pPr>
            <w:r>
              <w:rPr>
                <w:rFonts w:ascii="Arial" w:cs="Arial" w:eastAsia="Arial" w:hAnsi="Arial"/>
                <w:sz w:val="18"/>
                <w:szCs w:val="18"/>
                <w:color w:val="auto"/>
              </w:rPr>
              <w:t>(iii)</w:t>
            </w:r>
          </w:p>
        </w:tc>
        <w:tc>
          <w:tcPr>
            <w:tcW w:w="5760" w:type="dxa"/>
            <w:vAlign w:val="bottom"/>
          </w:tcPr>
          <w:p>
            <w:pPr>
              <w:ind w:left="700"/>
              <w:spacing w:after="0"/>
              <w:rPr>
                <w:sz w:val="20"/>
                <w:szCs w:val="20"/>
                <w:color w:val="auto"/>
              </w:rPr>
            </w:pPr>
            <w:r>
              <w:rPr>
                <w:rFonts w:ascii="Arial" w:cs="Arial" w:eastAsia="Arial" w:hAnsi="Arial"/>
                <w:sz w:val="18"/>
                <w:szCs w:val="18"/>
                <w:color w:val="auto"/>
              </w:rPr>
              <w:t>Sole power to dispose or to direct the disposition of</w:t>
            </w:r>
          </w:p>
        </w:tc>
        <w:tc>
          <w:tcPr>
            <w:tcW w:w="3260" w:type="dxa"/>
            <w:vAlign w:val="bottom"/>
          </w:tcPr>
          <w:p>
            <w:pPr>
              <w:jc w:val="right"/>
              <w:ind w:right="1310"/>
              <w:spacing w:after="0"/>
              <w:rPr>
                <w:sz w:val="20"/>
                <w:szCs w:val="20"/>
                <w:color w:val="auto"/>
              </w:rPr>
            </w:pPr>
            <w:r>
              <w:rPr>
                <w:rFonts w:ascii="Arial" w:cs="Arial" w:eastAsia="Arial" w:hAnsi="Arial"/>
                <w:sz w:val="18"/>
                <w:szCs w:val="18"/>
                <w:b w:val="1"/>
                <w:bCs w:val="1"/>
                <w:color w:val="auto"/>
              </w:rPr>
              <w:t>2,192,300</w:t>
            </w:r>
          </w:p>
        </w:tc>
      </w:tr>
      <w:tr>
        <w:trPr>
          <w:trHeight w:val="234"/>
        </w:trPr>
        <w:tc>
          <w:tcPr>
            <w:tcW w:w="2400" w:type="dxa"/>
            <w:vAlign w:val="bottom"/>
          </w:tcPr>
          <w:p>
            <w:pPr>
              <w:ind w:left="1420"/>
              <w:spacing w:after="0"/>
              <w:rPr>
                <w:sz w:val="20"/>
                <w:szCs w:val="20"/>
                <w:color w:val="auto"/>
              </w:rPr>
            </w:pPr>
            <w:r>
              <w:rPr>
                <w:rFonts w:ascii="Arial" w:cs="Arial" w:eastAsia="Arial" w:hAnsi="Arial"/>
                <w:sz w:val="18"/>
                <w:szCs w:val="18"/>
                <w:color w:val="auto"/>
              </w:rPr>
              <w:t>(iv)</w:t>
            </w:r>
          </w:p>
        </w:tc>
        <w:tc>
          <w:tcPr>
            <w:tcW w:w="5760" w:type="dxa"/>
            <w:vAlign w:val="bottom"/>
          </w:tcPr>
          <w:p>
            <w:pPr>
              <w:ind w:left="700"/>
              <w:spacing w:after="0"/>
              <w:rPr>
                <w:sz w:val="20"/>
                <w:szCs w:val="20"/>
                <w:color w:val="auto"/>
              </w:rPr>
            </w:pPr>
            <w:r>
              <w:rPr>
                <w:rFonts w:ascii="Arial" w:cs="Arial" w:eastAsia="Arial" w:hAnsi="Arial"/>
                <w:sz w:val="18"/>
                <w:szCs w:val="18"/>
                <w:color w:val="auto"/>
              </w:rPr>
              <w:t>Shared power to dispose or to direct the disposition of</w:t>
            </w:r>
          </w:p>
        </w:tc>
        <w:tc>
          <w:tcPr>
            <w:tcW w:w="3260" w:type="dxa"/>
            <w:vAlign w:val="bottom"/>
          </w:tcPr>
          <w:p>
            <w:pPr>
              <w:jc w:val="right"/>
              <w:ind w:right="1310"/>
              <w:spacing w:after="0"/>
              <w:rPr>
                <w:sz w:val="20"/>
                <w:szCs w:val="20"/>
                <w:color w:val="auto"/>
              </w:rPr>
            </w:pPr>
            <w:r>
              <w:rPr>
                <w:rFonts w:ascii="Arial" w:cs="Arial" w:eastAsia="Arial" w:hAnsi="Arial"/>
                <w:sz w:val="18"/>
                <w:szCs w:val="18"/>
                <w:b w:val="1"/>
                <w:bCs w:val="1"/>
                <w:color w:val="auto"/>
              </w:rPr>
              <w:t>N/A</w:t>
            </w:r>
          </w:p>
        </w:tc>
      </w:tr>
      <w:tr>
        <w:trPr>
          <w:trHeight w:val="392"/>
        </w:trPr>
        <w:tc>
          <w:tcPr>
            <w:tcW w:w="2400" w:type="dxa"/>
            <w:vAlign w:val="bottom"/>
          </w:tcPr>
          <w:p>
            <w:pPr>
              <w:spacing w:after="0"/>
              <w:rPr>
                <w:sz w:val="24"/>
                <w:szCs w:val="24"/>
                <w:color w:val="auto"/>
              </w:rPr>
            </w:pPr>
          </w:p>
        </w:tc>
        <w:tc>
          <w:tcPr>
            <w:tcW w:w="5760" w:type="dxa"/>
            <w:vAlign w:val="bottom"/>
          </w:tcPr>
          <w:p>
            <w:pPr>
              <w:ind w:left="2680"/>
              <w:spacing w:after="0"/>
              <w:rPr>
                <w:sz w:val="20"/>
                <w:szCs w:val="20"/>
                <w:color w:val="auto"/>
              </w:rPr>
            </w:pPr>
            <w:r>
              <w:rPr>
                <w:rFonts w:ascii="Arial" w:cs="Arial" w:eastAsia="Arial" w:hAnsi="Arial"/>
                <w:sz w:val="18"/>
                <w:szCs w:val="18"/>
                <w:color w:val="auto"/>
              </w:rPr>
              <w:t>Page 4 of 7 pages</w:t>
            </w:r>
          </w:p>
        </w:tc>
        <w:tc>
          <w:tcPr>
            <w:tcW w:w="3260" w:type="dxa"/>
            <w:vAlign w:val="bottom"/>
          </w:tcPr>
          <w:p>
            <w:pPr>
              <w:spacing w:after="0"/>
              <w:rPr>
                <w:sz w:val="24"/>
                <w:szCs w:val="24"/>
                <w:color w:val="auto"/>
              </w:rPr>
            </w:pPr>
          </w:p>
        </w:tc>
      </w:tr>
      <w:tr>
        <w:trPr>
          <w:trHeight w:val="226"/>
        </w:trPr>
        <w:tc>
          <w:tcPr>
            <w:tcW w:w="2400" w:type="dxa"/>
            <w:vAlign w:val="bottom"/>
            <w:tcBorders>
              <w:bottom w:val="single" w:sz="8" w:color="808080"/>
            </w:tcBorders>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89"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02"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42"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14"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37"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EXHIBIT ATTACHED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37"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6"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NOT APPLICABLE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jc w:val="both"/>
        <w:ind w:left="23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February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74930</wp:posOffset>
            </wp:positionV>
            <wp:extent cx="37649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North American Equity Investors,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DeWitt C. Thompson, V</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DeWitt C. Thompson,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Thompson Machinery Commerce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DeWitt C. Thompson, IV</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DeWitt C. Thompson,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right"/>
        <w:ind w:right="4960"/>
        <w:spacing w:after="0"/>
        <w:rPr>
          <w:sz w:val="20"/>
          <w:szCs w:val="20"/>
          <w:color w:val="auto"/>
        </w:rPr>
      </w:pPr>
      <w:r>
        <w:rPr>
          <w:rFonts w:ascii="Arial" w:cs="Arial" w:eastAsia="Arial" w:hAnsi="Arial"/>
          <w:sz w:val="18"/>
          <w:szCs w:val="18"/>
          <w:color w:val="auto"/>
        </w:rPr>
        <w:t>President</w:t>
      </w:r>
    </w:p>
    <w:p>
      <w:pPr>
        <w:spacing w:after="0" w:line="170" w:lineRule="exact"/>
        <w:rPr>
          <w:sz w:val="20"/>
          <w:szCs w:val="20"/>
          <w:color w:val="auto"/>
        </w:rPr>
      </w:pPr>
    </w:p>
    <w:p>
      <w:pPr>
        <w:jc w:val="right"/>
        <w:ind w:right="5000"/>
        <w:spacing w:after="0"/>
        <w:rPr>
          <w:sz w:val="20"/>
          <w:szCs w:val="20"/>
          <w:color w:val="auto"/>
        </w:rPr>
      </w:pPr>
      <w:r>
        <w:rPr>
          <w:rFonts w:ascii="Arial" w:cs="Arial" w:eastAsia="Arial" w:hAnsi="Arial"/>
          <w:sz w:val="18"/>
          <w:szCs w:val="18"/>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 w:name="page8"/>
    <w:bookmarkEnd w:id="7"/>
    <w:p>
      <w:pPr>
        <w:ind w:left="5320"/>
        <w:spacing w:after="0"/>
        <w:rPr>
          <w:sz w:val="20"/>
          <w:szCs w:val="20"/>
          <w:color w:val="auto"/>
        </w:rPr>
      </w:pPr>
      <w:r>
        <w:rPr>
          <w:rFonts w:ascii="Arial" w:cs="Arial" w:eastAsia="Arial" w:hAnsi="Arial"/>
          <w:sz w:val="18"/>
          <w:szCs w:val="18"/>
          <w:b w:val="1"/>
          <w:bCs w:val="1"/>
          <w:color w:val="auto"/>
        </w:rPr>
        <w:t>EXHIBIT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North American Equity Investors, Inc., the relevant subsidiary, is a direct, wholly-owned subsidiary of Thompson Machinery Commerce Corporation.</w:t>
      </w:r>
    </w:p>
    <w:p>
      <w:pPr>
        <w:spacing w:after="0" w:line="20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Page 7 of 7 pages</w:t>
      </w:r>
    </w:p>
    <w:sectPr>
      <w:pgSz w:w="11900" w:h="16838" w:orient="portrait"/>
      <w:cols w:equalWidth="0" w:num="1">
        <w:col w:w="10820"/>
      </w:cols>
      <w:pgMar w:left="240" w:top="133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
    </w:lvl>
    <w:lvl w:ilvl="1">
      <w:lvlJc w:val="left"/>
      <w:lvlText w:val="(%2)"/>
      <w:numFmt w:val="lowerLetter"/>
      <w:start w:val="1"/>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5">
    <w:nsid w:val="7545E146"/>
    <w:multiLevelType w:val="hybridMultilevel"/>
    <w:lvl w:ilvl="0">
      <w:lvlJc w:val="left"/>
      <w:lvlText w:val="%1"/>
      <w:numFmt w:val="decimal"/>
      <w:start w:val="1"/>
    </w:lvl>
    <w:lvl w:ilvl="1">
      <w:lvlJc w:val="left"/>
      <w:lvlText w:val="%2."/>
      <w:numFmt w:val="decimal"/>
      <w:start w:val="8"/>
    </w:lvl>
  </w:abstractNum>
  <w:abstractNum w:abstractNumId="6">
    <w:nsid w:val="515F007C"/>
    <w:multiLevelType w:val="hybridMultilevel"/>
    <w:lvl w:ilvl="0">
      <w:lvlJc w:val="left"/>
      <w:lvlText w:val="%1."/>
      <w:numFmt w:val="decimal"/>
      <w:start w:val="9"/>
    </w:lvl>
    <w:lvl w:ilvl="1">
      <w:lvlJc w:val="left"/>
      <w:lvlText w:val="%2"/>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Letter"/>
      <w:start w:val="6"/>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2019-12-14T18:22:40Z</dcterms:created>
  <dcterms:modified xsi:type="dcterms:W3CDTF">2019-12-14T18:22:40Z</dcterms:modified>
</cp:coreProperties>
</file>