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0" w:lineRule="exact"/>
        <w:rPr>
          <w:sz w:val="24"/>
          <w:szCs w:val="24"/>
          <w:color w:val="auto"/>
        </w:rPr>
      </w:pPr>
    </w:p>
    <w:p>
      <w:pPr>
        <w:spacing w:after="0" w:line="30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P10,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 TO 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12, 2025</w:t>
      </w:r>
    </w:p>
    <w:p>
      <w:pPr>
        <w:spacing w:after="0" w:line="207"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t>The following information relates to the proxy statement of P10, Inc. (“P10” or the “Company”) filed with the Securities and Exchange Commission on April 28, 2025 (the “Proxy Statement”), in connection with the 2025 Annual Meeting of Stockholders to be held on June 12, 2025 at 9:00 a.m. local time at 299 Park Avenue, 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10171, for the purposes set forth on the Notice of Annual Meeting of Stockholders, and at any adjournment or postponement thereof. All capitalized terms used but not otherwise defined in this Supplement (the “Supplement”) have the meanings ascribed to them in the Proxy Statement.</w:t>
      </w:r>
    </w:p>
    <w:p>
      <w:pPr>
        <w:spacing w:after="0" w:line="200" w:lineRule="exact"/>
        <w:rPr>
          <w:sz w:val="20"/>
          <w:szCs w:val="20"/>
          <w:color w:val="auto"/>
        </w:rPr>
      </w:pPr>
    </w:p>
    <w:p>
      <w:pPr>
        <w:spacing w:after="0" w:line="214" w:lineRule="exact"/>
        <w:rPr>
          <w:sz w:val="20"/>
          <w:szCs w:val="20"/>
          <w:color w:val="auto"/>
        </w:rPr>
      </w:pPr>
    </w:p>
    <w:p>
      <w:pPr>
        <w:jc w:val="center"/>
        <w:ind w:left="460" w:right="200"/>
        <w:spacing w:after="0" w:line="286" w:lineRule="auto"/>
        <w:rPr>
          <w:sz w:val="20"/>
          <w:szCs w:val="20"/>
          <w:color w:val="auto"/>
        </w:rPr>
      </w:pPr>
      <w:r>
        <w:rPr>
          <w:rFonts w:ascii="Times New Roman" w:cs="Times New Roman" w:eastAsia="Times New Roman" w:hAnsi="Times New Roman"/>
          <w:sz w:val="18"/>
          <w:szCs w:val="18"/>
          <w:b w:val="1"/>
          <w:bCs w:val="1"/>
          <w:color w:val="auto"/>
        </w:rPr>
        <w:t>THIS SUPPLEMENT CONTAINS IMPORTANT INFORMATION AND SHOULD BE READ IN CONJUNCTION WITH THE PROXY STATEMENT.</w:t>
      </w:r>
    </w:p>
    <w:p>
      <w:pPr>
        <w:spacing w:after="0" w:line="15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Supplement is being filed solely to correct the number of shares of the Company’s common stock reported as outstanding as of the record date for the Annual Meeting, including any calculations based thereon. This change affects the disclosure as reported on page 3 of the Proxy Statement under the headings “</w:t>
      </w:r>
      <w:r>
        <w:rPr>
          <w:rFonts w:ascii="Times New Roman" w:cs="Times New Roman" w:eastAsia="Times New Roman" w:hAnsi="Times New Roman"/>
          <w:sz w:val="18"/>
          <w:szCs w:val="18"/>
          <w:i w:val="1"/>
          <w:iCs w:val="1"/>
          <w:color w:val="auto"/>
        </w:rPr>
        <w:t>Who is entitled to vote at the meeting?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“What constitutes a quorum?”</w:t>
      </w:r>
      <w:r>
        <w:rPr>
          <w:rFonts w:ascii="Times New Roman" w:cs="Times New Roman" w:eastAsia="Times New Roman" w:hAnsi="Times New Roman"/>
          <w:sz w:val="18"/>
          <w:szCs w:val="18"/>
          <w:color w:val="auto"/>
        </w:rPr>
        <w:t>, and beginning on page 5 of the Proxy Statement under the heading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540" w:firstLine="440"/>
        <w:spacing w:after="0" w:line="261" w:lineRule="auto"/>
        <w:rPr>
          <w:sz w:val="20"/>
          <w:szCs w:val="20"/>
          <w:color w:val="auto"/>
        </w:rPr>
      </w:pPr>
      <w:r>
        <w:rPr>
          <w:rFonts w:ascii="Times New Roman" w:cs="Times New Roman" w:eastAsia="Times New Roman" w:hAnsi="Times New Roman"/>
          <w:sz w:val="18"/>
          <w:szCs w:val="18"/>
          <w:color w:val="auto"/>
        </w:rPr>
        <w:t>Except as amended by information contained in this Supplement, all information set forth in the Proxy Statement remains unchanged. This Supplement does not reflect any other events occurring after the date of the Proxy Statement or modify or update disclosures that may have been affected by subsequent events. From and after the date of this Supplement, any references to the “Proxy Statement” in the proxy materials for the Annual Meeting are to the Proxy Statement as supplemented by this Supplement.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The disclosure on page 3 of the Proxy Statement under the heading “</w:t>
      </w:r>
      <w:r>
        <w:rPr>
          <w:rFonts w:ascii="Times New Roman" w:cs="Times New Roman" w:eastAsia="Times New Roman" w:hAnsi="Times New Roman"/>
          <w:sz w:val="18"/>
          <w:szCs w:val="18"/>
          <w:i w:val="1"/>
          <w:iCs w:val="1"/>
          <w:color w:val="auto"/>
        </w:rPr>
        <w:t>Who is entitled to vote at the meeting?</w:t>
      </w:r>
      <w:r>
        <w:rPr>
          <w:rFonts w:ascii="Times New Roman" w:cs="Times New Roman" w:eastAsia="Times New Roman" w:hAnsi="Times New Roman"/>
          <w:sz w:val="18"/>
          <w:szCs w:val="18"/>
          <w:color w:val="auto"/>
        </w:rPr>
        <w:t>” is hereby replaced in its entirety with the following:</w:t>
      </w: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Who is entitled to vote at the meeting?</w:t>
      </w:r>
    </w:p>
    <w:p>
      <w:pPr>
        <w:spacing w:after="0" w:line="121"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Only our stockholders of record at the close of business on April 14, 2025,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77,487,586 shares of Class A common stock outstanding and 34,620,575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w:t>
      </w:r>
    </w:p>
    <w:p>
      <w:pPr>
        <w:spacing w:after="0" w:line="79" w:lineRule="exact"/>
        <w:rPr>
          <w:sz w:val="20"/>
          <w:szCs w:val="20"/>
          <w:color w:val="auto"/>
        </w:rPr>
      </w:pPr>
    </w:p>
    <w:p>
      <w:pPr>
        <w:ind w:left="440" w:right="340"/>
        <w:spacing w:after="0" w:line="282" w:lineRule="auto"/>
        <w:rPr>
          <w:sz w:val="20"/>
          <w:szCs w:val="20"/>
          <w:color w:val="auto"/>
        </w:rPr>
      </w:pPr>
      <w:r>
        <w:rPr>
          <w:rFonts w:ascii="Times New Roman" w:cs="Times New Roman" w:eastAsia="Times New Roman" w:hAnsi="Times New Roman"/>
          <w:sz w:val="18"/>
          <w:szCs w:val="18"/>
          <w:color w:val="auto"/>
        </w:rPr>
        <w:t>A list of stockholders will be available at our headquarters at 4514 Cole Ave, Suite 500, Dallas, TX 75205 for a period of ten days prior to the annual meeting and at the annual meeting itself for examination by any stockholder.</w:t>
      </w:r>
    </w:p>
    <w:p>
      <w:pPr>
        <w:spacing w:after="0" w:line="160"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The disclosure on page 3 of the Proxy Statement under the heading “</w:t>
      </w:r>
      <w:r>
        <w:rPr>
          <w:rFonts w:ascii="Times New Roman" w:cs="Times New Roman" w:eastAsia="Times New Roman" w:hAnsi="Times New Roman"/>
          <w:sz w:val="18"/>
          <w:szCs w:val="18"/>
          <w:i w:val="1"/>
          <w:iCs w:val="1"/>
          <w:color w:val="auto"/>
        </w:rPr>
        <w:t>What constitutes a quorum?</w:t>
      </w:r>
      <w:r>
        <w:rPr>
          <w:rFonts w:ascii="Times New Roman" w:cs="Times New Roman" w:eastAsia="Times New Roman" w:hAnsi="Times New Roman"/>
          <w:sz w:val="18"/>
          <w:szCs w:val="18"/>
          <w:color w:val="auto"/>
        </w:rPr>
        <w:t>” is hereby replaced in its entirety with the following:</w:t>
      </w: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77,487,586 shares of Class A common stock outstanding and 34,620,575 shares of Class B common stock outstanding, all of which are entitled to be voted at the annual meeting, and therefore holders of common stock representing 211,846,669 combined voting power will constitute a quorum.</w:t>
      </w:r>
    </w:p>
    <w:p>
      <w:pPr>
        <w:sectPr>
          <w:pgSz w:w="11900" w:h="16838" w:orient="portrait"/>
          <w:cols w:equalWidth="0" w:num="1">
            <w:col w:w="10980"/>
          </w:cols>
          <w:pgMar w:left="440" w:top="266" w:right="479" w:bottom="1440" w:gutter="0" w:footer="0" w:header="0"/>
        </w:sectPr>
      </w:pPr>
    </w:p>
    <w:bookmarkStart w:id="2" w:name="page3"/>
    <w:bookmarkEnd w:id="2"/>
    <w:p>
      <w:pPr>
        <w:ind w:left="4" w:right="5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 beginning on page 5 of the Proxy Statement under the heading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is hereby replaced in its entirety with the following:</w:t>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shows information regarding the beneficial ownership of our common stock for the following:</w:t>
      </w:r>
    </w:p>
    <w:p>
      <w:pPr>
        <w:spacing w:after="0" w:line="131" w:lineRule="exact"/>
        <w:rPr>
          <w:sz w:val="20"/>
          <w:szCs w:val="20"/>
          <w:color w:val="auto"/>
        </w:rPr>
      </w:pPr>
    </w:p>
    <w:p>
      <w:pPr>
        <w:ind w:left="964" w:right="3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beneficially own more than 5% of our common stock based solely on P10’s review of filings with the SEC pursuant to Section 13(d) or Section 13(g) of the Exchange Act;</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listed in the Summary Compensation Table in “Executive Compensation”;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director nominees and executive officers as a group.</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All information is as of the record date, April 14, 2025, except as noted otherwise. On such date, there were 77,487,586 shares of Class A common stock outstanding with the right to one vote per share on each matter to come before the meeting, 34,620,575 shares of Class B common stock outstanding with the right to ten votes per share on each matter to come before the meeting, and all outstanding shares have a combined voting power of 423,693,336 votes. Unless otherwise provided below, the address for directors, director nominees and executive officers is c/o P10, Inc., 4514 Cole Avenue, Suite 500 Dallas, Texas 75205.</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800" w:type="dxa"/>
            <w:vAlign w:val="bottom"/>
          </w:tcPr>
          <w:p>
            <w:pPr>
              <w:spacing w:after="0"/>
              <w:rPr>
                <w:sz w:val="12"/>
                <w:szCs w:val="12"/>
                <w:color w:val="auto"/>
              </w:rPr>
            </w:pP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Power and</w:t>
            </w:r>
          </w:p>
        </w:tc>
        <w:tc>
          <w:tcPr>
            <w:tcW w:w="8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340" w:type="dxa"/>
            <w:vAlign w:val="bottom"/>
            <w:vMerge w:val="restart"/>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8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gridSpan w:val="2"/>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9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580" w:type="dxa"/>
            <w:vAlign w:val="bottom"/>
          </w:tcPr>
          <w:p>
            <w:pPr>
              <w:spacing w:after="0"/>
              <w:rPr>
                <w:sz w:val="15"/>
                <w:szCs w:val="15"/>
                <w:color w:val="auto"/>
              </w:rPr>
            </w:pPr>
          </w:p>
        </w:tc>
        <w:tc>
          <w:tcPr>
            <w:tcW w:w="11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0"/>
                <w:szCs w:val="10"/>
                <w:b w:val="1"/>
                <w:bCs w:val="1"/>
                <w:color w:val="auto"/>
              </w:rPr>
              <w:t>(1)</w:t>
            </w:r>
          </w:p>
        </w:tc>
        <w:tc>
          <w:tcPr>
            <w:tcW w:w="800" w:type="dxa"/>
            <w:vAlign w:val="bottom"/>
          </w:tcPr>
          <w:p>
            <w:pPr>
              <w:spacing w:after="0"/>
              <w:rPr>
                <w:sz w:val="15"/>
                <w:szCs w:val="15"/>
                <w:color w:val="auto"/>
              </w:rPr>
            </w:pPr>
          </w:p>
        </w:tc>
        <w:tc>
          <w:tcPr>
            <w:tcW w:w="8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Beneficial Owners of More Than 5% of Any Class</w:t>
            </w: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Massachusetts Financial Services Company</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4,159,263</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4,159,263</w:t>
            </w:r>
          </w:p>
        </w:tc>
        <w:tc>
          <w:tcPr>
            <w:tcW w:w="8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 Road Asset Management, LLC</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4,855,166</w:t>
            </w:r>
          </w:p>
        </w:tc>
        <w:tc>
          <w:tcPr>
            <w:tcW w:w="5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4,855,166</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FMR LLC</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6,275,646</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(4)</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6,275,646</w:t>
            </w:r>
          </w:p>
        </w:tc>
        <w:tc>
          <w:tcPr>
            <w:tcW w:w="8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P. Dauten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6,583,090</w:t>
            </w:r>
          </w:p>
        </w:tc>
        <w:tc>
          <w:tcPr>
            <w:tcW w:w="5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(5)</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6,583,090</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4,215,936</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4,215,936</w:t>
            </w:r>
          </w:p>
        </w:tc>
        <w:tc>
          <w:tcPr>
            <w:tcW w:w="8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RCP Group Holders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2,118,098</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17,810,364</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180,221,738</w:t>
            </w:r>
          </w:p>
        </w:tc>
        <w:tc>
          <w:tcPr>
            <w:tcW w:w="8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rPr>
              <w:t>(7)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TrueBridge Group Holders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7,645,072</w:t>
            </w:r>
          </w:p>
        </w:tc>
        <w:tc>
          <w:tcPr>
            <w:tcW w:w="5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9,750,651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105,151,582</w:t>
            </w: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Souder</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815,017</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4,261,939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43,434,407</w:t>
            </w:r>
          </w:p>
        </w:tc>
        <w:tc>
          <w:tcPr>
            <w:tcW w:w="8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39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Directors, Director Nominees and Named Executive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Officers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Sarsfield</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183,134</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183,134</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47,090</w:t>
            </w:r>
          </w:p>
        </w:tc>
        <w:tc>
          <w:tcPr>
            <w:tcW w:w="5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13,291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180,000</w:t>
            </w:r>
          </w:p>
        </w:tc>
        <w:tc>
          <w:tcPr>
            <w:tcW w:w="8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Benford</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27,848</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27,848</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Stephen Blewitt</w:t>
            </w:r>
            <w:r>
              <w:rPr>
                <w:rFonts w:ascii="Times New Roman" w:cs="Times New Roman" w:eastAsia="Times New Roman" w:hAnsi="Times New Roman"/>
                <w:sz w:val="25"/>
                <w:szCs w:val="25"/>
                <w:color w:val="auto"/>
                <w:vertAlign w:val="subscript"/>
              </w:rPr>
              <w:t>(15)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Glassman</w:t>
            </w:r>
            <w:r>
              <w:rPr>
                <w:rFonts w:ascii="Times New Roman" w:cs="Times New Roman" w:eastAsia="Times New Roman" w:hAnsi="Times New Roman"/>
                <w:sz w:val="25"/>
                <w:szCs w:val="25"/>
                <w:color w:val="auto"/>
                <w:vertAlign w:val="subscript"/>
              </w:rPr>
              <w:t>(15)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225,215</w:t>
            </w:r>
          </w:p>
        </w:tc>
        <w:tc>
          <w:tcPr>
            <w:tcW w:w="5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631,186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6,537,075</w:t>
            </w: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(10)</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M. McCoy (member of the RCP Group</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336,485</w:t>
            </w:r>
          </w:p>
        </w:tc>
        <w:tc>
          <w:tcPr>
            <w:tcW w:w="5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2,517,213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25,508,615</w:t>
            </w:r>
          </w:p>
        </w:tc>
        <w:tc>
          <w:tcPr>
            <w:tcW w:w="8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Edwin Poston (member of the TrueBridge Group</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3,255,697</w:t>
            </w:r>
          </w:p>
        </w:tc>
        <w:tc>
          <w:tcPr>
            <w:tcW w:w="5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5,351,097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56,766,667</w:t>
            </w: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(8)(12)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108,983</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13,291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241,893</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83,405</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(13)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83,405</w:t>
            </w:r>
          </w:p>
        </w:tc>
        <w:tc>
          <w:tcPr>
            <w:tcW w:w="8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Hood</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82,735</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82,735</w:t>
            </w: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All directors, director nominees and executive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officers as a group (11 persons)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4,414,796</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(14)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8,526,078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89,675,576</w:t>
            </w:r>
          </w:p>
        </w:tc>
        <w:tc>
          <w:tcPr>
            <w:tcW w:w="8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44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than one percent (1%)</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one vote per share of Class A common stock beneficially owned and ten votes per share of Class B common stock beneficially owned, irrespective of whether such beneficial owner reported having voting power over such shares. For details regarding the differences, if any, between the voting and dispositive power over any such shares, please refer to the footnotes accompanying the applicable beneficial owner.</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 as filed with the SEC on February 14, 2025, on which Massachusetts Financial Services Company:</w:t>
      </w:r>
    </w:p>
    <w:p>
      <w:pPr>
        <w:spacing w:after="0" w:line="9" w:lineRule="exact"/>
        <w:rPr>
          <w:rFonts w:ascii="Times New Roman" w:cs="Times New Roman" w:eastAsia="Times New Roman" w:hAnsi="Times New Roman"/>
          <w:sz w:val="18"/>
          <w:szCs w:val="18"/>
          <w:color w:val="auto"/>
        </w:rPr>
      </w:pPr>
    </w:p>
    <w:p>
      <w:pPr>
        <w:ind w:left="424" w:right="120" w:firstLine="8"/>
        <w:spacing w:after="0" w:line="250" w:lineRule="auto"/>
        <w:tabs>
          <w:tab w:leader="none" w:pos="6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beneficially owning and having sole voting and sole dispositive power over an aggregate of 4,159,263 shares of our Class A common stock as of December 31, 2024; and (ii) listed its address as 111 Huntington Avenue, Boston, MA 02199.</w:t>
      </w: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February 6, 2025, on which River Road Asset Management, LLC:</w:t>
      </w:r>
    </w:p>
    <w:p>
      <w:pPr>
        <w:spacing w:after="0" w:line="9" w:lineRule="exact"/>
        <w:rPr>
          <w:rFonts w:ascii="Times New Roman" w:cs="Times New Roman" w:eastAsia="Times New Roman" w:hAnsi="Times New Roman"/>
          <w:sz w:val="18"/>
          <w:szCs w:val="18"/>
          <w:color w:val="auto"/>
        </w:rPr>
      </w:pPr>
    </w:p>
    <w:p>
      <w:pPr>
        <w:ind w:left="424" w:right="160" w:firstLine="8"/>
        <w:spacing w:after="0" w:line="250" w:lineRule="auto"/>
        <w:tabs>
          <w:tab w:leader="none" w:pos="6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beneficially owning an aggregate of 4,855,166 shares of our Class A common stock as of December 31, 2024, of which the reporting person reported having sole voting power over 4,146,607 shares and sole dispositive power over 4,855,166 shares; and (ii) listed its principal business address as 462 S. 4th St., Ste 2000, Louisville, KY 40202.</w:t>
      </w:r>
    </w:p>
    <w:p>
      <w:pPr>
        <w:spacing w:after="0" w:line="1" w:lineRule="exact"/>
        <w:rPr>
          <w:rFonts w:ascii="Times New Roman" w:cs="Times New Roman" w:eastAsia="Times New Roman" w:hAnsi="Times New Roman"/>
          <w:sz w:val="18"/>
          <w:szCs w:val="18"/>
          <w:color w:val="auto"/>
        </w:rPr>
      </w:pPr>
    </w:p>
    <w:p>
      <w:pPr>
        <w:ind w:left="424" w:right="120" w:hanging="424"/>
        <w:spacing w:after="0" w:line="25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January 8, 2025, on which FMR LLC and Abigail P. Johnson, the director, chairman and chief executive officer of FMR LLC: (i) reported beneficially owning an aggregate of 6,275,645.77 shares of our Class A common stock as of December 31, 2024, of which FMR LLC reported having sole voting power over 6,274,485 shares and each of the reporting persons reported having sole dispositive power over all of the shares; and (ii) listed an address of 245 Summer Street, Boston, MA 02210.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ectPr>
          <w:pgSz w:w="11900" w:h="16838" w:orient="portrait"/>
          <w:cols w:equalWidth="0" w:num="1">
            <w:col w:w="11024"/>
          </w:cols>
          <w:pgMar w:left="436" w:top="268" w:right="439" w:bottom="200" w:gutter="0" w:footer="0" w:header="0"/>
        </w:sectPr>
      </w:pPr>
    </w:p>
    <w:bookmarkStart w:id="3" w:name="page4"/>
    <w:bookmarkEnd w:id="3"/>
    <w:p>
      <w:pPr>
        <w:ind w:left="424" w:right="6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reported is based on the Schedule 13G/A as filed with the SEC on November 6, 2023, on which Kent P. Dauten: (i) reported beneficially owning an aggregate of 6,583,090 shares of our Class A common stock as of October 25, 2023, of which the reporting person may be deemed to have (a) sole voting power over 6,274,938 shares held by a trust of which the reporting person is trustee, and (b) shared voting power over 308,152 shares held by certain trusts of which a member of the reporting person’s immediate family serves as trustee; and (ii) listed his address as 155 N. Wacker Drive, #4150, Chicago, Illinois 60606.</w:t>
      </w:r>
    </w:p>
    <w:p>
      <w:pPr>
        <w:spacing w:after="0" w:line="3"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February 13, 2024, on which The Vanguard Group: (i) reported beneficially owning an aggregate of 4,215,936 shares of our Class A common stock as of December 29, 2023, of which the reporting person reported having sole voting power over zero shares, shared voting power over 80,313 shares, sole dispositive power over 4,097,521 shares and shared dispositive power over 118,415 shares; and (ii) listed its address as 100 Vanguard Blvd. Malvern, PA 19355.</w:t>
      </w:r>
    </w:p>
    <w:p>
      <w:pPr>
        <w:spacing w:after="0" w:line="1"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the Schedule 13G/A filed with the SEC on February 14, 2025 and subsequent Form 4 filings by Nell M. Blatherwick, David M. McCoy, Alexander I. Abell, Andrew Rowan Nelson, the Thomas P. Danis Revocable Trust, Prism 1, LLC, Prism 2, LLC, Reserve 2, LLC, the Charles K. Huebner Trust and the Jon I. Madorsky Revocable Trust (collectively, the “RCP Group Holders”), which reported the respective holdings of each member of the RCP Group Holders, and includes 584,813 options to purchase shares of Class A common stock that are currently exercisable or exercisable within 60 days. The Schedule 13G/A filed by the RCP Group Holders listed each reporting person’s address as c/o 4514 Cole Avenue, Suite 500 Dallas, Texas 75205.</w:t>
      </w:r>
    </w:p>
    <w:p>
      <w:pPr>
        <w:spacing w:after="0" w:line="2"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the Schedule 13G/A as filed with the SEC on February 10, 2025 and subsequent Form 4 filings by Edwin Poston, Mel Williams, MAW Management Co. (of which Mel Williams is the manager), TrueBridge Colonial Fund, u/A dated 11/15/2015 (“TrueBridge Colonial”), The Mel Williams Irrevocable Trust u/a/d August 12, 2015 (the “Mel Trust”), TrueBridge Ascent, LLC (of which Edwin Poston is the manager) and the Edwin A. Poston Revocable Trust (of which Mr. Poston is the sole trustee) (collectively, the “TrueBridge Group Holders”). First Republic Trust Company of Delaware, as trustee of TrueBridge Colonial, may be deemed to beneficially own the securities owned indirectly by TrueBridge Colonial. Alliance Trust Company, as trustee of the Mel Trust, may be deemed to beneficially own the securities owned directly by the Mel Trust. The Schedule 13G/A filed by the TrueBridge Group Holders listed each reporting person’s address as 4514 Cole Avenue, Suite 1600, Dallas, Texas 75205.</w:t>
      </w:r>
    </w:p>
    <w:p>
      <w:pPr>
        <w:spacing w:after="0" w:line="3"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the Schedule 13G/A as filed with the SEC on February 12, 2025 by William F. Souder and the Souder Family LLC (of which Mr. Souder is the manager). The Schedule 13G listed the principal business address for the reporting persons as 520 Middle Road, Delray Beach, FL 33493. Includes 612,176 options to purchase shares of Class A common stock that are currently exercisable or exercisable within 60 days.</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25,215 shares of Class A common stock held directly by Scott Gwilliam; and (ii) 300,233 shares of Class B common stock held directly by Mr. Gwilliam. Also includes 200,000 shares of Class A common stock held directly by Gwilliam Family Investments LLC, and (ii) 330,953 shares of Class B common stock that are held directly by Gwilliam Family Investments LLC. Mr. Gwilliam is the Managing Member of the Gwilliam Family Investments LLC.</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122,162 options to purchase shares of Class A common stock that are currently exercisable or exercisable within 60 days.</w:t>
      </w:r>
    </w:p>
    <w:p>
      <w:pPr>
        <w:spacing w:after="0" w:line="9" w:lineRule="exact"/>
        <w:rPr>
          <w:rFonts w:ascii="Times New Roman" w:cs="Times New Roman" w:eastAsia="Times New Roman" w:hAnsi="Times New Roman"/>
          <w:sz w:val="18"/>
          <w:szCs w:val="18"/>
          <w:color w:val="auto"/>
        </w:rPr>
      </w:pPr>
    </w:p>
    <w:p>
      <w:pPr>
        <w:jc w:val="both"/>
        <w:ind w:left="424" w:right="5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60,502 shares of Class A common stock that Edwin Poston holds directly; (ii) 2,825,683 shares of Class A common stock and 5,216,646 shares of Class B common stock beneficially owned by TrueBridge Colonial Fund, u/a dated 11/15/2015; (iii) 134,451 shares of Class B common stock beneficially owned by TrueBridge Ascent LLC, of which Mr. Poston serves as manager; and (iv) 521,664 shares of Class A common stock owned by the Edwin A. Poston Revocable Trust, of which Mr. Poston is the sole trustee.</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6,650 options to purchase shares of Class A common stock that are currently exercisable or exercisable within 60 days.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740,988 options to purchase shares of Class A common stock that are currently exercisable or exercisable within 60 days.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Blewitt and Jennifer Glassman were appointed to the Board of Directors on April 21, 2025.</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Roman"/>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2025-05-23T16:26:44Z</dcterms:created>
  <dcterms:modified xsi:type="dcterms:W3CDTF">2025-05-23T16:26:44Z</dcterms:modified>
</cp:coreProperties>
</file>