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92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r>
      <w:tr>
        <w:trPr>
          <w:trHeight w:val="397"/>
        </w:trPr>
        <w:tc>
          <w:tcPr>
            <w:tcW w:w="36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760" w:space="720"/>
            <w:col w:w="20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sectPr>
          <w:pgSz w:w="11900" w:h="16838" w:orient="portrait"/>
          <w:cols w:equalWidth="0" w:num="3">
            <w:col w:w="8500" w:space="180"/>
            <w:col w:w="500" w:space="180"/>
            <w:col w:w="2060"/>
          </w:cols>
          <w:pgMar w:left="240" w:top="230" w:right="23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The number of shares of common stock, par value of $0.001 per share, outstanding at October 26, 2009 was 66,478,623.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Condensed Consolidated Financial Statements.</w:t>
              </w:r>
            </w:hyperlink>
          </w:p>
        </w:tc>
        <w:tc>
          <w:tcPr>
            <w:tcW w:w="520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660" w:type="dxa"/>
            <w:vAlign w:val="bottom"/>
            <w:tcBorders>
              <w:bottom w:val="single" w:sz="8" w:color="0000EE"/>
            </w:tcBorders>
          </w:tcPr>
          <w:p>
            <w:pPr>
              <w:ind w:left="2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788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520" w:type="dxa"/>
            <w:vAlign w:val="bottom"/>
          </w:tcPr>
          <w:p>
            <w:pPr>
              <w:spacing w:after="0"/>
              <w:rPr>
                <w:sz w:val="24"/>
                <w:szCs w:val="24"/>
                <w:color w:val="auto"/>
              </w:rPr>
            </w:pPr>
          </w:p>
        </w:tc>
        <w:tc>
          <w:tcPr>
            <w:tcW w:w="6380" w:type="dxa"/>
            <w:vAlign w:val="bottom"/>
            <w:gridSpan w:val="12"/>
          </w:tcPr>
          <w:p>
            <w:pPr>
              <w:ind w:left="5160"/>
              <w:spacing w:after="0"/>
              <w:rPr>
                <w:sz w:val="20"/>
                <w:szCs w:val="20"/>
                <w:color w:val="auto"/>
              </w:rPr>
            </w:pPr>
            <w:r>
              <w:rPr>
                <w:rFonts w:ascii="Arial" w:cs="Arial" w:eastAsia="Arial" w:hAnsi="Arial"/>
                <w:sz w:val="18"/>
                <w:szCs w:val="18"/>
                <w:color w:val="auto"/>
              </w:rPr>
              <w:t>2</w:t>
            </w: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8420" w:type="dxa"/>
            <w:vAlign w:val="bottom"/>
          </w:tcPr>
          <w:p>
            <w:pPr>
              <w:ind w:left="400"/>
              <w:spacing w:after="0"/>
              <w:rPr>
                <w:sz w:val="20"/>
                <w:szCs w:val="20"/>
                <w:color w:val="auto"/>
              </w:rPr>
            </w:pPr>
            <w:r>
              <w:rPr>
                <w:rFonts w:ascii="Arial" w:cs="Arial" w:eastAsia="Arial" w:hAnsi="Arial"/>
                <w:sz w:val="18"/>
                <w:szCs w:val="18"/>
                <w:color w:val="auto"/>
              </w:rPr>
              <w:t>Consolidated Financial Statements.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842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Active Power, Inc.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420" w:type="dxa"/>
            <w:vAlign w:val="bottom"/>
          </w:tcPr>
          <w:p>
            <w:pPr>
              <w:jc w:val="center"/>
              <w:ind w:left="16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420" w:type="dxa"/>
            <w:vAlign w:val="bottom"/>
          </w:tcPr>
          <w:p>
            <w:pPr>
              <w:jc w:val="center"/>
              <w:ind w:left="1652"/>
              <w:spacing w:after="0"/>
              <w:rPr>
                <w:sz w:val="20"/>
                <w:szCs w:val="20"/>
                <w:color w:val="auto"/>
              </w:rPr>
            </w:pPr>
            <w:r>
              <w:rPr>
                <w:rFonts w:ascii="Arial" w:cs="Arial" w:eastAsia="Arial" w:hAnsi="Arial"/>
                <w:sz w:val="18"/>
                <w:szCs w:val="18"/>
                <w:color w:val="auto"/>
                <w:w w:val="87"/>
              </w:rPr>
              <w:t>(in thousands)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7"/>
              </w:rPr>
              <w:t>ASSETS</w:t>
            </w: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8"/>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$353 and $413 at September 30, 2009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 w:type="dxa"/>
            <w:vAlign w:val="bottom"/>
            <w:shd w:val="clear" w:color="auto" w:fill="CCEEFF"/>
          </w:tcPr>
          <w:p>
            <w:pPr>
              <w:spacing w:after="0"/>
              <w:rPr>
                <w:sz w:val="19"/>
                <w:szCs w:val="19"/>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2008, respectively</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420" w:type="dxa"/>
            <w:vAlign w:val="bottom"/>
            <w:vMerge w:val="restart"/>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24,072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line of credit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264,323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260,344</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(247,636)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(238,843)</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420" w:type="dxa"/>
            <w:vAlign w:val="bottom"/>
            <w:vMerge w:val="restart"/>
          </w:tcPr>
          <w:p>
            <w:pPr>
              <w:ind w:left="24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15,889</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21,863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26,774</w:t>
            </w: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9,515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11,325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23,926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(2,986)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(4,186)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(13,540)</w:t>
            </w: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(4,115)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(8,793)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66,316</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60,124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63,020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(4,115)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(8,793)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(4,620)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(8,917)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(8,793)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inventory and related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Impairment of fixed assets</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disposal of fixed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Long-term liabilities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(10,700)</w:t>
            </w: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draw on revolving line of credit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2"/>
          </w:tcPr>
          <w:p>
            <w:pPr>
              <w:spacing w:after="0"/>
              <w:rPr>
                <w:sz w:val="20"/>
                <w:szCs w:val="20"/>
                <w:color w:val="auto"/>
              </w:rPr>
            </w:pPr>
            <w:r>
              <w:rPr>
                <w:rFonts w:ascii="Arial" w:cs="Arial" w:eastAsia="Arial" w:hAnsi="Arial"/>
                <w:sz w:val="18"/>
                <w:szCs w:val="18"/>
                <w:color w:val="auto"/>
              </w:rPr>
              <w:t>Net cash (used) provided in financing activities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(2,435)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8,033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right="862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manufacture and provide critical power quality solutions that provide business continuity and protect customers in the event of an electrical power disturbance.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Uninterruptible Power Supply (UPS) products we manufacture utilize green technologies to create a renewable energy source. We sell our products globally through direct, manufacturer’s representative and Original Equipment Manufacturer (OEM) channels. Our current principal markets are Europe, Middle East and Africa (EMEA), Asia and North America.</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(consisting only of normal recurring items)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2008.</w:t>
      </w:r>
    </w:p>
    <w:p>
      <w:pPr>
        <w:spacing w:after="0" w:line="116"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In preparing the accompanying condensed consolidated financial statements, the Company has reviewed, as determined necessary by the Company’s management, events that have occurred after September 30, 2009, up until the issuance of the financial statements, which will occur on October 27, 2009.</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Effective January 1, 2009, the Company adopted guidance now codified as Financial Accounting Standards Board (“FASB”) Accounting Standards Codification (“ASC” or “Codification”)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which clarifies that share-based payment awards that entitle their holders to receive nonforfeitable dividends before vesting should be considered participating securities. As participating securities, these instruments should be included in the computation of earnings per share (“EPS”) using the two-class method. The adoption of this guidance did not have a material impact on the computation of net loss per share for the three and nine months ended September 30, 2009 and 2008.</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2009, the FASB issued guidance now codified as FASB ASC Topic 105, “</w:t>
      </w:r>
      <w:r>
        <w:rPr>
          <w:rFonts w:ascii="Arial" w:cs="Arial" w:eastAsia="Arial" w:hAnsi="Arial"/>
          <w:sz w:val="16"/>
          <w:szCs w:val="16"/>
          <w:i w:val="1"/>
          <w:iCs w:val="1"/>
          <w:color w:val="auto"/>
        </w:rPr>
        <w:t>Generally Accepted Accounting Principles</w:t>
      </w:r>
      <w:r>
        <w:rPr>
          <w:rFonts w:ascii="Arial" w:cs="Arial" w:eastAsia="Arial" w:hAnsi="Arial"/>
          <w:sz w:val="16"/>
          <w:szCs w:val="16"/>
          <w:color w:val="auto"/>
        </w:rPr>
        <w:t>,” as the single source of authoritative nongovernmental U.S. GAAP. FASB ASC Topic 105 does not change current U.S. GAAP, but is intended to simplify user access to all authoritative U.S. GAAP by providing all authoritative literature related to a particular topic in one place. All existing accounting standard documents will be superseded and all other accounting literature not included in the FASB Codification will be considered non-authoritative. These provisions of FASB ASC Topic 105 are effective for interim and annual periods ending after September 15, 2009 and, accordingly, are effective for the Company for the current fiscal reporting period. The adoption of this pronouncement did not have an impact on the Company’s financial condition or results of operations, but will impact our financial reporting process by eliminating all references to pre-codification standards. On its effective date, the Codification superseded all then-existing non-SEC accounting and reporting standards, and all other non-grandfathered non-SEC accounting literature not included in the Codification became non-authoritative.</w:t>
      </w:r>
    </w:p>
    <w:p>
      <w:pPr>
        <w:spacing w:after="0" w:line="118"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In October 2009, the FASB issued guidance now codified as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Accounting Standards Update (“ASU”) 2009-13 on revenue recognition that will become effective for us beginning July 1, 2010,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software-enabled products will now be subject to other relevant revenue recognition guidance.</w:t>
      </w:r>
    </w:p>
    <w:p>
      <w:pPr>
        <w:spacing w:after="0" w:line="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Additionally, the FASB issued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price method affects the timing and amount of revenue recognition. We believe adoption of this new guidance will not have a material impact on our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76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Receivables</w:t>
      </w:r>
    </w:p>
    <w:p>
      <w:pPr>
        <w:spacing w:after="0" w:line="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160" w:type="dxa"/>
            <w:vAlign w:val="bottom"/>
            <w:gridSpan w:val="4"/>
          </w:tcPr>
          <w:p>
            <w:pPr>
              <w:ind w:left="19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7"/>
        </w:trPr>
        <w:tc>
          <w:tcPr>
            <w:tcW w:w="4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2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0" w:type="dxa"/>
            <w:vAlign w:val="bottom"/>
            <w:gridSpan w:val="6"/>
          </w:tcPr>
          <w:p>
            <w:pPr>
              <w:ind w:left="112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5"/>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(2,357)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3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8,567</w:t>
            </w:r>
          </w:p>
        </w:tc>
        <w:tc>
          <w:tcPr>
            <w:tcW w:w="260" w:type="dxa"/>
            <w:vAlign w:val="bottom"/>
          </w:tcPr>
          <w:p>
            <w:pPr>
              <w:spacing w:after="0"/>
              <w:rPr>
                <w:sz w:val="19"/>
                <w:szCs w:val="19"/>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consist of the following (in thousands):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0" w:type="dxa"/>
            <w:vAlign w:val="bottom"/>
            <w:gridSpan w:val="6"/>
          </w:tcPr>
          <w:p>
            <w:pPr>
              <w:ind w:left="112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5"/>
          </w:tcPr>
          <w:p>
            <w:pPr>
              <w:ind w:lef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Demonstration units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ind w:left="920"/>
              <w:spacing w:after="0"/>
              <w:rPr>
                <w:sz w:val="20"/>
                <w:szCs w:val="20"/>
                <w:color w:val="auto"/>
              </w:rPr>
            </w:pPr>
            <w:r>
              <w:rPr>
                <w:rFonts w:ascii="Arial" w:cs="Arial" w:eastAsia="Arial" w:hAnsi="Arial"/>
                <w:sz w:val="18"/>
                <w:szCs w:val="18"/>
                <w:color w:val="auto"/>
              </w:rPr>
              <w:t>Accumulated depreciation</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w w:val="92"/>
              </w:rPr>
              <w:t>(18,149)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(16,915)</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0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Accrued expenses consist of the following (in thousands):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24"/>
                <w:szCs w:val="2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Warranty liability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Professional fees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4,488</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September 30, 2009</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hanging="157"/>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948</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291</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266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3" w:lineRule="exact"/>
        <w:rPr>
          <w:sz w:val="20"/>
          <w:szCs w:val="20"/>
          <w:color w:val="auto"/>
        </w:rPr>
      </w:pPr>
    </w:p>
    <w:p>
      <w:pPr>
        <w:ind w:left="160" w:hanging="157"/>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614</w:t>
      </w:r>
    </w:p>
    <w:p>
      <w:pPr>
        <w:spacing w:after="0" w:line="1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266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8340" w:space="720"/>
            <w:col w:w="2360"/>
          </w:cols>
          <w:pgMar w:left="240" w:top="459" w:right="239" w:bottom="1440" w:gutter="0" w:footer="0" w:header="0"/>
        </w:sect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(2,960)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(4,115)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(8,793)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(13,011)</w:t>
            </w: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66,316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63,020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Shares used in computing net loss per share, basic and diluted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66,316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60,124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60,124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calculation of diluted loss per share excludes 5,765,637 and 5,792,249 shares of common stock issuable upon exercise of employee stock options as of September 30, 2009 and 2008, respectively, and 123,013 and 235,344 of non-vested shares issuable upon vesting of restricted stock awards as of September 30, 2009 and 2008, respectively, because their inclusion in the calculation would be anti-dilutive. As of September 30, 2009 and 2008, there was no common stock subject to repurchase.</w:t>
      </w:r>
    </w:p>
    <w:p>
      <w:pPr>
        <w:spacing w:after="0" w:line="25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September 30, 2009.</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objectives to preserve capital, meet liquidity requirements and maximize return on our investments. We do not require collateral or enter into master netting arrangements to mitigate our credit risk.</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Under FASB ASC Topic 820, based on the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will be classified and disclosed in one of the following three categories: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September 30, 2009, the Company’s cash and cash equivalents of $8.0 million are all valued using quoted prices generated by market transactions involving identical assets, or Level 1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September 30,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Corporate Notes</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w:t>
            </w: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6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adopted the provisions of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on June 30, 2009, which requires disclosures about the fair value of financial instruments in interim as well as annual financial statements. For cash and cash equivalents, marketable securities, accounts receivable, and accounts payable, the carrying amount approximates fair value because of the relative short maturity of those instruments.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available-for-sale investments as of September 30, 2009.</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required to issue performance guarantees to our customers as a condition of sale. These guarantees usually provide financial protection to our customers in the event that we fail to fulfill our sales or warranty obligations. We secure these guarantees with standby letters of credit through our bank. At September 30, 2009 and December 31, 2008 we had $96 and $491, respectively, of contingent liabilities outstanding to customers that were secured with letters of credit.</w:t>
      </w:r>
    </w:p>
    <w:p>
      <w:pPr>
        <w:spacing w:after="0" w:line="25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entered into a modified Loan and Security Agreement (the “Loan Agreement”) with Silicon Valley Bank (“SVB”) in October 2008. The Loan Agreement provides for a secured revolving line of credit in an amount of up to $6 million subject to a borrowing base formula. Three million dollars of this credit facility is secured under a U.S. government guaranteed export-import credit facility that would add a U.S. government guarantee to the payments for these foreign shipments and make more of our foreign shipments eligible as security for the credit facility. This guarantee applies to export-import sales of the parent company and does not apply to sales made by our foreign subsidiaries. The remaining $3 million credit facility does not have this guarantee and is secured by a first priority lien on substantially all of our assets. Prior to this modification to add the export-import facility, export revenues were not eligible to be included as part of the borrowing base. This may have limited our ability to utilize the revolving credit facility. All amounts borrowed under this credit facility are subject to a borrowing base formula based on eligible receivables and inventory.</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2008 we borrowed $2.1 million under the Loan Agreement and this balance remained outstanding at September 30, 2009. Based on the borrowing base formula, we had an additional $1.3 million available for use at September 30, 2009 under the Loan Agreement, which expires in October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2008 included in our 2008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of our 2008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Active Power is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 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5"/>
          <w:szCs w:val="15"/>
          <w:color w:val="auto"/>
        </w:rPr>
        <w:t>. Our continuous power systems are marketed under the name PowerHouse and combine our UPS system with switchgear and a generator to provide complete short- and long-term protection in the event of a power disturbance.</w:t>
      </w:r>
    </w:p>
    <w:p>
      <w:pPr>
        <w:spacing w:after="0" w:line="36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 commercialize our technologies by building the Active Power brand, expanding our sales distribution, focusing on product cost reduction, and building technical innovations to serve clients with mission critical power applications globally.</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sell our products to a wide array of commercial and industrial customers and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EMEA and Asia.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7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2009 vs.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40" w:type="dxa"/>
            <w:vAlign w:val="bottom"/>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$ 6,947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10,193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$(3,246)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1,587</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2,255</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12,448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5,751</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9,515</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(3,764)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6,652</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11,325</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jc w:val="right"/>
              <w:spacing w:after="0"/>
              <w:rPr>
                <w:sz w:val="20"/>
                <w:szCs w:val="20"/>
                <w:color w:val="auto"/>
              </w:rPr>
            </w:pPr>
            <w:r>
              <w:rPr>
                <w:rFonts w:ascii="Arial" w:cs="Arial" w:eastAsia="Arial" w:hAnsi="Arial"/>
                <w:sz w:val="18"/>
                <w:szCs w:val="18"/>
                <w:color w:val="auto"/>
              </w:rPr>
              <w:t>2,572</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2,795</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4,868</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(2,986)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1,433%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 (2,960)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(4,115)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80" w:type="dxa"/>
            <w:vAlign w:val="bottom"/>
          </w:tcPr>
          <w:p>
            <w:pPr>
              <w:spacing w:after="0"/>
              <w:rPr>
                <w:sz w:val="14"/>
                <w:szCs w:val="14"/>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6"/>
              </w:rPr>
              <w:t>Nine months ended September 30,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2009 vs.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40" w:type="dxa"/>
            <w:vAlign w:val="bottom"/>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22,033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(170)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4,444</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4,741</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26,774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16,874</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19,937</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(3,063)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19,688</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23,926</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jc w:val="right"/>
              <w:spacing w:after="0"/>
              <w:rPr>
                <w:sz w:val="20"/>
                <w:szCs w:val="20"/>
                <w:color w:val="auto"/>
              </w:rPr>
            </w:pPr>
            <w:r>
              <w:rPr>
                <w:rFonts w:ascii="Arial" w:cs="Arial" w:eastAsia="Arial" w:hAnsi="Arial"/>
                <w:sz w:val="18"/>
                <w:szCs w:val="18"/>
                <w:color w:val="auto"/>
              </w:rPr>
              <w:t>8,562</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8,800</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15,333</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16,388</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(1,055)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(8,714)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(13,540)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(48)</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 (8,793)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(13,011)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consists of sales of our CleanSource power quality products, comprised of both UPS and DC product lines, and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Power Systems (CPS) which are comprised of our UPS systems and some combination of third-party ancillary equipment, such as engine generators and electrical and switchgear products. The CPS products may be sold in a containerized solution that we call PowerHouse, or as separate equipment. Product revenue also includes sales of our CoolAir DC and CoolAir UPS products.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decrease in product revenue of $3.2 million compared to the third quarter of 2008 was primarily due to lower sales from our OEM channel, where sales decreased by $4.2 million, or 82%, compared to the third quarter of 2008. Some of this decrease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attributable to the timing of larger orders from our OEM partner for its customers. We believe that the OEM channel has been negatively influenced by external economic conditions that have caused its customers to delay product purchase decisions due to uncertainty or lack of liquidity. Sales of our UPS products are also a much smaller part of our OEM partner’s total business and subject to more volatility in quarterly sales, particularly during difficult economic periods as the OEM focuses on its core business.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have experienced similar uncertainty on our direct sales efforts, during the third quarter we saw an improvement in sales and orders received, such that our direct sales actually increased by 6% or approximately $400,000 compared to the third quarter of 2008. The improvement is much more pronounced since our second quarter of 2009, and our direct sales during the third quarter of 2009 were 87%, or $3.5 million higher than the levels we had during the second quarter of 2009. We saw revenue from our European business increase significantly during this period also as we received a number of large orders from that region. Our sales through our OEM channel however were down by $1.6 million, or 63%, compared to the second quarter of 2009. Overall our revenues in the third quarter of 2009 increased by 29% from the second quarter of 2009.</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Sales of our PowerHouse products represented approximately $1.9 million, or 22% of our total revenues, during the third quarter of 2009. UPS product sales represented approximately 43% of total revenue for the third quarter of 2009, compared to 59% of total revenue in the third quarter of 2008. The average selling price of our UPS product sales during the third quarter of 2009 was $78,000 per quarter-megawatt flywheel, compared to $77,000 in the comparable period in 2008. The increase in average selling price compared to 2008 was primarily a result of more sales through our direct sales channels where we typically have been able to generate higher average selling prices.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nine-month period ended September 30, 2009, our total revenues were $0.5 million, or 2%, lower than that recorded in the same period of 2008. Our OEM revenues for the nine-month period ended September 30, 2009 were $8.4 million, compared to $12.1 million for the same period in 2008, a decrease of $3.7 million, or 30%. This has been offset by increases in our direct sales channel, which has been positively impacted by the introduction of our PowerHouse containerized product in the U.S. market during 2009 and from the receipt of several larger orders in the European market.</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During the three-month period ended September 30, 2009, we sold 56 flywheel units compared to 94 flywheel units in the comparable period of 2008 and 55 wheels sold during the second quarter of 2009. For the nine-month period ended September 30, 2009, we sold 230 wheels, which compares to 220 wheels sold in the comparable period of 2008. A single product, depending on its power rating, may be comprised of multiple flywheel units, so the number of wheels sold does not correlate to the number of orders received. As we have started selling more PowerHouse products and total systems to our customers, which includes our UPS system bundled together with switchgear and diesel generators, the number of flywheels sold becomes less reflective of trends in our total revenue, such that a large increase in system or PowerHouse revenues could result in large increases in revenue without a comparable increase in the number of flywheel units sold.</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 class UPS products, total system and PowerHouse product sales, made directly by us is more unpredictable than orders received directly from our OEM partners. Variability in the receipt of such large orders or in the number of such orders in any period can result in material changes in period-to-period revenue. Such revenues may also occur in periods other than when originally anticipated, which can add to the potential variability in our quarterly financial results and affect our ability to meet forecasted targets. For example, the absence of large system sales in the first and second quarters of 2009 contributed to the decrease in total revenues from their respective immediately preceding quarters.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North American sales were 40% of our total revenue for the three-month period ended September 30, 2009, compared to 44% for the three-month period ended September 30, 2008 and 77% in the second quarter of 2009. In absolute terms, our North American sales in the third quarter of 2009 were 37% lower than the third quarter of 2008, which was due to the lower level of OEM revenues that had decreased by $4.3 million over this period. For the nine months ended September 30, 2009, our North American sales were 65% of total revenue, which compared to 57% of total revenue in the comparable period of 2008. In total, our North American sales increased by 12% for the nine-month period ended September 30, 2009 compared to the comparable period of 2008, reflecting the overall growth in the acceptance of and market for our product in North America.</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Active Power sales offices and distributors who buy and resell our products. In 2007, we also opened our first Asian sales office in Tokyo. In these markets, customers are more likely to purchase a total solution rather than a stand alone UPS system. This usually results in a longer selling cycle and makes quarterly results more volatile and dependent upon a smaller number of transactions. Thus the amount of revenue from our international markets can change significantly on a quarterly basis. Sales of Active Power branded products through our direct and manufacturer’s representative channels were 88% of our total revenue for the three-month period ended September 30, 2009, compared to 57% for the third quarter of 2008, and direct sales were 68% of our total revenue for the nine-month period ended September 30, 2009 compared to 55% for the same nine-month period of 2008. As direct sales typically have higher profit margins than sales through our OEM channels, we will continue to focus on our direct sales channel to increase revenue and improve profit margins and to decrease our dependency upon our OEM channel. We believe sales of our Active Power branded products in markets that were not covered by our OEMs will continue to increase over time and will continue to become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larger percentage of our total revenue. We believe that our direct sales volumes have not been impacted as much by external factors compared to our OEM channels. This is highlighted by the fact that our direct sales increased by 22% in total for the nine-month period ended September 30, 2009 compared to the comparable period of 2008. There was a 30% decrease for our OEM channel over the same periods.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Caterpillar remains our largest OEM partner and historically was our largest overall customer. Sales to Caterpillar represented 11% of our total revenue for the three-month period ended September 30, 2009, compared to 41% of our revenue for the three-month period ended September 30, 2008, and 31% of our revenue for the nine-month period ended September 30, 2009, compared to 44% of our revenue for the nine-month period ended September 30, 2008. Throughout 2009, we have continued to invest in our marketing and training efforts with Caterpillar, and have taken steps to increase revenues from Caterpillar in foreign markets and to reduce their dependency on the North American market only. We believe that these market development efforts will result in an increase in absolute terms of revenue from the OEM channel over the next year.</w:t>
      </w:r>
    </w:p>
    <w:p>
      <w:pPr>
        <w:spacing w:after="0" w:line="12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on these types of customer situations. Due to the large size of some of our customer orders relative to our current total revenue levels, our quarterly total revenue trend and the proportion of sales made directly by us can be expected to fluctuate.</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Service and other revenue. </w:t>
      </w:r>
      <w:r>
        <w:rPr>
          <w:rFonts w:ascii="Arial" w:cs="Arial" w:eastAsia="Arial" w:hAnsi="Arial"/>
          <w:sz w:val="18"/>
          <w:szCs w:val="18"/>
          <w:color w:val="auto"/>
        </w:rPr>
        <w:t>Service and other revenue primarily relates to revenue generated from both traditional (after-market) service work and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Service and other revenue increased by 12% for the three-month period ended September 30, 2009, compared to the second quarter of 2009, but were $0.7 million, or 30% lower than the third quarter of 2008. This increase since the second quarter is primarily due to higher levels of service and contract work from direct product sales made in prior quarters. For some of these customers we provide a full power solution, including site preparation, installation of an entire power solution and provision of all products required to provide a turnkey product to the end user. The decrease compared to 2008 is due to lower project and contract work compared to that period, which is impacted by the timing of large system orders that we have received. Where we make sales through our OEM channel, it is typical for the OEM to provide these types of services to their end-user customers. We anticipate that service and other revenue will continue to grow with product revenue and as our installed base of product expands, because as more units are sold to customers, more installation, startup and maintenance services will be required.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nine-month period ended September 30, 2009, our service and other revenues decreased by 6% when compared to the same period of 2008. Although our larger installed base of customers that purchased products directly from us has resulted in a higher level of customers with recurring maintenance contract agreements, our revenues from project installation and commissioning has decreased compared to 2008 due to a smaller number of large projects in 2009 compared to the prior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ancillary equipment that is sourced from external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suppliers, personnel, equipment and other costs associated with our assembly and test operations, including costs from having underutilized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of our manufacturing property and equipment, shipping costs, warranty costs, and the costs of manufacturing support functions such as logistics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quality assurance. The cost of product revenue as a percentage of total product revenue decreased from 93% in the third quarter of 2008 to 83% in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September 30, 2009 due to the effects of lower product costs and from lower levels of manufacturing overhead, as well as the absence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of a $1.5 million excess inventory charge of a discontinued product line that we recorded in 2008. We have ongoing programs to reduce product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component costs where feasible, and this has resulted in a decrease in materials costs as a percentage of product revenue and helped us to mitigate the impact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fluctuating raw commodity pricing on our total product costs. We continue to operate a manufacturing facility that has a capacity significantly greater than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product revenue levels. A large portion of the costs involved in operating this manufacturing facility are fixed in nature and we incur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$300,000 to $700,000 in unabsorbed overhead each quarter. We continue to work on reducing our product costs through design enhancements and modifications,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and vendor management programs. The accomplishment of material gross-margin levels is heavily dependent upon our sales channel mix and the effectiveness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product pricing to our customers as well as the volume of flywheels manufactured. Our ability to maintain and grow positive product gross margin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depend on multiple factors, including our ability to continue to reduce material costs, improve our sales channel mix in favor of direct sales versus OEM,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prices, and increase our total revenues to a level that will allow us to improve the utilization of our manufacturing operations.</w:t>
      </w:r>
    </w:p>
    <w:p>
      <w:pPr>
        <w:spacing w:after="0" w:line="16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For the nine months ended September 30, 2009, the cost of product revenue decreased to 64% of total revenue, compared to 74% of total revenue for the same period of 2008. This improvement reflects the impact of increased flywheels sold, which causes improved efficiency in our manufacturing organization and lower unabsorbed overhead costs, as well as the impact of material and overhead cost reductions and the absence of excess inventory charges that we had in 2008.</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service and other revenue. </w:t>
      </w:r>
      <w:r>
        <w:rPr>
          <w:rFonts w:ascii="Arial" w:cs="Arial" w:eastAsia="Arial" w:hAnsi="Arial"/>
          <w:sz w:val="16"/>
          <w:szCs w:val="16"/>
          <w:color w:val="auto"/>
        </w:rPr>
        <w:t>Cost of service and other revenue includes the cost of component parts that we use in service or sell as spare parts,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labor and overhead costs of our service organization, including travel and related costs incurred in fulfilling our service obligations to our customers. The cost of service and other revenue decreased to 57% of service and other revenue in the three-month period ended of September 30, 2009, compared to 80% in the same period of 2008, and decreased to 63% of service and other revenue in the nine-month period ended September 30, 2009, compared to 84% in the same period of 2008. This decrease reflects better utilization of our service personnel in 2009, improved pricing for service, and higher margins on contract work compared to the prior period and the benefits of higher service volume to help meet the fixed costs of our service infrastructure. A large portion of the costs involved in operating our service organization are fixed in nature and we incur approximately $300,000 to $500,000 in unabsorbed overhead each quarter. We continue to work on reducing our service overhead through better utilization of our service employees and cost control measures.</w:t>
      </w:r>
    </w:p>
    <w:p>
      <w:pPr>
        <w:spacing w:after="0" w:line="118"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product development activities, as well as an allocated portion of our occupancy costs. Overall our research and development expenses were $102,000, or 9%, lower in the third quarter of 2009 compared to the third quarter of 2008, and were $37,000, or 3%, higher than the second quarter of 2009. For the nine-month period ended September 30, 2009, our research and development expenses were $649,000, or 17%, lower than the comparable period of 2008. These decreases from the same period in 2008 were due to headcount reductions compared to 2008 and lower project related development costs this year. The prior year expenses included higher prototype and development costs for paralleling our megawatt-class UPS products. We believe research and development expenses in the fourth quarter will remain at similar levels to those recorded in the third quarter.</w:t>
      </w:r>
    </w:p>
    <w:p>
      <w:pPr>
        <w:spacing w:after="0" w:line="10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 primarily consists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and related travel, selling and marketing expenses, as well as an allocated portion of our occupancy costs and the cost of our foreign sales operations. Selling and marketing costs were $223,000, or 8%, lower in the third quarter of 2009 compared to the amount recorded in the third quarter of 2008, and were $88,000, or 3%, lower than the second quarter of 2009. The decrease from the same period in 2008 reflects decreased spending on marketing activities in 2009, including tradeshows, as well as decreased third party manufacturing representative commissions and lower variable sales compensation expense on lower revenue levels. The decrease in our sales and marketing costs from second quarter of 2009 is due to decreased variable sales compensation, as well as decreased spending on marketing activities. For the nine-month period ended September 30, 2009, our selling and marketing costs were $238,000, or 3%, lower than the comparable period of 2008. Our total headcount in sales and marketing in the third quarter of 2009 remained at similar levels to the prior quarter, although we have changed the composition of our sales team over the last year as we expand our direct sales force. We believe that sales and marketing expenses will remain at similar levels in the fourth quarter of 2009 to those recorded in the third quarter of 2009, except for changes in variable selling expenses, based on fluctuations in total revenue.</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is primarily comprised of compensation and related costs for executive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professional fees, and taxes, including sales, property and franchise taxes. General and administrative expenses for the third quarter of 2009 decreased $116,000, or 9%, compared to the same period in 2008 and remained steady as compared to the immediately preceding quarter. The decrease compared to 2008 is due to lower bad debt allowances in 2009. For the nine-month period ended September 30, 2009, our general and administrative costs were $168,000, or 5%, lower than the level recorded in 2008. This reflects lower expenses for executive compensation, offset by higher professional fees incurred in connection with the private placement of securities that we made in the second quarter of 2009 and with the employee stock option exchange program that we completed in the third quarter of 2009.</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Interest income (expense) has decreased from $68,000 in the three-month period ended September 30, 2008 to ($20,000)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three-month period ended September 30, 2009. This reflects the decrease in our average cash and investments balance compared to the prior year as we have used our investments to fund operations, decreasing interest rates available in credit markets and interest expense paid on balances outstanding under our Loan Agreement. Our average cash and investments balance over the three-month period ending September 30, 2009 has decreased by approximately $3.1 million, or 24%, compared to the average balance over the comparable period ending September 30, 2008.</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in the third quarter of 2009 reflects foreign exchange gains (losses) on a bank account held in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Other income in the third quarter of 2008 includes our sale of previously expensed equipment as well as foreign exchange gains on a bank account held in foreign currency.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primary sources of liquidity at September 30, 2009 are our cash and investments on hand, our bank credit facilities and projected cash flows from operating activities. If we meet our cash flow projections in our current business plan, we expect that we will not require additional financing in order to continue operating and growing our business at moderate levels during the next twelve months. Our business plan and our assumptions around the adequacy of our liquidity are based on estimates regarding expected revenues and future costs. However, there are scenarios in which our revenues may not meet our projections or our costs may exceed our estimates or where our revenues grow faster than anticipated, which could all materially increase our liquidity needs. In addition, the increase in sales of our PowerHouse products to customers during 2009 has the potential to materially impact the amount of liquidity required by the Company to fund operations. Further, our estimates may change and future events or developments may also affect our estimates. Any of these factors may change our expectation of cash usage in 2009 and beyond or significantly affect our level of liquidity, which may require us to seek additional financing or take other measures to reduce our operating costs in order to continue operating. Our cash and investments at September 30, 2009 totaled $8.0 million.</w:t>
      </w:r>
    </w:p>
    <w:p>
      <w:pPr>
        <w:spacing w:after="0" w:line="12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On May 29, 2009, we entered into a Securities Purchase Agreement with an institutional investor, pursuant to which the Company sold in a private placement 6,000,000 shares of its common stock, par value $0.001 per share, at a purchase price of $0.50 per share (the opening trading price of our common stock on the date of the transaction), or $3,000,000 in the aggregate. Pursuant to the Securities Purchase Agreement, we agreed to use commercially reasonable efforts to prepare and file as soon as reasonably practicable a registration statement covering the resale of the shares issued to the purchasers and to use commercially reasonable efforts to cause such registration statement to become automatically effective or to be declared effective as soon as reasonably practicable, and in any event no later than 4:30 p.m. Eastern time on the two hundred and tenth (210</w:t>
      </w:r>
      <w:r>
        <w:rPr>
          <w:rFonts w:ascii="Arial" w:cs="Arial" w:eastAsia="Arial" w:hAnsi="Arial"/>
          <w:sz w:val="10"/>
          <w:szCs w:val="10"/>
          <w:color w:val="auto"/>
        </w:rPr>
        <w:t>th</w:t>
      </w:r>
      <w:r>
        <w:rPr>
          <w:rFonts w:ascii="Arial" w:cs="Arial" w:eastAsia="Arial" w:hAnsi="Arial"/>
          <w:sz w:val="16"/>
          <w:szCs w:val="16"/>
          <w:color w:val="auto"/>
        </w:rPr>
        <w:t>) day following the closing date. We anticipate that the registration statement will be declared effective prior to this deadline.</w:t>
      </w:r>
    </w:p>
    <w:p>
      <w:pPr>
        <w:spacing w:after="0" w:line="1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future business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 modified Loan and Security Agreement (the “Loan Agreement”) with Silicon Valley Bank (“SVB”) in October 2008. The Loan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provides for a secured revolving line of credit in an amount of up to $6.0 million, subject to a borrowing base formula. The Loan Agreement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U.S. export-import credit facility that would add a U.S. government guarantee to the payments for these foreign shipments and make more of our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shipments eligible as security for the credit facility. This guarantee applies to export-import sales of the parent company and does not apply to sales made by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subsidiaries. Prior to this modification, export revenues were not eligible to be included as part of the borrowing base, which may have limited our 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utilize the revolving credit facility. All amounts borrowed under this facility are subject to a borrowing base formula based on eligible receivables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inventory. During the year ended December 31, 2008, we borrowed $2.0 million under the Loan Agreement and this balance remained outstanding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2009. Based on the borrowing base formula, we had an additional $1.3 million available for use at September 30, 2009 under the Loan Agreement.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1. In addition, the Loan Agreement contains customary affirmative covenants, including covenants that require, among other things, the delivery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compliance with laws, the maintenance of insurance and the protection and registration of intellectual property rights. Further, the Loan Agreement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contains customary negative covenants, including covenants that limit or restrict our ability to, among other things, dispose of assets, change our business, change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CEO or CFO, make acquisitions, be acquired, incur indebtedness, grant liens, make investments, make distributions, repurchase stock, and enter into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our affiliates, in each case subject to customary exceptions for a credit facility of this size and type.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(i) SVB’s prime rate plus 0.25% or (ii) 5.25%.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of each of our subsidiaries held by us.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An increase in sales of our PowerHouse may materially impact the amount of liquidity required to fund our operations. The amount of time between the receipt of payment from our customers and our expenditures for raw materials, manufacture and shipment of products (the sales cycle) for sales of our standard UPS product can be as short as 45 days, and is typically 60 days. However, this cash cycle on a PowerHouse sale can be as much as 210 days, depending upon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These larger investments may require us to obtain additional sources of working capital, debt or equity financing in order to fund this business.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currently evaluating a number of non-equity financing sources, including extended trade credit facilities from some of our suppliers and business partners, to help us potentially finance growth in our PowerHouse business. We are also looking at possible changes to our current banking facility to enable us to borrow more against the current facility, and also holding preliminary discussions with several debt-based financiers. These options are all designed to provide us with additional sources of capital if we require them to fulfill a growing number of PowerHouse sales.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operating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Nine months ended</w:t>
            </w:r>
          </w:p>
        </w:tc>
        <w:tc>
          <w:tcPr>
            <w:tcW w:w="160" w:type="dxa"/>
            <w:vAlign w:val="bottom"/>
          </w:tcPr>
          <w:p>
            <w:pPr>
              <w:spacing w:after="0"/>
              <w:rPr>
                <w:sz w:val="14"/>
                <w:szCs w:val="14"/>
                <w:color w:val="auto"/>
              </w:rPr>
            </w:pPr>
          </w:p>
        </w:tc>
        <w:tc>
          <w:tcPr>
            <w:tcW w:w="7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5"/>
              </w:rPr>
              <w:t>Variance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3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4"/>
              </w:rPr>
              <w:t>2009 vs. 2008</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$(5,519)</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(10,700)</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$5,181</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48%</w:t>
            </w: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Cash used in operating activities decreased by 48% in the nine-month period ended September 30, 2009 compared to the same period of 2008. Approximately $4.8 million of this decrease was due to lower operating losses in our business in 2009 compared to 2008. The rest of the decrease in cash used in operating activities was due to improvement in our working capital. During 2009, we have increased our level of inventory by $2.0 million due to a faster than expected decline in our level of OEM sales and our inability to decrease production rapidly in response to this decline in volume. Due to the fact that our revenues in the first half of 2009 were declining from the immediately preceding periods, we were able to offset this increase in inventory by decreasing our level of receivables and generating cash. We also have seen our level of deferred revenues fluctuate based on the timing of customer deposits and interim payments from customers compared to 2008, and such deferred revenues decreased by $850,000 compared to 2008. We anticipate that the level of cash used in operating activities will decrease slightly in the fourth quarter as we continue to have fluctuations in our working capital.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provided by investing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300" w:type="dxa"/>
            <w:vAlign w:val="bottom"/>
          </w:tcPr>
          <w:p>
            <w:pPr>
              <w:spacing w:after="0"/>
              <w:rPr>
                <w:sz w:val="14"/>
                <w:szCs w:val="14"/>
                <w:color w:val="auto"/>
              </w:rPr>
            </w:pPr>
          </w:p>
        </w:tc>
        <w:tc>
          <w:tcPr>
            <w:tcW w:w="94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5"/>
              </w:rPr>
              <w:t>Variance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4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2009 vs. 2008</w:t>
            </w:r>
          </w:p>
        </w:tc>
      </w:tr>
      <w:tr>
        <w:trPr>
          <w:trHeight w:val="142"/>
        </w:trPr>
        <w:tc>
          <w:tcPr>
            <w:tcW w:w="74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investing activities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$ 202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4,089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(95)%</w:t>
            </w: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$498,000 in the nine-month period ending September 30, 2009, compared to $952,000 in the same period of 2008. Cash provided by sales and purchases of investments were $700,000 in the nine-month period ending September 30, 2009, compared to $4.9 million in the same period of 2008.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financing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300" w:type="dxa"/>
            <w:vAlign w:val="bottom"/>
          </w:tcPr>
          <w:p>
            <w:pPr>
              <w:spacing w:after="0"/>
              <w:rPr>
                <w:sz w:val="14"/>
                <w:szCs w:val="1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Variance</w:t>
            </w:r>
          </w:p>
        </w:tc>
      </w:tr>
      <w:tr>
        <w:trPr>
          <w:trHeight w:val="161"/>
        </w:trPr>
        <w:tc>
          <w:tcPr>
            <w:tcW w:w="42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2009 vs. 2008</w:t>
            </w:r>
          </w:p>
        </w:tc>
      </w:tr>
      <w:tr>
        <w:trPr>
          <w:trHeight w:val="142"/>
        </w:trPr>
        <w:tc>
          <w:tcPr>
            <w:tcW w:w="4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4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$ 3,005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r>
      <w:tr>
        <w:trPr>
          <w:trHeight w:val="363"/>
        </w:trPr>
        <w:tc>
          <w:tcPr>
            <w:tcW w:w="4240" w:type="dxa"/>
            <w:vAlign w:val="bottom"/>
          </w:tcPr>
          <w:p>
            <w:pPr>
              <w:spacing w:after="0"/>
              <w:rPr>
                <w:sz w:val="24"/>
                <w:szCs w:val="24"/>
                <w:color w:val="auto"/>
              </w:rPr>
            </w:pPr>
          </w:p>
        </w:tc>
        <w:tc>
          <w:tcPr>
            <w:tcW w:w="3420" w:type="dxa"/>
            <w:vAlign w:val="bottom"/>
          </w:tcPr>
          <w:p>
            <w:pPr>
              <w:jc w:val="right"/>
              <w:ind w:right="2232"/>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Funds provided by financing activities during the nine months ended September 30, 2009 primarily reflect the sale of common stock through a private placement to an institutional investor pursuant to which we sold 6.0 million shares of common stock at $0.50 per share. The financing closed on May 29, 2009. The funds provided by financing activities during the nine months ended September 30, 2008 reflect the $1.0 million draw on the revolving bank line of credit.</w:t>
      </w:r>
    </w:p>
    <w:p>
      <w:pPr>
        <w:spacing w:after="0" w:line="107"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We believe that our cash and investments will be sufficient to fund our operations for at least the next 12 months. We have prepared multiple scenarios for anticipated revenues in 2009 and 2010, both favorable and unfavorable, to reflect the high level of uncertainty about the macroeconomic environment in which we operate our business. Our sales cycle is such that we generally have visibility 2-3 quarters in advance for future orders that allows us to predict revenues over this period of time with some degree of confidence. The recent global economic slump has, however, reduced our confidence at predicting future revenues. This window of sales visibility does provide us with some opportunity to adjust expenditures or take other measures to reduce our cash consumption if we can see and anticipate a shortfall in revenue or give us time to identify additional sources of funding if we anticipate an increase in our working capital requirements due to increased revenues or changes in our revenue mix. Based on the different scenarios we modeled for 2009 and 2010, we believe that we can continue to manage operations and manage our working capital with the cash and investments on hand as at September 30, 2009 without the need for a further capital raise.</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noted above, we believe our existing cash and investments at September 30, 2009 will be sufficient to meet our cash requirements through at least the next 12 months, although depending on our anticipated revenue levels, we may elect to seek additional funding prior to that time especially if the opportunity to increase PowerHouse sales requires additional working capital. Beyond the next 12 months, our cash requirements will depend on many factors, including the rate of sales growth, the success of our direct selling strategy, the market acceptance of our products, including in particular the PowerHouse product family, the timing and level of development funding, the rate of expansion of our sales and marketing activities, the efficiency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Effective January 1, 2009, the Company adopted guidance now codified as FASB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which clarifies that share-based payment awards that entitle their holders to receive nonforfeitable dividends before vesting should be considered participating securities. As participating securities, these instruments should be included in the computation of earnings per share (“EPS”) using the two-class method. The adoption of this guidance did not have a material impact on the computation of net loss per share for the three and nine months ended June 30, 2009 and 2008.</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June 2009, the FASB issued guidance now codified as FASB ASC Topic 105, “</w:t>
      </w:r>
      <w:r>
        <w:rPr>
          <w:rFonts w:ascii="Arial" w:cs="Arial" w:eastAsia="Arial" w:hAnsi="Arial"/>
          <w:sz w:val="16"/>
          <w:szCs w:val="16"/>
          <w:i w:val="1"/>
          <w:iCs w:val="1"/>
          <w:color w:val="auto"/>
        </w:rPr>
        <w:t>Generally Accepted Accounting Principles</w:t>
      </w:r>
      <w:r>
        <w:rPr>
          <w:rFonts w:ascii="Arial" w:cs="Arial" w:eastAsia="Arial" w:hAnsi="Arial"/>
          <w:sz w:val="16"/>
          <w:szCs w:val="16"/>
          <w:color w:val="auto"/>
        </w:rPr>
        <w:t>,” as the single source of authoritative nongovernmental U.S. GAAP. FASB ASC Topic 105 does not change current U.S. GAAP, but is intended to simplify user access to all authoritative U.S. GAAP by providing all authoritative literature related to a particular topic in one place. All existing accounting standard documents will be superseded and all other accounting literature not included in the FASB Codification will be considered non-authoritative. These provisions of FASB ASC Topic 105 are effective for interim and annual periods ending after September 15, 2009 and, accordingly, are effective for the Company for the current fiscal reporting period. The adoption of this pronouncement did not have an impact on the Company’s financial condition or results of operations, but will impact our financial reporting process by eliminating all references to pre-codification standards. On the effective date of this Statement, the Codification superseded all then-existing non-SEC accounting and reporting standards, and all other non-grandfathered non-SEC accounting literature not included in the Codification became non-authoritative.</w:t>
      </w:r>
    </w:p>
    <w:p>
      <w:pPr>
        <w:spacing w:after="0" w:line="118" w:lineRule="exact"/>
        <w:rPr>
          <w:sz w:val="20"/>
          <w:szCs w:val="20"/>
          <w:color w:val="auto"/>
        </w:rPr>
      </w:pPr>
    </w:p>
    <w:p>
      <w:pPr>
        <w:jc w:val="both"/>
        <w:ind w:right="20" w:firstLine="456"/>
        <w:spacing w:after="0" w:line="283" w:lineRule="auto"/>
        <w:rPr>
          <w:sz w:val="20"/>
          <w:szCs w:val="20"/>
          <w:color w:val="auto"/>
        </w:rPr>
      </w:pPr>
      <w:r>
        <w:rPr>
          <w:rFonts w:ascii="Arial" w:cs="Arial" w:eastAsia="Arial" w:hAnsi="Arial"/>
          <w:sz w:val="16"/>
          <w:szCs w:val="16"/>
          <w:color w:val="auto"/>
        </w:rPr>
        <w:t>In October 2009, the FASB issued guidance now codified as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Accounting Standards Update (“ASU”) 2009-13 on revenue recognition that will become effective for us beginning July 1, 2010,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software-enabled products will now be subject to other relevant revenue recognition guidance.</w:t>
      </w:r>
    </w:p>
    <w:p>
      <w:pPr>
        <w:spacing w:after="0" w:line="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Additionally, the FASB issued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price method affects the timing and amount of revenue recognition. We believe adoption of this new guidance will not have a material impact on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$50,000. Because of the nature of the majority of our investments, we do not believe a 1% decline in interest rates would have a material effect on their fair value.</w:t>
      </w:r>
    </w:p>
    <w:p>
      <w:pPr>
        <w:spacing w:after="0" w:line="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international sales have historically been made in U.S. dollars. As we have increased sales in foreign markets and opened operations in multiple foreign countries, we have executed more transactions that are denominated in other currencies, primarily Euros and British pounds. Those sales and expenses in currencies other than U.S. dollars can result in transaction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1A—“Risk Factors” in our 2008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based on the evaluation of our disclosure controls and procedures (as defined in Rule 13a-15(e) or 15d-15(e) under the Securities Exchange Act of 1934, as amended) required by paragraph (b) of Rule 13a-15 or Rule 15d-15, have concluded that, as of September 30, 2009, our disclosure controls and procedures were effective to ensure that the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our management, including our Chief Executive Officer and our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three months ended September 30, 2009, there were no changes in our internal control over financial reporting identified in connection with the evaluation required by Rule 13a-15(d) and Rule 15d-15(d) under the Exchange Act that have materially affected, or that we believe are reasonably likely to materially affect, our internal control over financial reporting, as defined in Rules 13a-15(f) and 15d-15(f)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2008 Annual Report on Form 10-K before making a decision to invest in our common stock or in evaluating Active Power and our business. The risks and uncertainties described in our 2008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2008 Annual Report on Form 10-K could materially harm our business, financial condition and results of operations. In that case, the trading price of our common stock could decline.</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third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increase in sales of our PowerHouse product may materially increase the amount of liquidity required to fund the Company’s operations.</w:t>
      </w:r>
    </w:p>
    <w:p>
      <w:pPr>
        <w:spacing w:after="0" w:line="20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 significant increase in sales of our PowerHouse product may materially increase the amount of liquidity required to fund our operations. The amount of time between the receipt of payment from our customers and our expenditures for raw materials, manufacture and shipment of products (the sales cycle) for sales of our standard UPS product can be as short as 45 days, and is typically 60 days. However, this cash cycle on a PowerHouse sale can be as much as 210 days, depending upon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to fund these sales opportunities. These larger investments may require us to obtain additional sources of working capital, debt or equity financing in order to fund this business. If we are unsuccessful at obtaining additional sources of working capital, we may be required to curtail our level of PowerHouse sales or we may lose potential customers, both of which may cause our financial results to not meet the expectations of public market analysts or investors and adversely impact our financial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 until January 19, 2009. NASDAQ subsequently extended the suspension of enforcement of the Rule in December 2008 and again in March 2009. On July 14, 2009, NASDAQ informed us that the temporary suspension of enforcement of the Rule would remain in effect until July 31, 2009. As a result, the period during which we must regain compliance has been extended to December 2, 2009. If at any time before December 2, 2009, the bid price of our common stock closes at or above $1.00 per share for a minimum of 10 consecutive business days, NASDAQ will provide written notification that we have achieved compliance with the Rule. If compliance with the Rule cannot be demonstrated by December 2, 2009, our common stock will be subject to delisting from The NASDAQ Global Market.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as Exhibit 3.1 to Active Power’s Quarterly Report on Form 10-Q filed on July 28, 2006)</w:t>
      </w:r>
    </w:p>
    <w:p>
      <w:pPr>
        <w:spacing w:after="0" w:line="117"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 2, 2007)</w:t>
      </w:r>
    </w:p>
    <w:p>
      <w:pPr>
        <w:spacing w:after="0" w:line="117" w:lineRule="exact"/>
        <w:rPr>
          <w:sz w:val="20"/>
          <w:szCs w:val="20"/>
          <w:color w:val="auto"/>
        </w:rPr>
      </w:pPr>
    </w:p>
    <w:p>
      <w:pPr>
        <w:ind w:left="1280" w:right="160" w:hanging="546"/>
        <w:spacing w:after="0" w:line="268" w:lineRule="auto"/>
        <w:tabs>
          <w:tab w:leader="none" w:pos="1260" w:val="left"/>
        </w:tabs>
        <w:rPr>
          <w:sz w:val="20"/>
          <w:szCs w:val="20"/>
          <w:color w:val="auto"/>
        </w:rPr>
      </w:pPr>
      <w:r>
        <w:rPr>
          <w:rFonts w:ascii="Arial" w:cs="Arial" w:eastAsia="Arial" w:hAnsi="Arial"/>
          <w:sz w:val="18"/>
          <w:szCs w:val="18"/>
          <w:color w:val="auto"/>
        </w:rPr>
        <w:t>3.3*</w:t>
        <w:tab/>
        <w:t>Amendment to Second Amended and Restated Bylaws (filed as Exhibit 3.01 to Active Power’s Current Report on Form 8-K filed on December 7, 2007)</w:t>
      </w:r>
    </w:p>
    <w:p>
      <w:pPr>
        <w:spacing w:after="0" w:line="78" w:lineRule="exact"/>
        <w:rPr>
          <w:sz w:val="20"/>
          <w:szCs w:val="20"/>
          <w:color w:val="auto"/>
        </w:rPr>
      </w:pPr>
    </w:p>
    <w:p>
      <w:pPr>
        <w:ind w:left="1280" w:right="380" w:hanging="546"/>
        <w:spacing w:after="0" w:line="268" w:lineRule="auto"/>
        <w:tabs>
          <w:tab w:leader="none" w:pos="1260" w:val="left"/>
        </w:tabs>
        <w:rPr>
          <w:sz w:val="20"/>
          <w:szCs w:val="20"/>
          <w:color w:val="auto"/>
        </w:rPr>
      </w:pPr>
      <w:r>
        <w:rPr>
          <w:rFonts w:ascii="Arial" w:cs="Arial" w:eastAsia="Arial" w:hAnsi="Arial"/>
          <w:sz w:val="18"/>
          <w:szCs w:val="18"/>
          <w:color w:val="auto"/>
        </w:rPr>
        <w:t>4.1*</w:t>
        <w:tab/>
        <w:t>Specimen certificate for shares of Common Stock (filed as Exhibit 4.1 to Active Power’s IPO Registration Statement on Form S-l (SEC File No. 333-36946) (the “IPO Registration Statement”))</w:t>
      </w:r>
    </w:p>
    <w:p>
      <w:pPr>
        <w:spacing w:after="0" w:line="78" w:lineRule="exact"/>
        <w:rPr>
          <w:sz w:val="20"/>
          <w:szCs w:val="20"/>
          <w:color w:val="auto"/>
        </w:rPr>
      </w:pPr>
    </w:p>
    <w:p>
      <w:pPr>
        <w:ind w:left="1280" w:hanging="546"/>
        <w:spacing w:after="0" w:line="256" w:lineRule="auto"/>
        <w:tabs>
          <w:tab w:leader="none" w:pos="1260" w:val="left"/>
        </w:tabs>
        <w:rPr>
          <w:sz w:val="20"/>
          <w:szCs w:val="20"/>
          <w:color w:val="auto"/>
        </w:rPr>
      </w:pPr>
      <w:r>
        <w:rPr>
          <w:rFonts w:ascii="Arial" w:cs="Arial" w:eastAsia="Arial" w:hAnsi="Arial"/>
          <w:sz w:val="18"/>
          <w:szCs w:val="18"/>
          <w:color w:val="auto"/>
        </w:rPr>
        <w:t>4.2*</w:t>
        <w:tab/>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filed on December 14, 2001)</w:t>
      </w:r>
    </w:p>
    <w:p>
      <w:pPr>
        <w:spacing w:after="0" w:line="89" w:lineRule="exact"/>
        <w:rPr>
          <w:sz w:val="20"/>
          <w:szCs w:val="20"/>
          <w:color w:val="auto"/>
        </w:rPr>
      </w:pPr>
    </w:p>
    <w:p>
      <w:pPr>
        <w:ind w:left="1280" w:right="480" w:hanging="546"/>
        <w:spacing w:after="0" w:line="268" w:lineRule="auto"/>
        <w:tabs>
          <w:tab w:leader="none" w:pos="1260" w:val="left"/>
        </w:tabs>
        <w:rPr>
          <w:sz w:val="20"/>
          <w:szCs w:val="20"/>
          <w:color w:val="auto"/>
        </w:rPr>
      </w:pPr>
      <w:r>
        <w:rPr>
          <w:rFonts w:ascii="Arial" w:cs="Arial" w:eastAsia="Arial" w:hAnsi="Arial"/>
          <w:sz w:val="18"/>
          <w:szCs w:val="18"/>
          <w:color w:val="auto"/>
        </w:rPr>
        <w:t>4.3*</w:t>
        <w:tab/>
        <w:t>See Exhibits 3.1, 3.2 and 3.3 for provisions of the Certificate of Incorporation and Bylaws of the registrant defining the rights of holders of common stock</w:t>
      </w:r>
    </w:p>
    <w:p>
      <w:pPr>
        <w:spacing w:after="0" w:line="78" w:lineRule="exact"/>
        <w:rPr>
          <w:sz w:val="20"/>
          <w:szCs w:val="20"/>
          <w:color w:val="auto"/>
        </w:rPr>
      </w:pPr>
    </w:p>
    <w:p>
      <w:pPr>
        <w:ind w:left="1280" w:right="80" w:hanging="634"/>
        <w:spacing w:after="0" w:line="268" w:lineRule="auto"/>
        <w:tabs>
          <w:tab w:leader="none" w:pos="12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 and 15d-14(a), as adopted pursuant to Section 302 of the Sarbanes-Oxley Act of 2003</w:t>
      </w:r>
    </w:p>
    <w:p>
      <w:pPr>
        <w:spacing w:after="0" w:line="78" w:lineRule="exact"/>
        <w:rPr>
          <w:sz w:val="20"/>
          <w:szCs w:val="20"/>
          <w:color w:val="auto"/>
        </w:rPr>
      </w:pPr>
    </w:p>
    <w:p>
      <w:pPr>
        <w:ind w:left="1280" w:hanging="634"/>
        <w:spacing w:after="0" w:line="268" w:lineRule="auto"/>
        <w:tabs>
          <w:tab w:leader="none" w:pos="12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 and 15(d)-14(a), as adopted pursuant to Section 302 of the Sarbanes-Oxley Act of 2003</w:t>
      </w:r>
    </w:p>
    <w:p>
      <w:pPr>
        <w:spacing w:after="0" w:line="78" w:lineRule="exact"/>
        <w:rPr>
          <w:sz w:val="20"/>
          <w:szCs w:val="20"/>
          <w:color w:val="auto"/>
        </w:rPr>
      </w:pPr>
    </w:p>
    <w:p>
      <w:pPr>
        <w:ind w:left="1280" w:hanging="634"/>
        <w:spacing w:after="0" w:line="268" w:lineRule="auto"/>
        <w:tabs>
          <w:tab w:leader="none" w:pos="12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2003</w:t>
      </w:r>
    </w:p>
    <w:p>
      <w:pPr>
        <w:spacing w:after="0" w:line="78" w:lineRule="exact"/>
        <w:rPr>
          <w:sz w:val="20"/>
          <w:szCs w:val="20"/>
          <w:color w:val="auto"/>
        </w:rPr>
      </w:pPr>
    </w:p>
    <w:p>
      <w:pPr>
        <w:ind w:left="1280" w:right="40" w:hanging="634"/>
        <w:spacing w:after="0" w:line="268" w:lineRule="auto"/>
        <w:tabs>
          <w:tab w:leader="none" w:pos="12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240" w:top="459" w:right="8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b w:val="1"/>
                <w:bCs w:val="1"/>
                <w:color w:val="auto"/>
              </w:rPr>
              <w:t>ACTIVE POWER, INC.</w:t>
            </w:r>
          </w:p>
        </w:tc>
        <w:tc>
          <w:tcPr>
            <w:tcW w:w="3400" w:type="dxa"/>
            <w:vAlign w:val="bottom"/>
          </w:tcPr>
          <w:p>
            <w:pPr>
              <w:spacing w:after="0"/>
              <w:rPr>
                <w:sz w:val="19"/>
                <w:szCs w:val="19"/>
                <w:color w:val="auto"/>
              </w:rPr>
            </w:pPr>
          </w:p>
        </w:tc>
      </w:tr>
      <w:tr>
        <w:trPr>
          <w:trHeight w:val="222"/>
        </w:trPr>
        <w:tc>
          <w:tcPr>
            <w:tcW w:w="60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(Registrant)</w:t>
            </w:r>
          </w:p>
        </w:tc>
        <w:tc>
          <w:tcPr>
            <w:tcW w:w="3400" w:type="dxa"/>
            <w:vAlign w:val="bottom"/>
          </w:tcPr>
          <w:p>
            <w:pPr>
              <w:spacing w:after="0"/>
              <w:rPr>
                <w:sz w:val="19"/>
                <w:szCs w:val="19"/>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October 27, 2009</w:t>
            </w:r>
          </w:p>
        </w:tc>
        <w:tc>
          <w:tcPr>
            <w:tcW w:w="19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42"/>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C</w:t>
            </w:r>
            <w:r>
              <w:rPr>
                <w:rFonts w:ascii="Arial" w:cs="Arial" w:eastAsia="Arial" w:hAnsi="Arial"/>
                <w:sz w:val="14"/>
                <w:szCs w:val="14"/>
                <w:color w:val="auto"/>
                <w:w w:val="99"/>
              </w:rPr>
              <w:t>LISHEM</w:t>
            </w:r>
          </w:p>
        </w:tc>
      </w:tr>
      <w:tr>
        <w:trPr>
          <w:trHeight w:val="212"/>
        </w:trPr>
        <w:tc>
          <w:tcPr>
            <w:tcW w:w="606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18"/>
                <w:szCs w:val="18"/>
                <w:color w:val="auto"/>
              </w:rPr>
            </w:pPr>
          </w:p>
        </w:tc>
        <w:tc>
          <w:tcPr>
            <w:tcW w:w="340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James A. Clishem</w:t>
            </w:r>
          </w:p>
        </w:tc>
      </w:tr>
      <w:tr>
        <w:trPr>
          <w:trHeight w:val="149"/>
        </w:trPr>
        <w:tc>
          <w:tcPr>
            <w:tcW w:w="6060" w:type="dxa"/>
            <w:vAlign w:val="bottom"/>
          </w:tcPr>
          <w:p>
            <w:pPr>
              <w:spacing w:after="0"/>
              <w:rPr>
                <w:sz w:val="12"/>
                <w:szCs w:val="12"/>
                <w:color w:val="auto"/>
              </w:rPr>
            </w:pPr>
          </w:p>
        </w:tc>
        <w:tc>
          <w:tcPr>
            <w:tcW w:w="5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President and Chief Executive Officer</w:t>
            </w:r>
          </w:p>
        </w:tc>
      </w:tr>
      <w:tr>
        <w:trPr>
          <w:trHeight w:val="174"/>
        </w:trPr>
        <w:tc>
          <w:tcPr>
            <w:tcW w:w="6060" w:type="dxa"/>
            <w:vAlign w:val="bottom"/>
          </w:tcPr>
          <w:p>
            <w:pPr>
              <w:spacing w:after="0"/>
              <w:rPr>
                <w:sz w:val="15"/>
                <w:szCs w:val="15"/>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r>
        <w:trPr>
          <w:trHeight w:val="431"/>
        </w:trPr>
        <w:tc>
          <w:tcPr>
            <w:tcW w:w="6060" w:type="dxa"/>
            <w:vAlign w:val="bottom"/>
          </w:tcPr>
          <w:p>
            <w:pPr>
              <w:spacing w:after="0"/>
              <w:rPr>
                <w:sz w:val="20"/>
                <w:szCs w:val="20"/>
                <w:color w:val="auto"/>
              </w:rPr>
            </w:pPr>
            <w:r>
              <w:rPr>
                <w:rFonts w:ascii="Arial" w:cs="Arial" w:eastAsia="Arial" w:hAnsi="Arial"/>
                <w:sz w:val="18"/>
                <w:szCs w:val="18"/>
                <w:color w:val="auto"/>
              </w:rPr>
              <w:t>October 27, 2009</w:t>
            </w:r>
          </w:p>
        </w:tc>
        <w:tc>
          <w:tcPr>
            <w:tcW w:w="196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4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K. P</w:t>
            </w:r>
            <w:r>
              <w:rPr>
                <w:rFonts w:ascii="Arial" w:cs="Arial" w:eastAsia="Arial" w:hAnsi="Arial"/>
                <w:sz w:val="14"/>
                <w:szCs w:val="14"/>
                <w:color w:val="auto"/>
                <w:w w:val="97"/>
              </w:rPr>
              <w:t>ENVER</w:t>
            </w:r>
          </w:p>
        </w:tc>
      </w:tr>
      <w:tr>
        <w:trPr>
          <w:trHeight w:val="226"/>
        </w:trPr>
        <w:tc>
          <w:tcPr>
            <w:tcW w:w="606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19"/>
                <w:szCs w:val="19"/>
                <w:color w:val="auto"/>
              </w:rPr>
            </w:pPr>
          </w:p>
        </w:tc>
        <w:tc>
          <w:tcPr>
            <w:tcW w:w="340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John K. Penver</w:t>
            </w:r>
          </w:p>
        </w:tc>
      </w:tr>
    </w:tbl>
    <w:p>
      <w:pPr>
        <w:jc w:val="center"/>
        <w:ind w:left="6060"/>
        <w:spacing w:after="0" w:line="221" w:lineRule="auto"/>
        <w:rPr>
          <w:sz w:val="20"/>
          <w:szCs w:val="20"/>
          <w:color w:val="auto"/>
        </w:rPr>
      </w:pPr>
      <w:r>
        <w:rPr>
          <w:rFonts w:ascii="Arial" w:cs="Arial" w:eastAsia="Arial" w:hAnsi="Arial"/>
          <w:sz w:val="14"/>
          <w:szCs w:val="14"/>
          <w:b w:val="1"/>
          <w:bCs w:val="1"/>
          <w:color w:val="auto"/>
        </w:rPr>
        <w:t>Vice President of Finance, Chief Financial Officer and Secretary</w:t>
      </w:r>
    </w:p>
    <w:p>
      <w:pPr>
        <w:jc w:val="center"/>
        <w:ind w:left="60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2009,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27, 2009</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2009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Secretary</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27,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6"/>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2019-12-10T16:24:02Z</dcterms:created>
  <dcterms:modified xsi:type="dcterms:W3CDTF">2019-12-10T16:24:02Z</dcterms:modified>
</cp:coreProperties>
</file>