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-29210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P10,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69376K106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664" w:hanging="302"/>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-130175</wp:posOffset>
            </wp:positionV>
            <wp:extent cx="6858000" cy="5220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3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210 Capital, LLC</w:t>
      </w:r>
    </w:p>
    <w:p>
      <w:pPr>
        <w:spacing w:after="0" w:line="36" w:lineRule="exact"/>
        <w:rPr>
          <w:sz w:val="20"/>
          <w:szCs w:val="20"/>
          <w:color w:val="auto"/>
        </w:rPr>
      </w:pPr>
    </w:p>
    <w:p>
      <w:pPr>
        <w:ind w:left="664" w:hanging="302"/>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4"/>
        <w:spacing w:after="0" w:line="207" w:lineRule="exact"/>
        <w:tabs>
          <w:tab w:leader="none" w:pos="16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302"/>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4" w:hanging="302"/>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64"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89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5"/>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400" w:type="dxa"/>
            <w:vAlign w:val="bottom"/>
          </w:tcPr>
          <w:p>
            <w:pPr>
              <w:jc w:val="right"/>
              <w:ind w:right="30"/>
              <w:spacing w:after="0" w:line="156" w:lineRule="exact"/>
              <w:rPr>
                <w:sz w:val="20"/>
                <w:szCs w:val="20"/>
                <w:color w:val="auto"/>
              </w:rPr>
            </w:pPr>
            <w:r>
              <w:rPr>
                <w:rFonts w:ascii="Arial" w:cs="Arial" w:eastAsia="Arial" w:hAnsi="Arial"/>
                <w:sz w:val="18"/>
                <w:szCs w:val="18"/>
                <w:color w:val="auto"/>
              </w:rPr>
              <w:t>6</w:t>
            </w:r>
          </w:p>
        </w:tc>
        <w:tc>
          <w:tcPr>
            <w:tcW w:w="898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5"/>
              </w:rPr>
              <w:t>EACH</w:t>
            </w:r>
          </w:p>
        </w:tc>
        <w:tc>
          <w:tcPr>
            <w:tcW w:w="40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xml:space="preserve">131,673,970 shares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02"/>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00" w:type="dxa"/>
            <w:vAlign w:val="bottom"/>
            <w:vMerge w:val="continue"/>
          </w:tcPr>
          <w:p>
            <w:pPr>
              <w:spacing w:after="0"/>
              <w:rPr>
                <w:sz w:val="11"/>
                <w:szCs w:val="11"/>
                <w:color w:val="auto"/>
              </w:rPr>
            </w:pP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0 Shares</w:t>
      </w:r>
    </w:p>
    <w:p>
      <w:pPr>
        <w:spacing w:after="0" w:line="36" w:lineRule="exact"/>
        <w:rPr>
          <w:sz w:val="20"/>
          <w:szCs w:val="20"/>
          <w:color w:val="auto"/>
        </w:rPr>
      </w:pPr>
    </w:p>
    <w:p>
      <w:pPr>
        <w:ind w:left="2064" w:hanging="320"/>
        <w:spacing w:after="0"/>
        <w:tabs>
          <w:tab w:leader="none" w:pos="2064"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52"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13,167,397 shares</w:t>
      </w:r>
    </w:p>
    <w:p>
      <w:pPr>
        <w:spacing w:after="0" w:line="36" w:lineRule="exact"/>
        <w:rPr>
          <w:sz w:val="20"/>
          <w:szCs w:val="20"/>
          <w:color w:val="auto"/>
        </w:rPr>
      </w:pPr>
    </w:p>
    <w:p>
      <w:pPr>
        <w:ind w:left="744" w:hanging="382"/>
        <w:spacing w:after="0"/>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44"/>
        <w:spacing w:after="0"/>
        <w:rPr>
          <w:sz w:val="20"/>
          <w:szCs w:val="20"/>
          <w:color w:val="auto"/>
        </w:rPr>
      </w:pPr>
      <w:r>
        <w:rPr>
          <w:rFonts w:ascii="Arial" w:cs="Arial" w:eastAsia="Arial" w:hAnsi="Arial"/>
          <w:sz w:val="18"/>
          <w:szCs w:val="18"/>
          <w:color w:val="auto"/>
        </w:rPr>
        <w:t>13,167,397</w:t>
      </w:r>
    </w:p>
    <w:p>
      <w:pPr>
        <w:spacing w:after="0" w:line="36" w:lineRule="exact"/>
        <w:rPr>
          <w:sz w:val="20"/>
          <w:szCs w:val="20"/>
          <w:color w:val="auto"/>
        </w:rPr>
      </w:pPr>
    </w:p>
    <w:p>
      <w:pPr>
        <w:ind w:left="744" w:hanging="382"/>
        <w:spacing w:after="0"/>
        <w:tabs>
          <w:tab w:leader="none" w:pos="744"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382"/>
        <w:spacing w:after="0"/>
        <w:tabs>
          <w:tab w:leader="none" w:pos="744"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 xml:space="preserve">27.64% </w:t>
      </w:r>
      <w:r>
        <w:rPr>
          <w:rFonts w:ascii="Arial" w:cs="Arial" w:eastAsia="Arial" w:hAnsi="Arial"/>
          <w:sz w:val="15"/>
          <w:szCs w:val="15"/>
          <w:color w:val="auto"/>
        </w:rPr>
        <w:t>(2)</w:t>
      </w:r>
    </w:p>
    <w:p>
      <w:pPr>
        <w:spacing w:after="0" w:line="36" w:lineRule="exact"/>
        <w:rPr>
          <w:rFonts w:ascii="Arial" w:cs="Arial" w:eastAsia="Arial" w:hAnsi="Arial"/>
          <w:sz w:val="18"/>
          <w:szCs w:val="18"/>
          <w:color w:val="auto"/>
        </w:rPr>
      </w:pPr>
    </w:p>
    <w:p>
      <w:pPr>
        <w:ind w:left="744" w:right="5900" w:hanging="382"/>
        <w:spacing w:after="0" w:line="547" w:lineRule="auto"/>
        <w:tabs>
          <w:tab w:leader="none" w:pos="744"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1" w:lineRule="exact"/>
        <w:rPr>
          <w:rFonts w:ascii="Arial" w:cs="Arial" w:eastAsia="Arial" w:hAnsi="Arial"/>
          <w:sz w:val="18"/>
          <w:szCs w:val="18"/>
          <w:color w:val="auto"/>
        </w:rPr>
      </w:pPr>
    </w:p>
    <w:p>
      <w:pPr>
        <w:ind w:left="424" w:hanging="424"/>
        <w:spacing w:after="0" w:line="284" w:lineRule="auto"/>
        <w:tabs>
          <w:tab w:leader="none" w:pos="424" w:val="left"/>
        </w:tabs>
        <w:numPr>
          <w:ilvl w:val="0"/>
          <w:numId w:val="10"/>
        </w:numPr>
        <w:rPr>
          <w:rFonts w:ascii="Arial" w:cs="Arial" w:eastAsia="Arial" w:hAnsi="Arial"/>
          <w:sz w:val="13"/>
          <w:szCs w:val="13"/>
          <w:color w:val="auto"/>
        </w:rPr>
      </w:pPr>
      <w:r>
        <w:rPr>
          <w:rFonts w:ascii="Arial" w:cs="Arial" w:eastAsia="Arial" w:hAnsi="Arial"/>
          <w:sz w:val="16"/>
          <w:szCs w:val="16"/>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4" w:lineRule="exact"/>
        <w:rPr>
          <w:rFonts w:ascii="Arial" w:cs="Arial" w:eastAsia="Arial" w:hAnsi="Arial"/>
          <w:sz w:val="13"/>
          <w:szCs w:val="13"/>
          <w:color w:val="auto"/>
        </w:rPr>
      </w:pPr>
    </w:p>
    <w:p>
      <w:pPr>
        <w:ind w:left="424" w:hanging="424"/>
        <w:spacing w:after="0"/>
        <w:tabs>
          <w:tab w:leader="none" w:pos="424" w:val="left"/>
        </w:tabs>
        <w:numPr>
          <w:ilvl w:val="0"/>
          <w:numId w:val="10"/>
        </w:numPr>
        <w:rPr>
          <w:rFonts w:ascii="Arial" w:cs="Arial" w:eastAsia="Arial" w:hAnsi="Arial"/>
          <w:sz w:val="15"/>
          <w:szCs w:val="15"/>
          <w:color w:val="auto"/>
        </w:rPr>
      </w:pPr>
      <w:r>
        <w:rPr>
          <w:rFonts w:ascii="Arial" w:cs="Arial" w:eastAsia="Arial" w:hAnsi="Arial"/>
          <w:sz w:val="18"/>
          <w:szCs w:val="18"/>
          <w:color w:val="auto"/>
        </w:rPr>
        <w:t>Represents beneficial ownership of Class A shares of common stock.</w:t>
      </w:r>
    </w:p>
    <w:p>
      <w:pPr>
        <w:sectPr>
          <w:pgSz w:w="11900" w:h="16838" w:orient="portrait"/>
          <w:cols w:equalWidth="0" w:num="1">
            <w:col w:w="10984"/>
          </w:cols>
          <w:pgMar w:left="436" w:top="287" w:right="479" w:bottom="1440" w:gutter="0" w:footer="0" w:header="0"/>
        </w:sectPr>
      </w:pPr>
    </w:p>
    <w:bookmarkStart w:id="2" w:name="page3"/>
    <w:bookmarkEnd w:id="2"/>
    <w:p>
      <w:pPr>
        <w:ind w:left="664" w:hanging="302"/>
        <w:spacing w:after="0"/>
        <w:tabs>
          <w:tab w:leader="none" w:pos="664"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-130175</wp:posOffset>
            </wp:positionV>
            <wp:extent cx="6858000" cy="522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3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CCW/LAW Holdings, LLC</w:t>
      </w:r>
    </w:p>
    <w:p>
      <w:pPr>
        <w:spacing w:after="0" w:line="36" w:lineRule="exact"/>
        <w:rPr>
          <w:sz w:val="20"/>
          <w:szCs w:val="20"/>
          <w:color w:val="auto"/>
        </w:rPr>
      </w:pPr>
    </w:p>
    <w:p>
      <w:pPr>
        <w:ind w:left="664" w:hanging="302"/>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4"/>
        <w:spacing w:after="0" w:line="207" w:lineRule="exact"/>
        <w:tabs>
          <w:tab w:leader="none" w:pos="16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302"/>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4" w:hanging="302"/>
        <w:spacing w:after="0"/>
        <w:tabs>
          <w:tab w:leader="none" w:pos="6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Texas</w:t>
      </w:r>
    </w:p>
    <w:p>
      <w:pPr>
        <w:spacing w:after="0" w:line="36" w:lineRule="exact"/>
        <w:rPr>
          <w:sz w:val="20"/>
          <w:szCs w:val="20"/>
          <w:color w:val="auto"/>
        </w:rPr>
      </w:pPr>
    </w:p>
    <w:tbl>
      <w:tblPr>
        <w:tblLayout w:type="fixed"/>
        <w:tblInd w:w="264"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89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5"/>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400" w:type="dxa"/>
            <w:vAlign w:val="bottom"/>
          </w:tcPr>
          <w:p>
            <w:pPr>
              <w:jc w:val="right"/>
              <w:ind w:right="30"/>
              <w:spacing w:after="0" w:line="156" w:lineRule="exact"/>
              <w:rPr>
                <w:sz w:val="20"/>
                <w:szCs w:val="20"/>
                <w:color w:val="auto"/>
              </w:rPr>
            </w:pPr>
            <w:r>
              <w:rPr>
                <w:rFonts w:ascii="Arial" w:cs="Arial" w:eastAsia="Arial" w:hAnsi="Arial"/>
                <w:sz w:val="18"/>
                <w:szCs w:val="18"/>
                <w:color w:val="auto"/>
              </w:rPr>
              <w:t>6</w:t>
            </w:r>
          </w:p>
        </w:tc>
        <w:tc>
          <w:tcPr>
            <w:tcW w:w="898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5"/>
              </w:rPr>
              <w:t>EACH</w:t>
            </w:r>
          </w:p>
        </w:tc>
        <w:tc>
          <w:tcPr>
            <w:tcW w:w="40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xml:space="preserve">131,673,970 shares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02"/>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00" w:type="dxa"/>
            <w:vAlign w:val="bottom"/>
            <w:vMerge w:val="continue"/>
          </w:tcPr>
          <w:p>
            <w:pPr>
              <w:spacing w:after="0"/>
              <w:rPr>
                <w:sz w:val="11"/>
                <w:szCs w:val="11"/>
                <w:color w:val="auto"/>
              </w:rPr>
            </w:pP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0 Shares</w:t>
      </w:r>
    </w:p>
    <w:p>
      <w:pPr>
        <w:spacing w:after="0" w:line="36" w:lineRule="exact"/>
        <w:rPr>
          <w:sz w:val="20"/>
          <w:szCs w:val="20"/>
          <w:color w:val="auto"/>
        </w:rPr>
      </w:pPr>
    </w:p>
    <w:p>
      <w:pPr>
        <w:ind w:left="2064" w:hanging="320"/>
        <w:spacing w:after="0"/>
        <w:tabs>
          <w:tab w:leader="none" w:pos="20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52"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13,167,397 shares</w:t>
      </w:r>
    </w:p>
    <w:p>
      <w:pPr>
        <w:spacing w:after="0" w:line="36" w:lineRule="exact"/>
        <w:rPr>
          <w:sz w:val="20"/>
          <w:szCs w:val="20"/>
          <w:color w:val="auto"/>
        </w:rPr>
      </w:pPr>
    </w:p>
    <w:p>
      <w:pPr>
        <w:ind w:left="744" w:hanging="382"/>
        <w:spacing w:after="0"/>
        <w:tabs>
          <w:tab w:leader="none" w:pos="7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44"/>
        <w:spacing w:after="0"/>
        <w:rPr>
          <w:sz w:val="20"/>
          <w:szCs w:val="20"/>
          <w:color w:val="auto"/>
        </w:rPr>
      </w:pPr>
      <w:r>
        <w:rPr>
          <w:rFonts w:ascii="Arial" w:cs="Arial" w:eastAsia="Arial" w:hAnsi="Arial"/>
          <w:sz w:val="18"/>
          <w:szCs w:val="18"/>
          <w:color w:val="auto"/>
        </w:rPr>
        <w:t>13,167,397</w:t>
      </w:r>
    </w:p>
    <w:p>
      <w:pPr>
        <w:spacing w:after="0" w:line="36" w:lineRule="exact"/>
        <w:rPr>
          <w:sz w:val="20"/>
          <w:szCs w:val="20"/>
          <w:color w:val="auto"/>
        </w:rPr>
      </w:pPr>
    </w:p>
    <w:p>
      <w:pPr>
        <w:ind w:left="744" w:hanging="382"/>
        <w:spacing w:after="0"/>
        <w:tabs>
          <w:tab w:leader="none" w:pos="7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382"/>
        <w:spacing w:after="0"/>
        <w:tabs>
          <w:tab w:leader="none" w:pos="7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 xml:space="preserve">27.64% </w:t>
      </w:r>
      <w:r>
        <w:rPr>
          <w:rFonts w:ascii="Arial" w:cs="Arial" w:eastAsia="Arial" w:hAnsi="Arial"/>
          <w:sz w:val="15"/>
          <w:szCs w:val="15"/>
          <w:color w:val="auto"/>
        </w:rPr>
        <w:t>(2)</w:t>
      </w:r>
    </w:p>
    <w:p>
      <w:pPr>
        <w:spacing w:after="0" w:line="36" w:lineRule="exact"/>
        <w:rPr>
          <w:rFonts w:ascii="Arial" w:cs="Arial" w:eastAsia="Arial" w:hAnsi="Arial"/>
          <w:sz w:val="18"/>
          <w:szCs w:val="18"/>
          <w:color w:val="auto"/>
        </w:rPr>
      </w:pPr>
    </w:p>
    <w:p>
      <w:pPr>
        <w:ind w:left="744" w:right="5840" w:hanging="382"/>
        <w:spacing w:after="0" w:line="547" w:lineRule="auto"/>
        <w:tabs>
          <w:tab w:leader="none" w:pos="7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OO; HC</w:t>
      </w:r>
    </w:p>
    <w:p>
      <w:pPr>
        <w:spacing w:after="0" w:line="1" w:lineRule="exact"/>
        <w:rPr>
          <w:rFonts w:ascii="Arial" w:cs="Arial" w:eastAsia="Arial" w:hAnsi="Arial"/>
          <w:sz w:val="18"/>
          <w:szCs w:val="18"/>
          <w:color w:val="auto"/>
        </w:rPr>
      </w:pPr>
    </w:p>
    <w:p>
      <w:pPr>
        <w:ind w:left="424" w:right="40" w:hanging="424"/>
        <w:spacing w:after="0" w:line="258" w:lineRule="auto"/>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This figure gives effect to the voting power of the Class B common stock, which entitles its holder to ten votes for each share held, until a Sunset becomes effective.</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Represents beneficial ownership of Class A shares of common stock.</w:t>
      </w:r>
    </w:p>
    <w:p>
      <w:pPr>
        <w:sectPr>
          <w:pgSz w:w="11900" w:h="16838" w:orient="portrait"/>
          <w:cols w:equalWidth="0" w:num="1">
            <w:col w:w="10924"/>
          </w:cols>
          <w:pgMar w:left="436" w:top="287" w:right="539" w:bottom="1440" w:gutter="0" w:footer="0" w:header="0"/>
        </w:sectPr>
      </w:pPr>
    </w:p>
    <w:bookmarkStart w:id="3" w:name="page4"/>
    <w:bookmarkEnd w:id="3"/>
    <w:p>
      <w:pPr>
        <w:ind w:left="664" w:hanging="302"/>
        <w:spacing w:after="0"/>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-130175</wp:posOffset>
            </wp:positionV>
            <wp:extent cx="6858000" cy="522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3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Covenant RHA Partners, L.P.</w:t>
      </w:r>
    </w:p>
    <w:p>
      <w:pPr>
        <w:spacing w:after="0" w:line="36" w:lineRule="exact"/>
        <w:rPr>
          <w:sz w:val="20"/>
          <w:szCs w:val="20"/>
          <w:color w:val="auto"/>
        </w:rPr>
      </w:pPr>
    </w:p>
    <w:p>
      <w:pPr>
        <w:ind w:left="664" w:hanging="302"/>
        <w:spacing w:after="0"/>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4"/>
        <w:spacing w:after="0" w:line="207" w:lineRule="exact"/>
        <w:tabs>
          <w:tab w:leader="none" w:pos="16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302"/>
        <w:spacing w:after="0"/>
        <w:tabs>
          <w:tab w:leader="none" w:pos="6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4" w:hanging="302"/>
        <w:spacing w:after="0"/>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Texas</w:t>
      </w:r>
    </w:p>
    <w:p>
      <w:pPr>
        <w:spacing w:after="0" w:line="36" w:lineRule="exact"/>
        <w:rPr>
          <w:sz w:val="20"/>
          <w:szCs w:val="20"/>
          <w:color w:val="auto"/>
        </w:rPr>
      </w:pPr>
    </w:p>
    <w:tbl>
      <w:tblPr>
        <w:tblLayout w:type="fixed"/>
        <w:tblInd w:w="264"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89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5"/>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400" w:type="dxa"/>
            <w:vAlign w:val="bottom"/>
          </w:tcPr>
          <w:p>
            <w:pPr>
              <w:jc w:val="right"/>
              <w:ind w:right="30"/>
              <w:spacing w:after="0" w:line="156" w:lineRule="exact"/>
              <w:rPr>
                <w:sz w:val="20"/>
                <w:szCs w:val="20"/>
                <w:color w:val="auto"/>
              </w:rPr>
            </w:pPr>
            <w:r>
              <w:rPr>
                <w:rFonts w:ascii="Arial" w:cs="Arial" w:eastAsia="Arial" w:hAnsi="Arial"/>
                <w:sz w:val="18"/>
                <w:szCs w:val="18"/>
                <w:color w:val="auto"/>
              </w:rPr>
              <w:t>6</w:t>
            </w:r>
          </w:p>
        </w:tc>
        <w:tc>
          <w:tcPr>
            <w:tcW w:w="898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5"/>
              </w:rPr>
              <w:t>EACH</w:t>
            </w:r>
          </w:p>
        </w:tc>
        <w:tc>
          <w:tcPr>
            <w:tcW w:w="40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xml:space="preserve">131,673,970 shares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02"/>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00" w:type="dxa"/>
            <w:vAlign w:val="bottom"/>
            <w:vMerge w:val="continue"/>
          </w:tcPr>
          <w:p>
            <w:pPr>
              <w:spacing w:after="0"/>
              <w:rPr>
                <w:sz w:val="11"/>
                <w:szCs w:val="11"/>
                <w:color w:val="auto"/>
              </w:rPr>
            </w:pP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0 Shares</w:t>
      </w:r>
    </w:p>
    <w:p>
      <w:pPr>
        <w:spacing w:after="0" w:line="36" w:lineRule="exact"/>
        <w:rPr>
          <w:sz w:val="20"/>
          <w:szCs w:val="20"/>
          <w:color w:val="auto"/>
        </w:rPr>
      </w:pPr>
    </w:p>
    <w:p>
      <w:pPr>
        <w:ind w:left="2064" w:hanging="320"/>
        <w:spacing w:after="0"/>
        <w:tabs>
          <w:tab w:leader="none" w:pos="20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52"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13,167,397 shares</w:t>
      </w:r>
    </w:p>
    <w:p>
      <w:pPr>
        <w:spacing w:after="0" w:line="36" w:lineRule="exact"/>
        <w:rPr>
          <w:sz w:val="20"/>
          <w:szCs w:val="20"/>
          <w:color w:val="auto"/>
        </w:rPr>
      </w:pPr>
    </w:p>
    <w:p>
      <w:pPr>
        <w:ind w:left="744" w:hanging="382"/>
        <w:spacing w:after="0"/>
        <w:tabs>
          <w:tab w:leader="none" w:pos="7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44"/>
        <w:spacing w:after="0"/>
        <w:rPr>
          <w:sz w:val="20"/>
          <w:szCs w:val="20"/>
          <w:color w:val="auto"/>
        </w:rPr>
      </w:pPr>
      <w:r>
        <w:rPr>
          <w:rFonts w:ascii="Arial" w:cs="Arial" w:eastAsia="Arial" w:hAnsi="Arial"/>
          <w:sz w:val="18"/>
          <w:szCs w:val="18"/>
          <w:color w:val="auto"/>
        </w:rPr>
        <w:t>13,167,397</w:t>
      </w:r>
    </w:p>
    <w:p>
      <w:pPr>
        <w:spacing w:after="0" w:line="36" w:lineRule="exact"/>
        <w:rPr>
          <w:sz w:val="20"/>
          <w:szCs w:val="20"/>
          <w:color w:val="auto"/>
        </w:rPr>
      </w:pPr>
    </w:p>
    <w:p>
      <w:pPr>
        <w:ind w:left="744" w:hanging="382"/>
        <w:spacing w:after="0"/>
        <w:tabs>
          <w:tab w:leader="none" w:pos="7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382"/>
        <w:spacing w:after="0"/>
        <w:tabs>
          <w:tab w:leader="none" w:pos="7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 xml:space="preserve">27.64% </w:t>
      </w:r>
      <w:r>
        <w:rPr>
          <w:rFonts w:ascii="Arial" w:cs="Arial" w:eastAsia="Arial" w:hAnsi="Arial"/>
          <w:sz w:val="15"/>
          <w:szCs w:val="15"/>
          <w:color w:val="auto"/>
        </w:rPr>
        <w:t>(2)</w:t>
      </w:r>
    </w:p>
    <w:p>
      <w:pPr>
        <w:spacing w:after="0" w:line="36" w:lineRule="exact"/>
        <w:rPr>
          <w:rFonts w:ascii="Arial" w:cs="Arial" w:eastAsia="Arial" w:hAnsi="Arial"/>
          <w:sz w:val="18"/>
          <w:szCs w:val="18"/>
          <w:color w:val="auto"/>
        </w:rPr>
      </w:pPr>
    </w:p>
    <w:p>
      <w:pPr>
        <w:ind w:left="744" w:right="5840" w:hanging="382"/>
        <w:spacing w:after="0" w:line="547" w:lineRule="auto"/>
        <w:tabs>
          <w:tab w:leader="none" w:pos="7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 OO; HC</w:t>
      </w:r>
    </w:p>
    <w:p>
      <w:pPr>
        <w:spacing w:after="0" w:line="1" w:lineRule="exact"/>
        <w:rPr>
          <w:rFonts w:ascii="Arial" w:cs="Arial" w:eastAsia="Arial" w:hAnsi="Arial"/>
          <w:sz w:val="18"/>
          <w:szCs w:val="18"/>
          <w:color w:val="auto"/>
        </w:rPr>
      </w:pPr>
    </w:p>
    <w:p>
      <w:pPr>
        <w:ind w:left="424" w:right="40" w:hanging="424"/>
        <w:spacing w:after="0" w:line="258" w:lineRule="auto"/>
        <w:tabs>
          <w:tab w:leader="none" w:pos="424" w:val="left"/>
        </w:tabs>
        <w:numPr>
          <w:ilvl w:val="0"/>
          <w:numId w:val="26"/>
        </w:numPr>
        <w:rPr>
          <w:rFonts w:ascii="Arial" w:cs="Arial" w:eastAsia="Arial" w:hAnsi="Arial"/>
          <w:sz w:val="15"/>
          <w:szCs w:val="15"/>
          <w:color w:val="auto"/>
        </w:rPr>
      </w:pPr>
      <w:r>
        <w:rPr>
          <w:rFonts w:ascii="Arial" w:cs="Arial" w:eastAsia="Arial" w:hAnsi="Arial"/>
          <w:sz w:val="18"/>
          <w:szCs w:val="18"/>
          <w:color w:val="auto"/>
        </w:rPr>
        <w:t>This figure gives effect to the voting power of the Class B common stock, which entitles its holder to ten votes for each share held, until a Sunset becomes effective.</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26"/>
        </w:numPr>
        <w:rPr>
          <w:rFonts w:ascii="Arial" w:cs="Arial" w:eastAsia="Arial" w:hAnsi="Arial"/>
          <w:sz w:val="15"/>
          <w:szCs w:val="15"/>
          <w:color w:val="auto"/>
        </w:rPr>
      </w:pPr>
      <w:r>
        <w:rPr>
          <w:rFonts w:ascii="Arial" w:cs="Arial" w:eastAsia="Arial" w:hAnsi="Arial"/>
          <w:sz w:val="18"/>
          <w:szCs w:val="18"/>
          <w:color w:val="auto"/>
        </w:rPr>
        <w:t>Represents beneficial ownership of Class A shares of common stock.</w:t>
      </w:r>
    </w:p>
    <w:p>
      <w:pPr>
        <w:sectPr>
          <w:pgSz w:w="11900" w:h="16838" w:orient="portrait"/>
          <w:cols w:equalWidth="0" w:num="1">
            <w:col w:w="10924"/>
          </w:cols>
          <w:pgMar w:left="436" w:top="287" w:right="539" w:bottom="1440" w:gutter="0" w:footer="0" w:header="0"/>
        </w:sectPr>
      </w:pPr>
    </w:p>
    <w:bookmarkStart w:id="4" w:name="page5"/>
    <w:bookmarkEnd w:id="4"/>
    <w:p>
      <w:pPr>
        <w:ind w:left="664" w:hanging="302"/>
        <w:spacing w:after="0"/>
        <w:tabs>
          <w:tab w:leader="none" w:pos="664"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-130175</wp:posOffset>
            </wp:positionV>
            <wp:extent cx="6858000" cy="5220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3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RHA Investments, Inc.</w:t>
      </w:r>
    </w:p>
    <w:p>
      <w:pPr>
        <w:spacing w:after="0" w:line="36" w:lineRule="exact"/>
        <w:rPr>
          <w:sz w:val="20"/>
          <w:szCs w:val="20"/>
          <w:color w:val="auto"/>
        </w:rPr>
      </w:pPr>
    </w:p>
    <w:p>
      <w:pPr>
        <w:ind w:left="664" w:hanging="302"/>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4"/>
        <w:spacing w:after="0" w:line="207" w:lineRule="exact"/>
        <w:tabs>
          <w:tab w:leader="none" w:pos="16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302"/>
        <w:spacing w:after="0"/>
        <w:tabs>
          <w:tab w:leader="none" w:pos="6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4" w:hanging="302"/>
        <w:spacing w:after="0"/>
        <w:tabs>
          <w:tab w:leader="none" w:pos="6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Texas</w:t>
      </w:r>
    </w:p>
    <w:p>
      <w:pPr>
        <w:spacing w:after="0" w:line="36" w:lineRule="exact"/>
        <w:rPr>
          <w:sz w:val="20"/>
          <w:szCs w:val="20"/>
          <w:color w:val="auto"/>
        </w:rPr>
      </w:pPr>
    </w:p>
    <w:tbl>
      <w:tblPr>
        <w:tblLayout w:type="fixed"/>
        <w:tblInd w:w="264"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89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5"/>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400" w:type="dxa"/>
            <w:vAlign w:val="bottom"/>
          </w:tcPr>
          <w:p>
            <w:pPr>
              <w:jc w:val="right"/>
              <w:ind w:right="30"/>
              <w:spacing w:after="0" w:line="156" w:lineRule="exact"/>
              <w:rPr>
                <w:sz w:val="20"/>
                <w:szCs w:val="20"/>
                <w:color w:val="auto"/>
              </w:rPr>
            </w:pPr>
            <w:r>
              <w:rPr>
                <w:rFonts w:ascii="Arial" w:cs="Arial" w:eastAsia="Arial" w:hAnsi="Arial"/>
                <w:sz w:val="18"/>
                <w:szCs w:val="18"/>
                <w:color w:val="auto"/>
              </w:rPr>
              <w:t>6</w:t>
            </w:r>
          </w:p>
        </w:tc>
        <w:tc>
          <w:tcPr>
            <w:tcW w:w="898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5"/>
              </w:rPr>
              <w:t>EACH</w:t>
            </w:r>
          </w:p>
        </w:tc>
        <w:tc>
          <w:tcPr>
            <w:tcW w:w="40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xml:space="preserve">131,673,970 shares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02"/>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00" w:type="dxa"/>
            <w:vAlign w:val="bottom"/>
            <w:vMerge w:val="continue"/>
          </w:tcPr>
          <w:p>
            <w:pPr>
              <w:spacing w:after="0"/>
              <w:rPr>
                <w:sz w:val="11"/>
                <w:szCs w:val="11"/>
                <w:color w:val="auto"/>
              </w:rPr>
            </w:pP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0 Shares</w:t>
      </w:r>
    </w:p>
    <w:p>
      <w:pPr>
        <w:spacing w:after="0" w:line="36" w:lineRule="exact"/>
        <w:rPr>
          <w:sz w:val="20"/>
          <w:szCs w:val="20"/>
          <w:color w:val="auto"/>
        </w:rPr>
      </w:pPr>
    </w:p>
    <w:p>
      <w:pPr>
        <w:ind w:left="2064" w:hanging="320"/>
        <w:spacing w:after="0"/>
        <w:tabs>
          <w:tab w:leader="none" w:pos="20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52"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13,167,397 shares</w:t>
      </w:r>
    </w:p>
    <w:p>
      <w:pPr>
        <w:spacing w:after="0" w:line="36" w:lineRule="exact"/>
        <w:rPr>
          <w:sz w:val="20"/>
          <w:szCs w:val="20"/>
          <w:color w:val="auto"/>
        </w:rPr>
      </w:pPr>
    </w:p>
    <w:p>
      <w:pPr>
        <w:ind w:left="744" w:hanging="382"/>
        <w:spacing w:after="0"/>
        <w:tabs>
          <w:tab w:leader="none" w:pos="7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44"/>
        <w:spacing w:after="0"/>
        <w:rPr>
          <w:sz w:val="20"/>
          <w:szCs w:val="20"/>
          <w:color w:val="auto"/>
        </w:rPr>
      </w:pPr>
      <w:r>
        <w:rPr>
          <w:rFonts w:ascii="Arial" w:cs="Arial" w:eastAsia="Arial" w:hAnsi="Arial"/>
          <w:sz w:val="18"/>
          <w:szCs w:val="18"/>
          <w:color w:val="auto"/>
        </w:rPr>
        <w:t>13,167,397</w:t>
      </w:r>
    </w:p>
    <w:p>
      <w:pPr>
        <w:spacing w:after="0" w:line="36" w:lineRule="exact"/>
        <w:rPr>
          <w:sz w:val="20"/>
          <w:szCs w:val="20"/>
          <w:color w:val="auto"/>
        </w:rPr>
      </w:pPr>
    </w:p>
    <w:p>
      <w:pPr>
        <w:ind w:left="744" w:hanging="382"/>
        <w:spacing w:after="0"/>
        <w:tabs>
          <w:tab w:leader="none" w:pos="7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382"/>
        <w:spacing w:after="0"/>
        <w:tabs>
          <w:tab w:leader="none" w:pos="7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 xml:space="preserve">27.64% </w:t>
      </w:r>
      <w:r>
        <w:rPr>
          <w:rFonts w:ascii="Arial" w:cs="Arial" w:eastAsia="Arial" w:hAnsi="Arial"/>
          <w:sz w:val="15"/>
          <w:szCs w:val="15"/>
          <w:color w:val="auto"/>
        </w:rPr>
        <w:t>(2)</w:t>
      </w:r>
    </w:p>
    <w:p>
      <w:pPr>
        <w:spacing w:after="0" w:line="36" w:lineRule="exact"/>
        <w:rPr>
          <w:rFonts w:ascii="Arial" w:cs="Arial" w:eastAsia="Arial" w:hAnsi="Arial"/>
          <w:sz w:val="18"/>
          <w:szCs w:val="18"/>
          <w:color w:val="auto"/>
        </w:rPr>
      </w:pPr>
    </w:p>
    <w:p>
      <w:pPr>
        <w:ind w:left="744" w:right="5840" w:hanging="382"/>
        <w:spacing w:after="0" w:line="547" w:lineRule="auto"/>
        <w:tabs>
          <w:tab w:leader="none" w:pos="7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 CO; HC</w:t>
      </w:r>
    </w:p>
    <w:p>
      <w:pPr>
        <w:spacing w:after="0" w:line="1" w:lineRule="exact"/>
        <w:rPr>
          <w:rFonts w:ascii="Arial" w:cs="Arial" w:eastAsia="Arial" w:hAnsi="Arial"/>
          <w:sz w:val="18"/>
          <w:szCs w:val="18"/>
          <w:color w:val="auto"/>
        </w:rPr>
      </w:pPr>
    </w:p>
    <w:p>
      <w:pPr>
        <w:ind w:left="424" w:right="40" w:hanging="424"/>
        <w:spacing w:after="0" w:line="258" w:lineRule="auto"/>
        <w:tabs>
          <w:tab w:leader="none" w:pos="424" w:val="left"/>
        </w:tabs>
        <w:numPr>
          <w:ilvl w:val="0"/>
          <w:numId w:val="34"/>
        </w:numPr>
        <w:rPr>
          <w:rFonts w:ascii="Arial" w:cs="Arial" w:eastAsia="Arial" w:hAnsi="Arial"/>
          <w:sz w:val="15"/>
          <w:szCs w:val="15"/>
          <w:color w:val="auto"/>
        </w:rPr>
      </w:pPr>
      <w:r>
        <w:rPr>
          <w:rFonts w:ascii="Arial" w:cs="Arial" w:eastAsia="Arial" w:hAnsi="Arial"/>
          <w:sz w:val="18"/>
          <w:szCs w:val="18"/>
          <w:color w:val="auto"/>
        </w:rPr>
        <w:t>This figure gives effect to the voting power of the Class B common stock, which entitles its holder to ten votes for each share held, until a Sunset becomes effective.</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34"/>
        </w:numPr>
        <w:rPr>
          <w:rFonts w:ascii="Arial" w:cs="Arial" w:eastAsia="Arial" w:hAnsi="Arial"/>
          <w:sz w:val="15"/>
          <w:szCs w:val="15"/>
          <w:color w:val="auto"/>
        </w:rPr>
      </w:pPr>
      <w:r>
        <w:rPr>
          <w:rFonts w:ascii="Arial" w:cs="Arial" w:eastAsia="Arial" w:hAnsi="Arial"/>
          <w:sz w:val="18"/>
          <w:szCs w:val="18"/>
          <w:color w:val="auto"/>
        </w:rPr>
        <w:t>Represents beneficial ownership of Class A shares of common stock.</w:t>
      </w:r>
    </w:p>
    <w:p>
      <w:pPr>
        <w:sectPr>
          <w:pgSz w:w="11900" w:h="16838" w:orient="portrait"/>
          <w:cols w:equalWidth="0" w:num="1">
            <w:col w:w="10924"/>
          </w:cols>
          <w:pgMar w:left="436" w:top="287" w:right="539" w:bottom="1440" w:gutter="0" w:footer="0" w:header="0"/>
        </w:sectPr>
      </w:pPr>
    </w:p>
    <w:bookmarkStart w:id="5" w:name="page6"/>
    <w:bookmarkEnd w:id="5"/>
    <w:p>
      <w:pPr>
        <w:ind w:left="664" w:hanging="302"/>
        <w:spacing w:after="0"/>
        <w:tabs>
          <w:tab w:leader="none" w:pos="664"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-130175</wp:posOffset>
            </wp:positionV>
            <wp:extent cx="6858000" cy="5220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3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Robert Alpert</w:t>
      </w:r>
    </w:p>
    <w:p>
      <w:pPr>
        <w:spacing w:after="0" w:line="36" w:lineRule="exact"/>
        <w:rPr>
          <w:sz w:val="20"/>
          <w:szCs w:val="20"/>
          <w:color w:val="auto"/>
        </w:rPr>
      </w:pPr>
    </w:p>
    <w:p>
      <w:pPr>
        <w:ind w:left="664" w:hanging="302"/>
        <w:spacing w:after="0"/>
        <w:tabs>
          <w:tab w:leader="none" w:pos="6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4"/>
        <w:spacing w:after="0" w:line="207" w:lineRule="exact"/>
        <w:tabs>
          <w:tab w:leader="none" w:pos="16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302"/>
        <w:spacing w:after="0"/>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4" w:hanging="302"/>
        <w:spacing w:after="0"/>
        <w:tabs>
          <w:tab w:leader="none" w:pos="6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264"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89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5"/>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400" w:type="dxa"/>
            <w:vAlign w:val="bottom"/>
          </w:tcPr>
          <w:p>
            <w:pPr>
              <w:jc w:val="right"/>
              <w:ind w:right="30"/>
              <w:spacing w:after="0" w:line="156" w:lineRule="exact"/>
              <w:rPr>
                <w:sz w:val="20"/>
                <w:szCs w:val="20"/>
                <w:color w:val="auto"/>
              </w:rPr>
            </w:pPr>
            <w:r>
              <w:rPr>
                <w:rFonts w:ascii="Arial" w:cs="Arial" w:eastAsia="Arial" w:hAnsi="Arial"/>
                <w:sz w:val="18"/>
                <w:szCs w:val="18"/>
                <w:color w:val="auto"/>
              </w:rPr>
              <w:t>6</w:t>
            </w:r>
          </w:p>
        </w:tc>
        <w:tc>
          <w:tcPr>
            <w:tcW w:w="898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5"/>
              </w:rPr>
              <w:t>EACH</w:t>
            </w:r>
          </w:p>
        </w:tc>
        <w:tc>
          <w:tcPr>
            <w:tcW w:w="40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xml:space="preserve">131,673,970 shares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02"/>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00" w:type="dxa"/>
            <w:vAlign w:val="bottom"/>
            <w:vMerge w:val="continue"/>
          </w:tcPr>
          <w:p>
            <w:pPr>
              <w:spacing w:after="0"/>
              <w:rPr>
                <w:sz w:val="11"/>
                <w:szCs w:val="11"/>
                <w:color w:val="auto"/>
              </w:rPr>
            </w:pP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0 Shares</w:t>
      </w:r>
    </w:p>
    <w:p>
      <w:pPr>
        <w:spacing w:after="0" w:line="36" w:lineRule="exact"/>
        <w:rPr>
          <w:sz w:val="20"/>
          <w:szCs w:val="20"/>
          <w:color w:val="auto"/>
        </w:rPr>
      </w:pPr>
    </w:p>
    <w:p>
      <w:pPr>
        <w:ind w:left="2064" w:hanging="320"/>
        <w:spacing w:after="0"/>
        <w:tabs>
          <w:tab w:leader="none" w:pos="20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52"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13,167,397 shares</w:t>
      </w:r>
    </w:p>
    <w:p>
      <w:pPr>
        <w:spacing w:after="0" w:line="36" w:lineRule="exact"/>
        <w:rPr>
          <w:sz w:val="20"/>
          <w:szCs w:val="20"/>
          <w:color w:val="auto"/>
        </w:rPr>
      </w:pPr>
    </w:p>
    <w:p>
      <w:pPr>
        <w:ind w:left="744" w:hanging="382"/>
        <w:spacing w:after="0"/>
        <w:tabs>
          <w:tab w:leader="none" w:pos="7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44"/>
        <w:spacing w:after="0"/>
        <w:rPr>
          <w:sz w:val="20"/>
          <w:szCs w:val="20"/>
          <w:color w:val="auto"/>
        </w:rPr>
      </w:pPr>
      <w:r>
        <w:rPr>
          <w:rFonts w:ascii="Arial" w:cs="Arial" w:eastAsia="Arial" w:hAnsi="Arial"/>
          <w:sz w:val="18"/>
          <w:szCs w:val="18"/>
          <w:color w:val="auto"/>
        </w:rPr>
        <w:t>13,167,397</w:t>
      </w:r>
    </w:p>
    <w:p>
      <w:pPr>
        <w:spacing w:after="0" w:line="36" w:lineRule="exact"/>
        <w:rPr>
          <w:sz w:val="20"/>
          <w:szCs w:val="20"/>
          <w:color w:val="auto"/>
        </w:rPr>
      </w:pPr>
    </w:p>
    <w:p>
      <w:pPr>
        <w:ind w:left="744" w:hanging="382"/>
        <w:spacing w:after="0"/>
        <w:tabs>
          <w:tab w:leader="none" w:pos="7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382"/>
        <w:spacing w:after="0"/>
        <w:tabs>
          <w:tab w:leader="none" w:pos="7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 xml:space="preserve">27.64% </w:t>
      </w:r>
      <w:r>
        <w:rPr>
          <w:rFonts w:ascii="Arial" w:cs="Arial" w:eastAsia="Arial" w:hAnsi="Arial"/>
          <w:sz w:val="15"/>
          <w:szCs w:val="15"/>
          <w:color w:val="auto"/>
        </w:rPr>
        <w:t>(2)</w:t>
      </w:r>
    </w:p>
    <w:p>
      <w:pPr>
        <w:spacing w:after="0" w:line="36" w:lineRule="exact"/>
        <w:rPr>
          <w:rFonts w:ascii="Arial" w:cs="Arial" w:eastAsia="Arial" w:hAnsi="Arial"/>
          <w:sz w:val="18"/>
          <w:szCs w:val="18"/>
          <w:color w:val="auto"/>
        </w:rPr>
      </w:pPr>
    </w:p>
    <w:p>
      <w:pPr>
        <w:ind w:left="744" w:right="5840" w:hanging="382"/>
        <w:spacing w:after="0" w:line="547" w:lineRule="auto"/>
        <w:tabs>
          <w:tab w:leader="none" w:pos="7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1" w:lineRule="exact"/>
        <w:rPr>
          <w:rFonts w:ascii="Arial" w:cs="Arial" w:eastAsia="Arial" w:hAnsi="Arial"/>
          <w:sz w:val="18"/>
          <w:szCs w:val="18"/>
          <w:color w:val="auto"/>
        </w:rPr>
      </w:pPr>
    </w:p>
    <w:p>
      <w:pPr>
        <w:ind w:left="424" w:right="40" w:hanging="424"/>
        <w:spacing w:after="0" w:line="258" w:lineRule="auto"/>
        <w:tabs>
          <w:tab w:leader="none" w:pos="424" w:val="left"/>
        </w:tabs>
        <w:numPr>
          <w:ilvl w:val="0"/>
          <w:numId w:val="42"/>
        </w:numPr>
        <w:rPr>
          <w:rFonts w:ascii="Arial" w:cs="Arial" w:eastAsia="Arial" w:hAnsi="Arial"/>
          <w:sz w:val="15"/>
          <w:szCs w:val="15"/>
          <w:color w:val="auto"/>
        </w:rPr>
      </w:pPr>
      <w:r>
        <w:rPr>
          <w:rFonts w:ascii="Arial" w:cs="Arial" w:eastAsia="Arial" w:hAnsi="Arial"/>
          <w:sz w:val="18"/>
          <w:szCs w:val="18"/>
          <w:color w:val="auto"/>
        </w:rPr>
        <w:t>This figure gives effect to the voting power of the Class B common stock, which entitles its holder to ten votes for each share held, until a Sunset becomes effective.</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42"/>
        </w:numPr>
        <w:rPr>
          <w:rFonts w:ascii="Arial" w:cs="Arial" w:eastAsia="Arial" w:hAnsi="Arial"/>
          <w:sz w:val="15"/>
          <w:szCs w:val="15"/>
          <w:color w:val="auto"/>
        </w:rPr>
      </w:pPr>
      <w:r>
        <w:rPr>
          <w:rFonts w:ascii="Arial" w:cs="Arial" w:eastAsia="Arial" w:hAnsi="Arial"/>
          <w:sz w:val="18"/>
          <w:szCs w:val="18"/>
          <w:color w:val="auto"/>
        </w:rPr>
        <w:t>Represents beneficial ownership of Class A shares of common stock.</w:t>
      </w:r>
    </w:p>
    <w:p>
      <w:pPr>
        <w:sectPr>
          <w:pgSz w:w="11900" w:h="16838" w:orient="portrait"/>
          <w:cols w:equalWidth="0" w:num="1">
            <w:col w:w="10924"/>
          </w:cols>
          <w:pgMar w:left="436" w:top="287" w:right="539" w:bottom="1440" w:gutter="0" w:footer="0" w:header="0"/>
        </w:sectPr>
      </w:pPr>
    </w:p>
    <w:bookmarkStart w:id="6" w:name="page7"/>
    <w:bookmarkEnd w:id="6"/>
    <w:p>
      <w:pPr>
        <w:ind w:left="664" w:hanging="302"/>
        <w:spacing w:after="0"/>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-130175</wp:posOffset>
            </wp:positionV>
            <wp:extent cx="6858000" cy="5220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00" cy="5220335"/>
                    </a:xfrm>
                    <a:prstGeom prst="rect">
                      <a:avLst/>
                    </a:prstGeom>
                    <a:noFill/>
                  </pic:spPr>
                </pic:pic>
              </a:graphicData>
            </a:graphic>
          </wp:anchor>
        </w:drawing>
      </w:r>
    </w:p>
    <w:p>
      <w:pPr>
        <w:spacing w:after="0" w:line="23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C. Clark Webb</w:t>
      </w:r>
    </w:p>
    <w:p>
      <w:pPr>
        <w:spacing w:after="0" w:line="36" w:lineRule="exact"/>
        <w:rPr>
          <w:sz w:val="20"/>
          <w:szCs w:val="20"/>
          <w:color w:val="auto"/>
        </w:rPr>
      </w:pPr>
    </w:p>
    <w:p>
      <w:pPr>
        <w:ind w:left="664" w:hanging="302"/>
        <w:spacing w:after="0"/>
        <w:tabs>
          <w:tab w:leader="none" w:pos="6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64"/>
        <w:spacing w:after="0" w:line="207" w:lineRule="exact"/>
        <w:tabs>
          <w:tab w:leader="none" w:pos="16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302"/>
        <w:spacing w:after="0"/>
        <w:tabs>
          <w:tab w:leader="none" w:pos="6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4" w:hanging="302"/>
        <w:spacing w:after="0"/>
        <w:tabs>
          <w:tab w:leader="none" w:pos="6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264"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89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5"/>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4"/>
                <w:szCs w:val="4"/>
                <w:color w:val="auto"/>
              </w:rPr>
            </w:pPr>
          </w:p>
        </w:tc>
        <w:tc>
          <w:tcPr>
            <w:tcW w:w="8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400" w:type="dxa"/>
            <w:vAlign w:val="bottom"/>
          </w:tcPr>
          <w:p>
            <w:pPr>
              <w:jc w:val="right"/>
              <w:ind w:right="30"/>
              <w:spacing w:after="0" w:line="156" w:lineRule="exact"/>
              <w:rPr>
                <w:sz w:val="20"/>
                <w:szCs w:val="20"/>
                <w:color w:val="auto"/>
              </w:rPr>
            </w:pPr>
            <w:r>
              <w:rPr>
                <w:rFonts w:ascii="Arial" w:cs="Arial" w:eastAsia="Arial" w:hAnsi="Arial"/>
                <w:sz w:val="18"/>
                <w:szCs w:val="18"/>
                <w:color w:val="auto"/>
              </w:rPr>
              <w:t>6</w:t>
            </w:r>
          </w:p>
        </w:tc>
        <w:tc>
          <w:tcPr>
            <w:tcW w:w="898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5"/>
              </w:rPr>
              <w:t>EACH</w:t>
            </w:r>
          </w:p>
        </w:tc>
        <w:tc>
          <w:tcPr>
            <w:tcW w:w="40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 xml:space="preserve">131,673,970 shares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02"/>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89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00" w:type="dxa"/>
            <w:vAlign w:val="bottom"/>
            <w:vMerge w:val="continue"/>
          </w:tcPr>
          <w:p>
            <w:pPr>
              <w:spacing w:after="0"/>
              <w:rPr>
                <w:sz w:val="11"/>
                <w:szCs w:val="11"/>
                <w:color w:val="auto"/>
              </w:rPr>
            </w:pP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0 Shares</w:t>
      </w:r>
    </w:p>
    <w:p>
      <w:pPr>
        <w:spacing w:after="0" w:line="36" w:lineRule="exact"/>
        <w:rPr>
          <w:sz w:val="20"/>
          <w:szCs w:val="20"/>
          <w:color w:val="auto"/>
        </w:rPr>
      </w:pPr>
    </w:p>
    <w:p>
      <w:pPr>
        <w:ind w:left="2064" w:hanging="320"/>
        <w:spacing w:after="0"/>
        <w:tabs>
          <w:tab w:leader="none" w:pos="20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52"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13,167,397 shares</w:t>
      </w:r>
    </w:p>
    <w:p>
      <w:pPr>
        <w:spacing w:after="0" w:line="36" w:lineRule="exact"/>
        <w:rPr>
          <w:sz w:val="20"/>
          <w:szCs w:val="20"/>
          <w:color w:val="auto"/>
        </w:rPr>
      </w:pPr>
    </w:p>
    <w:p>
      <w:pPr>
        <w:ind w:left="744" w:hanging="382"/>
        <w:spacing w:after="0"/>
        <w:tabs>
          <w:tab w:leader="none" w:pos="7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44"/>
        <w:spacing w:after="0"/>
        <w:rPr>
          <w:sz w:val="20"/>
          <w:szCs w:val="20"/>
          <w:color w:val="auto"/>
        </w:rPr>
      </w:pPr>
      <w:r>
        <w:rPr>
          <w:rFonts w:ascii="Arial" w:cs="Arial" w:eastAsia="Arial" w:hAnsi="Arial"/>
          <w:sz w:val="18"/>
          <w:szCs w:val="18"/>
          <w:color w:val="auto"/>
        </w:rPr>
        <w:t>13,167,397</w:t>
      </w:r>
    </w:p>
    <w:p>
      <w:pPr>
        <w:spacing w:after="0" w:line="36" w:lineRule="exact"/>
        <w:rPr>
          <w:sz w:val="20"/>
          <w:szCs w:val="20"/>
          <w:color w:val="auto"/>
        </w:rPr>
      </w:pPr>
    </w:p>
    <w:p>
      <w:pPr>
        <w:ind w:left="744" w:hanging="382"/>
        <w:spacing w:after="0"/>
        <w:tabs>
          <w:tab w:leader="none" w:pos="744" w:val="left"/>
        </w:tabs>
        <w:numPr>
          <w:ilvl w:val="1"/>
          <w:numId w:val="4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382"/>
        <w:spacing w:after="0"/>
        <w:tabs>
          <w:tab w:leader="none" w:pos="744"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 xml:space="preserve">27.64% </w:t>
      </w:r>
      <w:r>
        <w:rPr>
          <w:rFonts w:ascii="Arial" w:cs="Arial" w:eastAsia="Arial" w:hAnsi="Arial"/>
          <w:sz w:val="15"/>
          <w:szCs w:val="15"/>
          <w:color w:val="auto"/>
        </w:rPr>
        <w:t>(2)</w:t>
      </w:r>
    </w:p>
    <w:p>
      <w:pPr>
        <w:spacing w:after="0" w:line="36" w:lineRule="exact"/>
        <w:rPr>
          <w:rFonts w:ascii="Arial" w:cs="Arial" w:eastAsia="Arial" w:hAnsi="Arial"/>
          <w:sz w:val="18"/>
          <w:szCs w:val="18"/>
          <w:color w:val="auto"/>
        </w:rPr>
      </w:pPr>
    </w:p>
    <w:p>
      <w:pPr>
        <w:ind w:left="744" w:right="5840" w:hanging="382"/>
        <w:spacing w:after="0" w:line="547" w:lineRule="auto"/>
        <w:tabs>
          <w:tab w:leader="none" w:pos="74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1" w:lineRule="exact"/>
        <w:rPr>
          <w:rFonts w:ascii="Arial" w:cs="Arial" w:eastAsia="Arial" w:hAnsi="Arial"/>
          <w:sz w:val="18"/>
          <w:szCs w:val="18"/>
          <w:color w:val="auto"/>
        </w:rPr>
      </w:pPr>
    </w:p>
    <w:p>
      <w:pPr>
        <w:ind w:left="424" w:right="40" w:hanging="424"/>
        <w:spacing w:after="0" w:line="258" w:lineRule="auto"/>
        <w:tabs>
          <w:tab w:leader="none" w:pos="4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This figure gives effect to the voting power of the Class B common stock, which entitles its holder to ten votes for each share held, until a Sunset becomes effective.</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Represents beneficial ownership of Class A shares of common stock.</w:t>
      </w:r>
    </w:p>
    <w:p>
      <w:pPr>
        <w:sectPr>
          <w:pgSz w:w="11900" w:h="16838" w:orient="portrait"/>
          <w:cols w:equalWidth="0" w:num="1">
            <w:col w:w="10924"/>
          </w:cols>
          <w:pgMar w:left="436" w:top="287" w:right="53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31"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name of the issuer is P10, Inc., a Texas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44" w:hanging="544"/>
        <w:spacing w:after="0"/>
        <w:tabs>
          <w:tab w:leader="none" w:pos="5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Issuer’s principal executive offices are located at:</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4514 Cole Ave., Suite 1600</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Dallas, TX 75205.</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2.</w:t>
      </w:r>
    </w:p>
    <w:p>
      <w:pPr>
        <w:spacing w:after="0" w:line="131"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0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210 Capital, LLC, a Delaware limited liability company (“210 Capital”);</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Covenant RHA Partners, L.P., a Texas limited partnership (“RHA Partners”);</w:t>
      </w:r>
    </w:p>
    <w:p>
      <w:pPr>
        <w:spacing w:after="0" w:line="117" w:lineRule="exact"/>
        <w:rPr>
          <w:rFonts w:ascii="Arial" w:cs="Arial" w:eastAsia="Arial" w:hAnsi="Arial"/>
          <w:sz w:val="18"/>
          <w:szCs w:val="18"/>
          <w:color w:val="auto"/>
        </w:rPr>
      </w:pPr>
    </w:p>
    <w:p>
      <w:pPr>
        <w:ind w:left="764" w:hanging="324"/>
        <w:spacing w:after="0"/>
        <w:tabs>
          <w:tab w:leader="none" w:pos="7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CCW/LAW Holdings, LLC, a Texas limited liability company (“CCW Holdings”);</w:t>
      </w:r>
    </w:p>
    <w:p>
      <w:pPr>
        <w:spacing w:after="0" w:line="117" w:lineRule="exact"/>
        <w:rPr>
          <w:rFonts w:ascii="Arial" w:cs="Arial" w:eastAsia="Arial" w:hAnsi="Arial"/>
          <w:sz w:val="18"/>
          <w:szCs w:val="18"/>
          <w:color w:val="auto"/>
        </w:rPr>
      </w:pPr>
    </w:p>
    <w:p>
      <w:pPr>
        <w:ind w:left="744" w:hanging="304"/>
        <w:spacing w:after="0"/>
        <w:tabs>
          <w:tab w:leader="none" w:pos="744" w:val="left"/>
        </w:tabs>
        <w:numPr>
          <w:ilvl w:val="1"/>
          <w:numId w:val="52"/>
        </w:numPr>
        <w:rPr>
          <w:rFonts w:ascii="Arial" w:cs="Arial" w:eastAsia="Arial" w:hAnsi="Arial"/>
          <w:sz w:val="18"/>
          <w:szCs w:val="18"/>
          <w:color w:val="auto"/>
        </w:rPr>
      </w:pPr>
      <w:r>
        <w:rPr>
          <w:rFonts w:ascii="Arial" w:cs="Arial" w:eastAsia="Arial" w:hAnsi="Arial"/>
          <w:sz w:val="18"/>
          <w:szCs w:val="18"/>
          <w:color w:val="auto"/>
        </w:rPr>
        <w:t>RHA Investments, Inc., a Texas corporation (“RHA Investments”);</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52"/>
        </w:numPr>
        <w:rPr>
          <w:rFonts w:ascii="Arial" w:cs="Arial" w:eastAsia="Arial" w:hAnsi="Arial"/>
          <w:sz w:val="18"/>
          <w:szCs w:val="18"/>
          <w:color w:val="auto"/>
        </w:rPr>
      </w:pPr>
      <w:r>
        <w:rPr>
          <w:rFonts w:ascii="Arial" w:cs="Arial" w:eastAsia="Arial" w:hAnsi="Arial"/>
          <w:sz w:val="18"/>
          <w:szCs w:val="18"/>
          <w:color w:val="auto"/>
        </w:rPr>
        <w:t>Robert Alpert, a United States citizen; and</w:t>
      </w:r>
    </w:p>
    <w:p>
      <w:pPr>
        <w:spacing w:after="0" w:line="117" w:lineRule="exact"/>
        <w:rPr>
          <w:rFonts w:ascii="Arial" w:cs="Arial" w:eastAsia="Arial" w:hAnsi="Arial"/>
          <w:sz w:val="18"/>
          <w:szCs w:val="18"/>
          <w:color w:val="auto"/>
        </w:rPr>
      </w:pPr>
    </w:p>
    <w:p>
      <w:pPr>
        <w:ind w:left="744" w:hanging="304"/>
        <w:spacing w:after="0"/>
        <w:tabs>
          <w:tab w:leader="none" w:pos="744" w:val="left"/>
        </w:tabs>
        <w:numPr>
          <w:ilvl w:val="1"/>
          <w:numId w:val="52"/>
        </w:numPr>
        <w:rPr>
          <w:rFonts w:ascii="Arial" w:cs="Arial" w:eastAsia="Arial" w:hAnsi="Arial"/>
          <w:sz w:val="18"/>
          <w:szCs w:val="18"/>
          <w:color w:val="auto"/>
        </w:rPr>
      </w:pPr>
      <w:r>
        <w:rPr>
          <w:rFonts w:ascii="Arial" w:cs="Arial" w:eastAsia="Arial" w:hAnsi="Arial"/>
          <w:sz w:val="18"/>
          <w:szCs w:val="18"/>
          <w:color w:val="auto"/>
        </w:rPr>
        <w:t>C. Clark Webb, a United States citizen.</w:t>
      </w:r>
    </w:p>
    <w:p>
      <w:pPr>
        <w:spacing w:after="0" w:line="225"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Each of the foregoing is referred to as a “Reporting Person” and collectively as the “Reporting Persons.” The address of the principal business office of each of the Reporting Persons is 4514 Cole Avenue, Suite 1600, Dallas, Texas 75205.</w:t>
      </w:r>
    </w:p>
    <w:p>
      <w:pPr>
        <w:spacing w:after="0" w:line="197"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24" w:hanging="424"/>
        <w:spacing w:after="0"/>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CUSIP No.:</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CUSIP number is 69376K106.</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3. If this statement is filed pursuant to §§240.13d–1(b) or 240.13d–2(b) or (c), check whether the person filing is a:</w:t>
      </w:r>
    </w:p>
    <w:p>
      <w:pPr>
        <w:spacing w:after="0" w:line="84" w:lineRule="exact"/>
        <w:rPr>
          <w:sz w:val="20"/>
          <w:szCs w:val="20"/>
          <w:color w:val="auto"/>
        </w:rPr>
      </w:pPr>
    </w:p>
    <w:p>
      <w:pPr>
        <w:ind w:left="444"/>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Not Applicable</w:t>
      </w:r>
    </w:p>
    <w:p>
      <w:pPr>
        <w:spacing w:after="0" w:line="252" w:lineRule="exact"/>
        <w:rPr>
          <w:sz w:val="20"/>
          <w:szCs w:val="20"/>
          <w:color w:val="auto"/>
        </w:rPr>
      </w:pPr>
    </w:p>
    <w:p>
      <w:pPr>
        <w:ind w:left="424" w:hanging="424"/>
        <w:spacing w:after="0" w:line="207" w:lineRule="exact"/>
        <w:tabs>
          <w:tab w:leader="none" w:pos="424" w:val="left"/>
        </w:tabs>
        <w:numPr>
          <w:ilvl w:val="0"/>
          <w:numId w:val="5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52" w:lineRule="exact"/>
        <w:rPr>
          <w:rFonts w:ascii="Arial" w:cs="Arial" w:eastAsia="Arial" w:hAnsi="Arial"/>
          <w:sz w:val="18"/>
          <w:szCs w:val="18"/>
          <w:color w:val="auto"/>
        </w:rPr>
      </w:pPr>
    </w:p>
    <w:p>
      <w:pPr>
        <w:ind w:left="424" w:hanging="424"/>
        <w:spacing w:after="0" w:line="207" w:lineRule="exact"/>
        <w:tabs>
          <w:tab w:leader="none" w:pos="424" w:val="left"/>
        </w:tabs>
        <w:numPr>
          <w:ilvl w:val="0"/>
          <w:numId w:val="5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ectPr>
          <w:pgSz w:w="11900" w:h="16838" w:orient="portrait"/>
          <w:cols w:equalWidth="0" w:num="1">
            <w:col w:w="10684"/>
          </w:cols>
          <w:pgMar w:left="436" w:top="274" w:right="779" w:bottom="1440" w:gutter="0" w:footer="0" w:header="0"/>
        </w:sectPr>
      </w:pPr>
    </w:p>
    <w:bookmarkStart w:id="8" w:name="page9"/>
    <w:bookmarkEnd w:id="8"/>
    <w:p>
      <w:pPr>
        <w:ind w:left="424" w:hanging="424"/>
        <w:spacing w:after="0" w:line="207" w:lineRule="exact"/>
        <w:tabs>
          <w:tab w:leader="none" w:pos="424" w:val="left"/>
        </w:tabs>
        <w:numPr>
          <w:ilvl w:val="0"/>
          <w:numId w:val="55"/>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color w:val="auto"/>
        </w:rPr>
        <w:t xml:space="preserve"> Insurance company as defined in Section 3(a)(19) of the Exchange Act.</w:t>
      </w:r>
    </w:p>
    <w:p>
      <w:pPr>
        <w:spacing w:after="0" w:line="130" w:lineRule="exact"/>
        <w:rPr>
          <w:rFonts w:ascii="Arial" w:cs="Arial" w:eastAsia="Arial" w:hAnsi="Arial"/>
          <w:sz w:val="18"/>
          <w:szCs w:val="18"/>
          <w:color w:val="auto"/>
        </w:rPr>
      </w:pPr>
    </w:p>
    <w:p>
      <w:pPr>
        <w:ind w:left="424" w:hanging="424"/>
        <w:spacing w:after="0" w:line="207" w:lineRule="exact"/>
        <w:tabs>
          <w:tab w:leader="none" w:pos="424" w:val="left"/>
        </w:tabs>
        <w:numPr>
          <w:ilvl w:val="0"/>
          <w:numId w:val="5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30" w:lineRule="exact"/>
        <w:rPr>
          <w:rFonts w:ascii="Arial" w:cs="Arial" w:eastAsia="Arial" w:hAnsi="Arial"/>
          <w:sz w:val="18"/>
          <w:szCs w:val="18"/>
          <w:color w:val="auto"/>
        </w:rPr>
      </w:pPr>
    </w:p>
    <w:p>
      <w:pPr>
        <w:ind w:left="424" w:hanging="424"/>
        <w:spacing w:after="0" w:line="207" w:lineRule="exact"/>
        <w:tabs>
          <w:tab w:leader="none" w:pos="424" w:val="left"/>
        </w:tabs>
        <w:numPr>
          <w:ilvl w:val="0"/>
          <w:numId w:val="5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30" w:lineRule="exact"/>
        <w:rPr>
          <w:rFonts w:ascii="Arial" w:cs="Arial" w:eastAsia="Arial" w:hAnsi="Arial"/>
          <w:sz w:val="18"/>
          <w:szCs w:val="18"/>
          <w:color w:val="auto"/>
        </w:rPr>
      </w:pPr>
    </w:p>
    <w:p>
      <w:pPr>
        <w:ind w:left="424" w:hanging="424"/>
        <w:spacing w:after="0" w:line="207" w:lineRule="exact"/>
        <w:tabs>
          <w:tab w:leader="none" w:pos="424" w:val="left"/>
        </w:tabs>
        <w:numPr>
          <w:ilvl w:val="0"/>
          <w:numId w:val="5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30" w:lineRule="exact"/>
        <w:rPr>
          <w:rFonts w:ascii="Arial" w:cs="Arial" w:eastAsia="Arial" w:hAnsi="Arial"/>
          <w:sz w:val="18"/>
          <w:szCs w:val="18"/>
          <w:color w:val="auto"/>
        </w:rPr>
      </w:pPr>
    </w:p>
    <w:p>
      <w:pPr>
        <w:ind w:left="424" w:hanging="424"/>
        <w:spacing w:after="0" w:line="207" w:lineRule="exact"/>
        <w:tabs>
          <w:tab w:leader="none" w:pos="424" w:val="left"/>
        </w:tabs>
        <w:numPr>
          <w:ilvl w:val="0"/>
          <w:numId w:val="5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30" w:lineRule="exact"/>
        <w:rPr>
          <w:rFonts w:ascii="Arial" w:cs="Arial" w:eastAsia="Arial" w:hAnsi="Arial"/>
          <w:sz w:val="18"/>
          <w:szCs w:val="18"/>
          <w:color w:val="auto"/>
        </w:rPr>
      </w:pPr>
    </w:p>
    <w:p>
      <w:pPr>
        <w:ind w:left="424" w:hanging="424"/>
        <w:spacing w:after="0" w:line="207" w:lineRule="exact"/>
        <w:tabs>
          <w:tab w:leader="none" w:pos="424" w:val="left"/>
        </w:tabs>
        <w:numPr>
          <w:ilvl w:val="0"/>
          <w:numId w:val="5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30" w:lineRule="exact"/>
        <w:rPr>
          <w:rFonts w:ascii="Arial" w:cs="Arial" w:eastAsia="Arial" w:hAnsi="Arial"/>
          <w:sz w:val="18"/>
          <w:szCs w:val="18"/>
          <w:color w:val="auto"/>
        </w:rPr>
      </w:pPr>
    </w:p>
    <w:p>
      <w:pPr>
        <w:ind w:left="424" w:hanging="424"/>
        <w:spacing w:after="0" w:line="196" w:lineRule="exact"/>
        <w:tabs>
          <w:tab w:leader="none" w:pos="424" w:val="left"/>
        </w:tabs>
        <w:numPr>
          <w:ilvl w:val="0"/>
          <w:numId w:val="5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142" w:lineRule="exact"/>
        <w:rPr>
          <w:rFonts w:ascii="Arial" w:cs="Arial" w:eastAsia="Arial" w:hAnsi="Arial"/>
          <w:sz w:val="17"/>
          <w:szCs w:val="17"/>
          <w:color w:val="auto"/>
        </w:rPr>
      </w:pPr>
    </w:p>
    <w:p>
      <w:pPr>
        <w:ind w:left="424" w:hanging="424"/>
        <w:spacing w:after="0" w:line="207" w:lineRule="exact"/>
        <w:tabs>
          <w:tab w:leader="none" w:pos="424" w:val="left"/>
        </w:tabs>
        <w:numPr>
          <w:ilvl w:val="0"/>
          <w:numId w:val="5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30" w:lineRule="exact"/>
        <w:rPr>
          <w:rFonts w:ascii="Arial" w:cs="Arial" w:eastAsia="Arial" w:hAnsi="Arial"/>
          <w:sz w:val="18"/>
          <w:szCs w:val="18"/>
          <w:color w:val="auto"/>
        </w:rPr>
      </w:pPr>
    </w:p>
    <w:p>
      <w:pPr>
        <w:ind w:left="424" w:right="60" w:hanging="424"/>
        <w:spacing w:after="0" w:line="239" w:lineRule="exact"/>
        <w:tabs>
          <w:tab w:leader="none" w:pos="424" w:val="left"/>
        </w:tabs>
        <w:numPr>
          <w:ilvl w:val="0"/>
          <w:numId w:val="5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 If filing as a non-U.S. institution in accordance with Rule 13d-1(b)(1)(ii)(J), please specify the type of institution: ____</w:t>
      </w:r>
    </w:p>
    <w:p>
      <w:pPr>
        <w:spacing w:after="0" w:line="23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i w:val="1"/>
          <w:iCs w:val="1"/>
          <w:color w:val="auto"/>
        </w:rPr>
        <w:t>Item 4.</w:t>
      </w:r>
      <w:r>
        <w:rPr>
          <w:sz w:val="20"/>
          <w:szCs w:val="20"/>
          <w:color w:val="auto"/>
        </w:rPr>
        <w:tab/>
      </w:r>
      <w:r>
        <w:rPr>
          <w:rFonts w:ascii="Arial" w:cs="Arial" w:eastAsia="Arial" w:hAnsi="Arial"/>
          <w:sz w:val="15"/>
          <w:szCs w:val="15"/>
          <w:b w:val="1"/>
          <w:bCs w:val="1"/>
          <w:i w:val="1"/>
          <w:iCs w:val="1"/>
          <w:color w:val="auto"/>
        </w:rPr>
        <w:t>Ownership</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information in Items 5 through 9 and Item 11 on the cover pages to this Schedule 13G is hereby incorporated by reference.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ownership information reported in this Item 4 is as of the close of business on February 10, 2022.</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Amount beneficially owned:</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210 Capital is the direct beneficial holder of 13,167,397 shares of Class B Common Stock.</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holders of Class B Common Stock may elect to convert on a one-for-one basis into Class A Common Stock at any time.</w:t>
      </w:r>
    </w:p>
    <w:p>
      <w:pPr>
        <w:spacing w:after="0" w:line="103" w:lineRule="exact"/>
        <w:rPr>
          <w:sz w:val="20"/>
          <w:szCs w:val="20"/>
          <w:color w:val="auto"/>
        </w:rPr>
      </w:pPr>
    </w:p>
    <w:p>
      <w:pPr>
        <w:jc w:val="both"/>
        <w:ind w:left="984"/>
        <w:spacing w:after="0" w:line="263" w:lineRule="auto"/>
        <w:rPr>
          <w:sz w:val="20"/>
          <w:szCs w:val="20"/>
          <w:color w:val="auto"/>
        </w:rPr>
      </w:pPr>
      <w:r>
        <w:rPr>
          <w:rFonts w:ascii="Arial" w:cs="Arial" w:eastAsia="Arial" w:hAnsi="Arial"/>
          <w:sz w:val="18"/>
          <w:szCs w:val="18"/>
          <w:color w:val="auto"/>
        </w:rPr>
        <w:t>210 Capital is managed by its members RHA Partners and CCW Holdings. Mr. Webb has the power to direct the affairs of CCW Holdings as its sole manager. In addition, RHA Partners is managed by its general partner RHA Investments, and Mr. Alpert has the power to direct the affairs of RHA Investments as its President and sole shareholder.</w:t>
      </w:r>
    </w:p>
    <w:p>
      <w:pPr>
        <w:spacing w:after="0" w:line="76" w:lineRule="exact"/>
        <w:rPr>
          <w:sz w:val="20"/>
          <w:szCs w:val="20"/>
          <w:color w:val="auto"/>
        </w:rPr>
      </w:pPr>
    </w:p>
    <w:p>
      <w:pPr>
        <w:jc w:val="both"/>
        <w:ind w:left="984" w:right="40"/>
        <w:spacing w:after="0" w:line="311" w:lineRule="auto"/>
        <w:rPr>
          <w:sz w:val="20"/>
          <w:szCs w:val="20"/>
          <w:color w:val="auto"/>
        </w:rPr>
      </w:pPr>
      <w:r>
        <w:rPr>
          <w:rFonts w:ascii="Arial" w:cs="Arial" w:eastAsia="Arial" w:hAnsi="Arial"/>
          <w:sz w:val="16"/>
          <w:szCs w:val="16"/>
          <w:color w:val="auto"/>
        </w:rPr>
        <w:t>Each of RHA Partners, CCW Holdings, RHA Investments, Mr. Alpert and Mr. Webb declares that neither the filing of this Schedule 13G nor anything herein shall be construed as an admission that such person is, for the purposes of Section 13(d) or 13(g) of the Exchange Act of 1934, as amended, the beneficial owner of any securities directly held by 210 Capital covered by this Schedule 13G.</w:t>
      </w:r>
    </w:p>
    <w:p>
      <w:pPr>
        <w:spacing w:after="0" w:line="149" w:lineRule="exact"/>
        <w:rPr>
          <w:sz w:val="20"/>
          <w:szCs w:val="20"/>
          <w:color w:val="auto"/>
        </w:rPr>
      </w:pPr>
    </w:p>
    <w:p>
      <w:pPr>
        <w:ind w:left="984" w:right="60"/>
        <w:spacing w:after="0" w:line="269" w:lineRule="auto"/>
        <w:rPr>
          <w:sz w:val="20"/>
          <w:szCs w:val="20"/>
          <w:color w:val="auto"/>
        </w:rPr>
      </w:pPr>
      <w:r>
        <w:rPr>
          <w:rFonts w:ascii="Arial" w:cs="Arial" w:eastAsia="Arial" w:hAnsi="Arial"/>
          <w:sz w:val="17"/>
          <w:szCs w:val="17"/>
          <w:color w:val="auto"/>
        </w:rPr>
        <w:t>P10, Inc. entered into a controlled company agreement (the “Controlled Company Agreement”), with principals of 210 Capital, L.L.C. (“210 Capital”) and certain of their affiliates (the “210 Group”), RCP Advisors and certain of their affiliates (the “RCP Group”) and TrueBridge and certain of their affiliates (the “TrueBridge Group”), granting each party certain board designation rights. So long as the 210 Group continues to collectively hold a combined voting power of (A) at least 10% of the shares of common stock outstanding immediately following the closing date of the IPO (the “Closing Date”), P10, Inc. shall include in its slate of nominees two (2) directors designated by the 210 Group and (B) less than 10% but at least 5% of the shares of common stock outstanding immediately following the Closing Date, one (1) director designated by the 210 Group. So long as the RCP Group and any of their permitted transferees who hold shares of common stock as of the applicable time continue to collectively hold a combined voting power of at least 5% of the shares of common stock outstanding immediately following the Closing Date, P10, Inc. shall include in its slate of nominees one (1) director designated by the RCP Stockholders. So long as TrueBridge and</w:t>
      </w:r>
    </w:p>
    <w:p>
      <w:pPr>
        <w:sectPr>
          <w:pgSz w:w="11900" w:h="16838" w:orient="portrait"/>
          <w:cols w:equalWidth="0" w:num="1">
            <w:col w:w="10964"/>
          </w:cols>
          <w:pgMar w:left="436" w:top="241" w:right="499" w:bottom="1440" w:gutter="0" w:footer="0" w:header="0"/>
        </w:sectPr>
      </w:pPr>
    </w:p>
    <w:bookmarkStart w:id="9" w:name="page10"/>
    <w:bookmarkEnd w:id="9"/>
    <w:p>
      <w:pPr>
        <w:ind w:left="142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of its permitted transferees who hold shares of common stock as of the applicable time continue to collectively hold a combined voting power of at least 5% of the shares of common stock outstanding immediately following the Closing Date, P10, Inc. shall include in its slate of nominees one (1) director designated by the TrueBridge Group.</w:t>
      </w:r>
    </w:p>
    <w:p>
      <w:pPr>
        <w:spacing w:after="0" w:line="184" w:lineRule="exact"/>
        <w:rPr>
          <w:sz w:val="20"/>
          <w:szCs w:val="20"/>
          <w:color w:val="auto"/>
        </w:rPr>
      </w:pPr>
    </w:p>
    <w:p>
      <w:pPr>
        <w:ind w:left="1420"/>
        <w:spacing w:after="0" w:line="269" w:lineRule="auto"/>
        <w:rPr>
          <w:sz w:val="20"/>
          <w:szCs w:val="20"/>
          <w:color w:val="auto"/>
        </w:rPr>
      </w:pPr>
      <w:r>
        <w:rPr>
          <w:rFonts w:ascii="Arial" w:cs="Arial" w:eastAsia="Arial" w:hAnsi="Arial"/>
          <w:sz w:val="17"/>
          <w:szCs w:val="17"/>
          <w:color w:val="auto"/>
        </w:rPr>
        <w:t>The Controlled Company Agreement provides that, without the prior written consent of the Issuer, the 210 Group, the RCP Group and the TrueBridge Group will not, and will not publicly disclose an intention to, during the period commencing on the date of the Controlled Company Agreement and ending three years after the date thereof (the “Restricted Period”), (a)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the 210 Group, RCP Group or the TrueBridge Group or any other Equity Securities (as defined therein) or (b) enter into any swap or other arrangement that transfers to another, in whole or in part, any of the economic consequences of ownership of the Equity Securities, whether any such transaction described in clause (a) or (b) above is to be settled by delivery of shares of common stock or any such other securities, in cash or otherwise, subject to certain exceptions. Notwithstanding the foregoing, one third of the Equity Securities held by each such party as of the consummation of the Issuer’s initial public offering (“IPO”), shall be released from such lock-up restrictions on each of the first, second and third anniversary of the consummation of the IPO.</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Percent of Class:</w:t>
      </w:r>
    </w:p>
    <w:p>
      <w:pPr>
        <w:spacing w:after="0" w:line="117" w:lineRule="exact"/>
        <w:rPr>
          <w:sz w:val="20"/>
          <w:szCs w:val="20"/>
          <w:color w:val="auto"/>
        </w:rPr>
      </w:pPr>
    </w:p>
    <w:p>
      <w:pPr>
        <w:jc w:val="both"/>
        <w:ind w:left="1420" w:right="140"/>
        <w:spacing w:after="0" w:line="263" w:lineRule="auto"/>
        <w:rPr>
          <w:sz w:val="20"/>
          <w:szCs w:val="20"/>
          <w:color w:val="auto"/>
        </w:rPr>
      </w:pPr>
      <w:r>
        <w:rPr>
          <w:rFonts w:ascii="Arial" w:cs="Arial" w:eastAsia="Arial" w:hAnsi="Arial"/>
          <w:sz w:val="18"/>
          <w:szCs w:val="18"/>
          <w:color w:val="auto"/>
        </w:rPr>
        <w:t>The following percentages are based on 35,342,274 shares of Class A Common Stock and 81,850,473 shares of Class B Common Stock outstanding as of February 3, 2022, which are the total number of shares of Class A and Class B Common Stock outstanding as disclosed by the Issuer to the Reporting Persons.</w:t>
      </w:r>
    </w:p>
    <w:p>
      <w:pPr>
        <w:spacing w:after="0" w:line="76" w:lineRule="exact"/>
        <w:rPr>
          <w:sz w:val="20"/>
          <w:szCs w:val="20"/>
          <w:color w:val="auto"/>
        </w:rPr>
      </w:pPr>
    </w:p>
    <w:p>
      <w:pPr>
        <w:ind w:left="1420" w:right="820"/>
        <w:spacing w:after="0" w:line="277" w:lineRule="auto"/>
        <w:rPr>
          <w:sz w:val="20"/>
          <w:szCs w:val="20"/>
          <w:color w:val="auto"/>
        </w:rPr>
      </w:pPr>
      <w:r>
        <w:rPr>
          <w:rFonts w:ascii="Arial" w:cs="Arial" w:eastAsia="Arial" w:hAnsi="Arial"/>
          <w:sz w:val="18"/>
          <w:szCs w:val="18"/>
          <w:color w:val="auto"/>
        </w:rPr>
        <w:t>As of the close of business on February 10, 2022, the Reporting Persons beneficially owned approximately 13.98% of the outstanding shares of Class B Common Stock.</w:t>
      </w:r>
    </w:p>
    <w:p>
      <w:pPr>
        <w:spacing w:after="0" w:line="170" w:lineRule="exact"/>
        <w:rPr>
          <w:sz w:val="20"/>
          <w:szCs w:val="20"/>
          <w:color w:val="auto"/>
        </w:rPr>
      </w:pPr>
    </w:p>
    <w:p>
      <w:pPr>
        <w:ind w:left="680" w:hanging="244"/>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2420" w:right="6220" w:hanging="993"/>
        <w:spacing w:after="0" w:line="431" w:lineRule="auto"/>
        <w:tabs>
          <w:tab w:leader="none" w:pos="1968" w:val="left"/>
        </w:tabs>
        <w:numPr>
          <w:ilvl w:val="1"/>
          <w:numId w:val="56"/>
        </w:numPr>
        <w:rPr>
          <w:rFonts w:ascii="Arial" w:cs="Arial" w:eastAsia="Arial" w:hAnsi="Arial"/>
          <w:sz w:val="16"/>
          <w:szCs w:val="16"/>
          <w:color w:val="auto"/>
        </w:rPr>
      </w:pPr>
      <w:r>
        <w:rPr>
          <w:rFonts w:ascii="Arial" w:cs="Arial" w:eastAsia="Arial" w:hAnsi="Arial"/>
          <w:sz w:val="16"/>
          <w:szCs w:val="16"/>
          <w:color w:val="auto"/>
        </w:rPr>
        <w:t>Sole power to vote or to direct the vote See Cover Pages Items 5-9.</w:t>
      </w:r>
    </w:p>
    <w:p>
      <w:pPr>
        <w:ind w:left="2420" w:right="6040" w:hanging="993"/>
        <w:spacing w:after="0" w:line="406" w:lineRule="auto"/>
        <w:tabs>
          <w:tab w:leader="none" w:pos="1968" w:val="left"/>
        </w:tabs>
        <w:numPr>
          <w:ilvl w:val="1"/>
          <w:numId w:val="56"/>
        </w:numPr>
        <w:rPr>
          <w:rFonts w:ascii="Arial" w:cs="Arial" w:eastAsia="Arial" w:hAnsi="Arial"/>
          <w:sz w:val="17"/>
          <w:szCs w:val="17"/>
          <w:color w:val="auto"/>
        </w:rPr>
      </w:pPr>
      <w:r>
        <w:rPr>
          <w:rFonts w:ascii="Arial" w:cs="Arial" w:eastAsia="Arial" w:hAnsi="Arial"/>
          <w:sz w:val="17"/>
          <w:szCs w:val="17"/>
          <w:color w:val="auto"/>
        </w:rPr>
        <w:t>Shared power to vote or to direct the vote See Cover Pages Items 5-9.</w:t>
      </w:r>
    </w:p>
    <w:p>
      <w:pPr>
        <w:ind w:left="2420" w:right="5320" w:hanging="993"/>
        <w:spacing w:after="0" w:line="406" w:lineRule="auto"/>
        <w:tabs>
          <w:tab w:leader="none" w:pos="1968" w:val="left"/>
        </w:tabs>
        <w:numPr>
          <w:ilvl w:val="1"/>
          <w:numId w:val="56"/>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See Cover Pages Items 5-9.</w:t>
      </w:r>
    </w:p>
    <w:p>
      <w:pPr>
        <w:ind w:left="2420" w:right="5140" w:hanging="993"/>
        <w:spacing w:after="0" w:line="402" w:lineRule="auto"/>
        <w:tabs>
          <w:tab w:leader="none" w:pos="1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Ownership of 5 Percent or Less of a Class.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Ownership of More than 5 Percent on Behalf of Another Person.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RHA Partners and CCW Holdings share voting and dispositive power over the shares of Class B Common Stock beneficially owned by 210 Capital. Mr. Webb shares voting and dispositive power over the shares of Class B Common Stock beneficially owned by CCW Holdings. Mr. Alpert shares voting and dispositive power over the shares of Class B Common Stock beneficially owned by RHA Investments, which shares voting and dispositive power over RHA Partners.</w:t>
      </w:r>
    </w:p>
    <w:p>
      <w:pPr>
        <w:spacing w:after="0" w:line="2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Item 7. Identification and Classification of the Subsidiary Which Acquired the Security Being Reported on by the Parent Holding Company or Control Person.</w:t>
      </w:r>
    </w:p>
    <w:p>
      <w:pPr>
        <w:sectPr>
          <w:pgSz w:w="11900" w:h="16838" w:orient="portrait"/>
          <w:cols w:equalWidth="0" w:num="1">
            <w:col w:w="11000"/>
          </w:cols>
          <w:pgMar w:left="440" w:top="274" w:right="45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information in Items 2 and 4 is hereby incorporated by reference.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8. Identification and Classification of Members of the Group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 Notice of Dissolution of Group.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10. Certifications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880"/>
          </w:cols>
          <w:pgMar w:left="440" w:top="274" w:right="57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210 CAPITAL,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Covenant RHA Partners,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Authorized Signatory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CCW/LAW Holdings,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CCW/LAW HOLDINGS,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COVENANT RHA PARTNERS,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RHA Investments,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RHA INVESTMENTS,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President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ROBERT ALPERT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 CLARK WEBB</w:t>
      </w:r>
    </w:p>
    <w:p>
      <w:pPr>
        <w:sectPr>
          <w:pgSz w:w="11900" w:h="16838" w:orient="portrait"/>
          <w:cols w:equalWidth="0" w:num="1">
            <w:col w:w="10900"/>
          </w:cols>
          <w:pgMar w:left="440" w:top="270" w:right="559" w:bottom="1440" w:gutter="0" w:footer="0" w:header="0"/>
        </w:sectPr>
      </w:pPr>
    </w:p>
    <w:bookmarkStart w:id="12" w:name="page13"/>
    <w:bookmarkEnd w:id="1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JOINT FILING OF SCHEDULE 13G</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accordance with Rule 13d-1(k)(1)(iii) under the Securities Exchange Act of 1934, as amended, the persons named below agree to the joint filing on behalf of each of them of a Statement on Schedule 13G dated February 4, 2022 (including amendments thereto) with respect to the shares of Class A Common Stock, par value $0.001 per share, of P10, Inc. This Joint Filing Agreement shall be filed as an Exhibit to such Statement.</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210 CAPITAL,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Covenant RHA Partners,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Authorized Signatory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CCW/LAW Holdings,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CCW/LAW HOLDINGS,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COVENANT RHA PARTNERS,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RHA Investments,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Authorized Signatory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RHA INVESTMENTS,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President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ROBERT ALPERT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 CLARK WEBB</w:t>
      </w:r>
    </w:p>
    <w:sectPr>
      <w:pgSz w:w="11900" w:h="16838" w:orient="portrait"/>
      <w:cols w:equalWidth="0" w:num="1">
        <w:col w:w="10800"/>
      </w:cols>
      <w:pgMar w:left="4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bullet"/>
      <w:start w:val="1"/>
    </w:lvl>
  </w:abstractNum>
  <w:abstractNum w:abstractNumId="3">
    <w:nsid w:val="8138641"/>
    <w:multiLevelType w:val="hybridMultilevel"/>
    <w:lvl w:ilvl="0">
      <w:lvlJc w:val="left"/>
      <w:lvlText w:val="2"/>
      <w:numFmt w:val="bullet"/>
      <w:start w:val="1"/>
    </w:lvl>
  </w:abstractNum>
  <w:abstractNum w:abstractNumId="4">
    <w:nsid w:val="1E7FF521"/>
    <w:multiLevelType w:val="hybridMultilevel"/>
    <w:lvl w:ilvl="0">
      <w:lvlJc w:val="left"/>
      <w:lvlText w:val="3"/>
      <w:numFmt w:val="bullet"/>
      <w:start w:val="1"/>
    </w:lvl>
  </w:abstractNum>
  <w:abstractNum w:abstractNumId="5">
    <w:nsid w:val="7C3DBD3D"/>
    <w:multiLevelType w:val="hybridMultilevel"/>
    <w:lvl w:ilvl="0">
      <w:lvlJc w:val="left"/>
      <w:lvlText w:val="4"/>
      <w:numFmt w:val="bullet"/>
      <w:start w:val="1"/>
    </w:lvl>
  </w:abstractNum>
  <w:abstractNum w:abstractNumId="6">
    <w:nsid w:val="737B8DDC"/>
    <w:multiLevelType w:val="hybridMultilevel"/>
    <w:lvl w:ilvl="0">
      <w:lvlJc w:val="left"/>
      <w:lvlText w:val="8"/>
      <w:numFmt w:val="bullet"/>
      <w:start w:val="1"/>
    </w:lvl>
  </w:abstractNum>
  <w:abstractNum w:abstractNumId="7">
    <w:nsid w:val="6CEAF087"/>
    <w:multiLevelType w:val="hybridMultilevel"/>
    <w:lvl w:ilvl="0">
      <w:lvlJc w:val="left"/>
      <w:lvlText w:val="9"/>
      <w:numFmt w:val="bullet"/>
      <w:start w:val="1"/>
    </w:lvl>
  </w:abstractNum>
  <w:abstractNum w:abstractNumId="8">
    <w:nsid w:val="22221A70"/>
    <w:multiLevelType w:val="hybridMultilevel"/>
    <w:lvl w:ilvl="0">
      <w:lvlJc w:val="left"/>
      <w:lvlText w:val="%1"/>
      <w:numFmt w:val="decimal"/>
      <w:start w:val="1"/>
    </w:lvl>
    <w:lvl w:ilvl="1">
      <w:lvlJc w:val="left"/>
      <w:lvlText w:val="%2"/>
      <w:numFmt w:val="decimal"/>
      <w:start w:val="10"/>
    </w:lvl>
  </w:abstractNum>
  <w:abstractNum w:abstractNumId="9">
    <w:nsid w:val="4516DDE9"/>
    <w:multiLevelType w:val="hybridMultilevel"/>
    <w:lvl w:ilvl="0">
      <w:lvlJc w:val="left"/>
      <w:lvlText w:val="(%1)"/>
      <w:numFmt w:val="decimal"/>
      <w:start w:val="1"/>
    </w:lvl>
    <w:lvl w:ilvl="1">
      <w:lvlJc w:val="left"/>
      <w:lvlText w:val="%2"/>
      <w:numFmt w:val="decimal"/>
      <w:start w:val="1"/>
    </w:lvl>
  </w:abstractNum>
  <w:abstractNum w:abstractNumId="10">
    <w:nsid w:val="3006C83E"/>
    <w:multiLevelType w:val="hybridMultilevel"/>
    <w:lvl w:ilvl="0">
      <w:lvlJc w:val="left"/>
      <w:lvlText w:val="1"/>
      <w:numFmt w:val="bullet"/>
      <w:start w:val="1"/>
    </w:lvl>
  </w:abstractNum>
  <w:abstractNum w:abstractNumId="11">
    <w:nsid w:val="614FD4A1"/>
    <w:multiLevelType w:val="hybridMultilevel"/>
    <w:lvl w:ilvl="0">
      <w:lvlJc w:val="left"/>
      <w:lvlText w:val="2"/>
      <w:numFmt w:val="bullet"/>
      <w:start w:val="1"/>
    </w:lvl>
  </w:abstractNum>
  <w:abstractNum w:abstractNumId="12">
    <w:nsid w:val="419AC241"/>
    <w:multiLevelType w:val="hybridMultilevel"/>
    <w:lvl w:ilvl="0">
      <w:lvlJc w:val="left"/>
      <w:lvlText w:val="3"/>
      <w:numFmt w:val="bullet"/>
      <w:start w:val="1"/>
    </w:lvl>
  </w:abstractNum>
  <w:abstractNum w:abstractNumId="13">
    <w:nsid w:val="5577F8E1"/>
    <w:multiLevelType w:val="hybridMultilevel"/>
    <w:lvl w:ilvl="0">
      <w:lvlJc w:val="left"/>
      <w:lvlText w:val="4"/>
      <w:numFmt w:val="bullet"/>
      <w:start w:val="1"/>
    </w:lvl>
  </w:abstractNum>
  <w:abstractNum w:abstractNumId="14">
    <w:nsid w:val="440BADFC"/>
    <w:multiLevelType w:val="hybridMultilevel"/>
    <w:lvl w:ilvl="0">
      <w:lvlJc w:val="left"/>
      <w:lvlText w:val="8"/>
      <w:numFmt w:val="bullet"/>
      <w:start w:val="1"/>
    </w:lvl>
  </w:abstractNum>
  <w:abstractNum w:abstractNumId="15">
    <w:nsid w:val="5072367"/>
    <w:multiLevelType w:val="hybridMultilevel"/>
    <w:lvl w:ilvl="0">
      <w:lvlJc w:val="left"/>
      <w:lvlText w:val="9"/>
      <w:numFmt w:val="bullet"/>
      <w:start w:val="1"/>
    </w:lvl>
  </w:abstractNum>
  <w:abstractNum w:abstractNumId="16">
    <w:nsid w:val="3804823E"/>
    <w:multiLevelType w:val="hybridMultilevel"/>
    <w:lvl w:ilvl="0">
      <w:lvlJc w:val="left"/>
      <w:lvlText w:val="%1"/>
      <w:numFmt w:val="decimal"/>
      <w:start w:val="1"/>
    </w:lvl>
    <w:lvl w:ilvl="1">
      <w:lvlJc w:val="left"/>
      <w:lvlText w:val="%2"/>
      <w:numFmt w:val="decimal"/>
      <w:start w:val="10"/>
    </w:lvl>
  </w:abstractNum>
  <w:abstractNum w:abstractNumId="17">
    <w:nsid w:val="77465F01"/>
    <w:multiLevelType w:val="hybridMultilevel"/>
    <w:lvl w:ilvl="0">
      <w:lvlJc w:val="left"/>
      <w:lvlText w:val="(%1)"/>
      <w:numFmt w:val="decimal"/>
      <w:start w:val="1"/>
    </w:lvl>
    <w:lvl w:ilvl="1">
      <w:lvlJc w:val="left"/>
      <w:lvlText w:val="%2"/>
      <w:numFmt w:val="decimal"/>
      <w:start w:val="1"/>
    </w:lvl>
  </w:abstractNum>
  <w:abstractNum w:abstractNumId="18">
    <w:nsid w:val="7724C67E"/>
    <w:multiLevelType w:val="hybridMultilevel"/>
    <w:lvl w:ilvl="0">
      <w:lvlJc w:val="left"/>
      <w:lvlText w:val="1"/>
      <w:numFmt w:val="bullet"/>
      <w:start w:val="1"/>
    </w:lvl>
  </w:abstractNum>
  <w:abstractNum w:abstractNumId="19">
    <w:nsid w:val="5C482A97"/>
    <w:multiLevelType w:val="hybridMultilevel"/>
    <w:lvl w:ilvl="0">
      <w:lvlJc w:val="left"/>
      <w:lvlText w:val="2"/>
      <w:numFmt w:val="bullet"/>
      <w:start w:val="1"/>
    </w:lvl>
  </w:abstractNum>
  <w:abstractNum w:abstractNumId="20">
    <w:nsid w:val="2463B9EA"/>
    <w:multiLevelType w:val="hybridMultilevel"/>
    <w:lvl w:ilvl="0">
      <w:lvlJc w:val="left"/>
      <w:lvlText w:val="3"/>
      <w:numFmt w:val="bullet"/>
      <w:start w:val="1"/>
    </w:lvl>
  </w:abstractNum>
  <w:abstractNum w:abstractNumId="21">
    <w:nsid w:val="5E884ADC"/>
    <w:multiLevelType w:val="hybridMultilevel"/>
    <w:lvl w:ilvl="0">
      <w:lvlJc w:val="left"/>
      <w:lvlText w:val="4"/>
      <w:numFmt w:val="bullet"/>
      <w:start w:val="1"/>
    </w:lvl>
  </w:abstractNum>
  <w:abstractNum w:abstractNumId="22">
    <w:nsid w:val="51EAD36B"/>
    <w:multiLevelType w:val="hybridMultilevel"/>
    <w:lvl w:ilvl="0">
      <w:lvlJc w:val="left"/>
      <w:lvlText w:val="8"/>
      <w:numFmt w:val="bullet"/>
      <w:start w:val="1"/>
    </w:lvl>
  </w:abstractNum>
  <w:abstractNum w:abstractNumId="23">
    <w:nsid w:val="2D517796"/>
    <w:multiLevelType w:val="hybridMultilevel"/>
    <w:lvl w:ilvl="0">
      <w:lvlJc w:val="left"/>
      <w:lvlText w:val="9"/>
      <w:numFmt w:val="bullet"/>
      <w:start w:val="1"/>
    </w:lvl>
  </w:abstractNum>
  <w:abstractNum w:abstractNumId="24">
    <w:nsid w:val="580BD78F"/>
    <w:multiLevelType w:val="hybridMultilevel"/>
    <w:lvl w:ilvl="0">
      <w:lvlJc w:val="left"/>
      <w:lvlText w:val="%1"/>
      <w:numFmt w:val="decimal"/>
      <w:start w:val="1"/>
    </w:lvl>
    <w:lvl w:ilvl="1">
      <w:lvlJc w:val="left"/>
      <w:lvlText w:val="%2"/>
      <w:numFmt w:val="decimal"/>
      <w:start w:val="10"/>
    </w:lvl>
  </w:abstractNum>
  <w:abstractNum w:abstractNumId="25">
    <w:nsid w:val="153EA438"/>
    <w:multiLevelType w:val="hybridMultilevel"/>
    <w:lvl w:ilvl="0">
      <w:lvlJc w:val="left"/>
      <w:lvlText w:val="(%1)"/>
      <w:numFmt w:val="decimal"/>
      <w:start w:val="1"/>
    </w:lvl>
    <w:lvl w:ilvl="1">
      <w:lvlJc w:val="left"/>
      <w:lvlText w:val="%2"/>
      <w:numFmt w:val="decimal"/>
      <w:start w:val="1"/>
    </w:lvl>
  </w:abstractNum>
  <w:abstractNum w:abstractNumId="26">
    <w:nsid w:val="3855585C"/>
    <w:multiLevelType w:val="hybridMultilevel"/>
    <w:lvl w:ilvl="0">
      <w:lvlJc w:val="left"/>
      <w:lvlText w:val="1"/>
      <w:numFmt w:val="bullet"/>
      <w:start w:val="1"/>
    </w:lvl>
  </w:abstractNum>
  <w:abstractNum w:abstractNumId="27">
    <w:nsid w:val="70A64E2A"/>
    <w:multiLevelType w:val="hybridMultilevel"/>
    <w:lvl w:ilvl="0">
      <w:lvlJc w:val="left"/>
      <w:lvlText w:val="2"/>
      <w:numFmt w:val="bullet"/>
      <w:start w:val="1"/>
    </w:lvl>
  </w:abstractNum>
  <w:abstractNum w:abstractNumId="28">
    <w:nsid w:val="6A2342EC"/>
    <w:multiLevelType w:val="hybridMultilevel"/>
    <w:lvl w:ilvl="0">
      <w:lvlJc w:val="left"/>
      <w:lvlText w:val="3"/>
      <w:numFmt w:val="bullet"/>
      <w:start w:val="1"/>
    </w:lvl>
  </w:abstractNum>
  <w:abstractNum w:abstractNumId="29">
    <w:nsid w:val="2A487CB0"/>
    <w:multiLevelType w:val="hybridMultilevel"/>
    <w:lvl w:ilvl="0">
      <w:lvlJc w:val="left"/>
      <w:lvlText w:val="4"/>
      <w:numFmt w:val="bullet"/>
      <w:start w:val="1"/>
    </w:lvl>
  </w:abstractNum>
  <w:abstractNum w:abstractNumId="30">
    <w:nsid w:val="1D4ED43B"/>
    <w:multiLevelType w:val="hybridMultilevel"/>
    <w:lvl w:ilvl="0">
      <w:lvlJc w:val="left"/>
      <w:lvlText w:val="8"/>
      <w:numFmt w:val="bullet"/>
      <w:start w:val="1"/>
    </w:lvl>
  </w:abstractNum>
  <w:abstractNum w:abstractNumId="31">
    <w:nsid w:val="725A06FB"/>
    <w:multiLevelType w:val="hybridMultilevel"/>
    <w:lvl w:ilvl="0">
      <w:lvlJc w:val="left"/>
      <w:lvlText w:val="9"/>
      <w:numFmt w:val="bullet"/>
      <w:start w:val="1"/>
    </w:lvl>
  </w:abstractNum>
  <w:abstractNum w:abstractNumId="32">
    <w:nsid w:val="2CD89A32"/>
    <w:multiLevelType w:val="hybridMultilevel"/>
    <w:lvl w:ilvl="0">
      <w:lvlJc w:val="left"/>
      <w:lvlText w:val="%1"/>
      <w:numFmt w:val="decimal"/>
      <w:start w:val="1"/>
    </w:lvl>
    <w:lvl w:ilvl="1">
      <w:lvlJc w:val="left"/>
      <w:lvlText w:val="%2"/>
      <w:numFmt w:val="decimal"/>
      <w:start w:val="10"/>
    </w:lvl>
  </w:abstractNum>
  <w:abstractNum w:abstractNumId="33">
    <w:nsid w:val="57E4CCAF"/>
    <w:multiLevelType w:val="hybridMultilevel"/>
    <w:lvl w:ilvl="0">
      <w:lvlJc w:val="left"/>
      <w:lvlText w:val="(%1)"/>
      <w:numFmt w:val="decimal"/>
      <w:start w:val="1"/>
    </w:lvl>
    <w:lvl w:ilvl="1">
      <w:lvlJc w:val="left"/>
      <w:lvlText w:val="%2"/>
      <w:numFmt w:val="decimal"/>
      <w:start w:val="1"/>
    </w:lvl>
  </w:abstractNum>
  <w:abstractNum w:abstractNumId="34">
    <w:nsid w:val="7A6D8D3C"/>
    <w:multiLevelType w:val="hybridMultilevel"/>
    <w:lvl w:ilvl="0">
      <w:lvlJc w:val="left"/>
      <w:lvlText w:val="1"/>
      <w:numFmt w:val="bullet"/>
      <w:start w:val="1"/>
    </w:lvl>
  </w:abstractNum>
  <w:abstractNum w:abstractNumId="35">
    <w:nsid w:val="4B588F54"/>
    <w:multiLevelType w:val="hybridMultilevel"/>
    <w:lvl w:ilvl="0">
      <w:lvlJc w:val="left"/>
      <w:lvlText w:val="2"/>
      <w:numFmt w:val="bullet"/>
      <w:start w:val="1"/>
    </w:lvl>
  </w:abstractNum>
  <w:abstractNum w:abstractNumId="36">
    <w:nsid w:val="542289EC"/>
    <w:multiLevelType w:val="hybridMultilevel"/>
    <w:lvl w:ilvl="0">
      <w:lvlJc w:val="left"/>
      <w:lvlText w:val="3"/>
      <w:numFmt w:val="bullet"/>
      <w:start w:val="1"/>
    </w:lvl>
  </w:abstractNum>
  <w:abstractNum w:abstractNumId="37">
    <w:nsid w:val="6DE91B18"/>
    <w:multiLevelType w:val="hybridMultilevel"/>
    <w:lvl w:ilvl="0">
      <w:lvlJc w:val="left"/>
      <w:lvlText w:val="4"/>
      <w:numFmt w:val="bullet"/>
      <w:start w:val="1"/>
    </w:lvl>
  </w:abstractNum>
  <w:abstractNum w:abstractNumId="38">
    <w:nsid w:val="38437FDB"/>
    <w:multiLevelType w:val="hybridMultilevel"/>
    <w:lvl w:ilvl="0">
      <w:lvlJc w:val="left"/>
      <w:lvlText w:val="8"/>
      <w:numFmt w:val="bullet"/>
      <w:start w:val="1"/>
    </w:lvl>
  </w:abstractNum>
  <w:abstractNum w:abstractNumId="39">
    <w:nsid w:val="7644A45C"/>
    <w:multiLevelType w:val="hybridMultilevel"/>
    <w:lvl w:ilvl="0">
      <w:lvlJc w:val="left"/>
      <w:lvlText w:val="9"/>
      <w:numFmt w:val="bullet"/>
      <w:start w:val="1"/>
    </w:lvl>
  </w:abstractNum>
  <w:abstractNum w:abstractNumId="40">
    <w:nsid w:val="32FFF902"/>
    <w:multiLevelType w:val="hybridMultilevel"/>
    <w:lvl w:ilvl="0">
      <w:lvlJc w:val="left"/>
      <w:lvlText w:val="%1"/>
      <w:numFmt w:val="decimal"/>
      <w:start w:val="1"/>
    </w:lvl>
    <w:lvl w:ilvl="1">
      <w:lvlJc w:val="left"/>
      <w:lvlText w:val="%2"/>
      <w:numFmt w:val="decimal"/>
      <w:start w:val="10"/>
    </w:lvl>
  </w:abstractNum>
  <w:abstractNum w:abstractNumId="41">
    <w:nsid w:val="684A481A"/>
    <w:multiLevelType w:val="hybridMultilevel"/>
    <w:lvl w:ilvl="0">
      <w:lvlJc w:val="left"/>
      <w:lvlText w:val="(%1)"/>
      <w:numFmt w:val="decimal"/>
      <w:start w:val="1"/>
    </w:lvl>
    <w:lvl w:ilvl="1">
      <w:lvlJc w:val="left"/>
      <w:lvlText w:val="%2"/>
      <w:numFmt w:val="decimal"/>
      <w:start w:val="1"/>
    </w:lvl>
  </w:abstractNum>
  <w:abstractNum w:abstractNumId="42">
    <w:nsid w:val="579478FE"/>
    <w:multiLevelType w:val="hybridMultilevel"/>
    <w:lvl w:ilvl="0">
      <w:lvlJc w:val="left"/>
      <w:lvlText w:val="1"/>
      <w:numFmt w:val="bullet"/>
      <w:start w:val="1"/>
    </w:lvl>
  </w:abstractNum>
  <w:abstractNum w:abstractNumId="43">
    <w:nsid w:val="749ABB43"/>
    <w:multiLevelType w:val="hybridMultilevel"/>
    <w:lvl w:ilvl="0">
      <w:lvlJc w:val="left"/>
      <w:lvlText w:val="2"/>
      <w:numFmt w:val="bullet"/>
      <w:start w:val="1"/>
    </w:lvl>
  </w:abstractNum>
  <w:abstractNum w:abstractNumId="44">
    <w:nsid w:val="3DC240FB"/>
    <w:multiLevelType w:val="hybridMultilevel"/>
    <w:lvl w:ilvl="0">
      <w:lvlJc w:val="left"/>
      <w:lvlText w:val="3"/>
      <w:numFmt w:val="bullet"/>
      <w:start w:val="1"/>
    </w:lvl>
  </w:abstractNum>
  <w:abstractNum w:abstractNumId="45">
    <w:nsid w:val="1BA026FA"/>
    <w:multiLevelType w:val="hybridMultilevel"/>
    <w:lvl w:ilvl="0">
      <w:lvlJc w:val="left"/>
      <w:lvlText w:val="4"/>
      <w:numFmt w:val="bullet"/>
      <w:start w:val="1"/>
    </w:lvl>
  </w:abstractNum>
  <w:abstractNum w:abstractNumId="46">
    <w:nsid w:val="79A1DEAA"/>
    <w:multiLevelType w:val="hybridMultilevel"/>
    <w:lvl w:ilvl="0">
      <w:lvlJc w:val="left"/>
      <w:lvlText w:val="8"/>
      <w:numFmt w:val="bullet"/>
      <w:start w:val="1"/>
    </w:lvl>
  </w:abstractNum>
  <w:abstractNum w:abstractNumId="47">
    <w:nsid w:val="75C6C33A"/>
    <w:multiLevelType w:val="hybridMultilevel"/>
    <w:lvl w:ilvl="0">
      <w:lvlJc w:val="left"/>
      <w:lvlText w:val="9"/>
      <w:numFmt w:val="bullet"/>
      <w:start w:val="1"/>
    </w:lvl>
  </w:abstractNum>
  <w:abstractNum w:abstractNumId="48">
    <w:nsid w:val="12E685FB"/>
    <w:multiLevelType w:val="hybridMultilevel"/>
    <w:lvl w:ilvl="0">
      <w:lvlJc w:val="left"/>
      <w:lvlText w:val="%1"/>
      <w:numFmt w:val="decimal"/>
      <w:start w:val="1"/>
    </w:lvl>
    <w:lvl w:ilvl="1">
      <w:lvlJc w:val="left"/>
      <w:lvlText w:val="%2"/>
      <w:numFmt w:val="decimal"/>
      <w:start w:val="10"/>
    </w:lvl>
  </w:abstractNum>
  <w:abstractNum w:abstractNumId="49">
    <w:nsid w:val="70C6A529"/>
    <w:multiLevelType w:val="hybridMultilevel"/>
    <w:lvl w:ilvl="0">
      <w:lvlJc w:val="left"/>
      <w:lvlText w:val="(%1)"/>
      <w:numFmt w:val="decimal"/>
      <w:start w:val="1"/>
    </w:lvl>
    <w:lvl w:ilvl="1">
      <w:lvlJc w:val="left"/>
      <w:lvlText w:val="%2"/>
      <w:numFmt w:val="decimal"/>
      <w:start w:val="1"/>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1"/>
    </w:lvl>
    <w:lvl w:ilvl="1">
      <w:lvlJc w:val="left"/>
      <w:lvlText w:val="(%2)"/>
      <w:numFmt w:val="lowerRoman"/>
      <w:start w:val="1"/>
    </w:lvl>
  </w:abstractNum>
  <w:abstractNum w:abstractNumId="52">
    <w:nsid w:val="4F4EF005"/>
    <w:multiLevelType w:val="hybridMultilevel"/>
    <w:lvl w:ilvl="0">
      <w:lvlJc w:val="left"/>
      <w:lvlText w:val="(%1)"/>
      <w:numFmt w:val="lowerLetter"/>
      <w:start w:val="4"/>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3"/>
    </w:lvl>
  </w:abstractNum>
  <w:abstractNum w:abstractNumId="55">
    <w:nsid w:val="275AC794"/>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2022-02-14T16:50:03Z</dcterms:created>
  <dcterms:modified xsi:type="dcterms:W3CDTF">2022-02-14T16:50:03Z</dcterms:modified>
</cp:coreProperties>
</file>