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31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jc w:val="center"/>
        <w:ind w:right="199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160"/>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ind w:left="2860"/>
        <w:spacing w:after="0"/>
        <w:rPr>
          <w:sz w:val="20"/>
          <w:szCs w:val="20"/>
          <w:color w:val="auto"/>
        </w:rPr>
      </w:pPr>
      <w:r>
        <w:rPr>
          <w:rFonts w:ascii="Courier New" w:cs="Courier New" w:eastAsia="Courier New" w:hAnsi="Courier New"/>
          <w:sz w:val="18"/>
          <w:szCs w:val="18"/>
          <w:color w:val="auto"/>
        </w:rPr>
        <w:t>PURSUANT TO RULE 13d-2(b)</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Active Power,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par value $0.001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00504W100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2006</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left="540"/>
        <w:spacing w:after="0"/>
        <w:tabs>
          <w:tab w:leader="none" w:pos="1680" w:val="left"/>
          <w:tab w:leader="none" w:pos="3040" w:val="left"/>
          <w:tab w:leader="none" w:pos="3880" w:val="left"/>
          <w:tab w:leader="none" w:pos="5040" w:val="left"/>
          <w:tab w:leader="none" w:pos="6100" w:val="left"/>
        </w:tabs>
        <w:rPr>
          <w:sz w:val="20"/>
          <w:szCs w:val="20"/>
          <w:color w:val="auto"/>
        </w:rPr>
      </w:pPr>
      <w:r>
        <w:rPr>
          <w:rFonts w:ascii="Courier New" w:cs="Courier New" w:eastAsia="Courier New" w:hAnsi="Courier New"/>
          <w:sz w:val="18"/>
          <w:szCs w:val="18"/>
          <w:color w:val="auto"/>
        </w:rPr>
        <w:t>Check the</w:t>
        <w:tab/>
        <w:t>appropriate</w:t>
        <w:tab/>
        <w:t>box to</w:t>
        <w:tab/>
        <w:t>designate</w:t>
        <w:tab/>
        <w:t>the rule</w:t>
      </w:r>
      <w:r>
        <w:rPr>
          <w:sz w:val="20"/>
          <w:szCs w:val="20"/>
          <w:color w:val="auto"/>
        </w:rPr>
        <w:tab/>
      </w:r>
      <w:r>
        <w:rPr>
          <w:rFonts w:ascii="Courier New" w:cs="Courier New" w:eastAsia="Courier New" w:hAnsi="Courier New"/>
          <w:sz w:val="16"/>
          <w:szCs w:val="16"/>
          <w:color w:val="auto"/>
        </w:rPr>
        <w:t>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left="1060" w:right="7259" w:firstLine="1"/>
        <w:spacing w:after="0" w:line="558" w:lineRule="auto"/>
        <w:tabs>
          <w:tab w:leader="none" w:pos="1587"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 ] Rule 13d-1(d)</w:t>
      </w:r>
    </w:p>
    <w:p>
      <w:pPr>
        <w:spacing w:after="0" w:line="16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jc w:val="both"/>
        <w:ind w:left="540" w:right="1779" w:hanging="532"/>
        <w:spacing w:after="0" w:line="237"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00504W100</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540" w:right="35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Sound Energy Partners, Inc.</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[X]</w:t>
      </w:r>
    </w:p>
    <w:p>
      <w:pPr>
        <w:spacing w:after="0" w:line="200"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ind w:left="540" w:right="7899" w:hanging="532"/>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1" w:lineRule="exact"/>
        <w:rPr>
          <w:rFonts w:ascii="Courier New" w:cs="Courier New" w:eastAsia="Courier New" w:hAnsi="Courier New"/>
          <w:sz w:val="18"/>
          <w:szCs w:val="18"/>
          <w:color w:val="auto"/>
        </w:rPr>
      </w:pPr>
    </w:p>
    <w:p>
      <w:pPr>
        <w:ind w:left="540" w:right="7679" w:hanging="532"/>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5,001,148</w:t>
      </w:r>
    </w:p>
    <w:p>
      <w:pPr>
        <w:spacing w:after="0" w:line="11" w:lineRule="exact"/>
        <w:rPr>
          <w:rFonts w:ascii="Courier New" w:cs="Courier New" w:eastAsia="Courier New" w:hAnsi="Courier New"/>
          <w:sz w:val="18"/>
          <w:szCs w:val="18"/>
          <w:color w:val="auto"/>
        </w:rPr>
      </w:pPr>
    </w:p>
    <w:p>
      <w:pPr>
        <w:ind w:left="540" w:right="7359" w:hanging="532"/>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540" w:right="7159" w:hanging="532"/>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5,001,148</w:t>
      </w:r>
    </w:p>
    <w:p>
      <w:pPr>
        <w:spacing w:after="0" w:line="11" w:lineRule="exact"/>
        <w:rPr>
          <w:rFonts w:ascii="Courier New" w:cs="Courier New" w:eastAsia="Courier New" w:hAnsi="Courier New"/>
          <w:sz w:val="18"/>
          <w:szCs w:val="18"/>
          <w:color w:val="auto"/>
        </w:rPr>
      </w:pPr>
    </w:p>
    <w:p>
      <w:pPr>
        <w:ind w:left="540" w:right="3359" w:hanging="532"/>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5,001,148</w:t>
      </w:r>
    </w:p>
    <w:p>
      <w:pPr>
        <w:spacing w:after="0" w:line="11" w:lineRule="exact"/>
        <w:rPr>
          <w:rFonts w:ascii="Courier New" w:cs="Courier New" w:eastAsia="Courier New" w:hAnsi="Courier New"/>
          <w:sz w:val="18"/>
          <w:szCs w:val="18"/>
          <w:color w:val="auto"/>
        </w:rPr>
      </w:pPr>
    </w:p>
    <w:p>
      <w:pPr>
        <w:ind w:left="7380" w:right="2419" w:hanging="7372"/>
        <w:spacing w:after="0" w:line="399" w:lineRule="auto"/>
        <w:tabs>
          <w:tab w:leader="none" w:pos="53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[_]</w:t>
      </w:r>
    </w:p>
    <w:p>
      <w:pPr>
        <w:spacing w:after="0" w:line="200" w:lineRule="exact"/>
        <w:rPr>
          <w:rFonts w:ascii="Courier New" w:cs="Courier New" w:eastAsia="Courier New" w:hAnsi="Courier New"/>
          <w:sz w:val="16"/>
          <w:szCs w:val="16"/>
          <w:color w:val="auto"/>
        </w:rPr>
      </w:pPr>
    </w:p>
    <w:p>
      <w:pPr>
        <w:spacing w:after="0" w:line="308" w:lineRule="exact"/>
        <w:rPr>
          <w:rFonts w:ascii="Courier New" w:cs="Courier New" w:eastAsia="Courier New" w:hAnsi="Courier New"/>
          <w:sz w:val="16"/>
          <w:szCs w:val="16"/>
          <w:color w:val="auto"/>
        </w:rPr>
      </w:pPr>
    </w:p>
    <w:p>
      <w:pPr>
        <w:ind w:left="540" w:right="4739" w:hanging="532"/>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10.00%</w:t>
      </w:r>
    </w:p>
    <w:p>
      <w:pPr>
        <w:spacing w:after="0" w:line="11"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ectPr>
          <w:pgSz w:w="11900" w:h="16838" w:orient="portrait"/>
          <w:cols w:equalWidth="0" w:num="1">
            <w:col w:w="10219"/>
          </w:cols>
          <w:pgMar w:left="240" w:top="33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00504W100</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540" w:right="35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Southport Energy Plus Partners, L.P.</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[X]</w:t>
      </w:r>
    </w:p>
    <w:p>
      <w:pPr>
        <w:spacing w:after="0" w:line="200"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540" w:right="5899" w:hanging="532"/>
        <w:spacing w:after="0" w:line="470"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ind w:left="540" w:right="7899" w:hanging="532"/>
        <w:spacing w:after="0" w:line="470"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1" w:lineRule="exact"/>
        <w:rPr>
          <w:rFonts w:ascii="Courier New" w:cs="Courier New" w:eastAsia="Courier New" w:hAnsi="Courier New"/>
          <w:sz w:val="18"/>
          <w:szCs w:val="18"/>
          <w:color w:val="auto"/>
        </w:rPr>
      </w:pPr>
    </w:p>
    <w:p>
      <w:pPr>
        <w:ind w:left="540" w:right="7679" w:hanging="532"/>
        <w:spacing w:after="0" w:line="470"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2,323,900</w:t>
      </w:r>
    </w:p>
    <w:p>
      <w:pPr>
        <w:spacing w:after="0" w:line="11" w:lineRule="exact"/>
        <w:rPr>
          <w:rFonts w:ascii="Courier New" w:cs="Courier New" w:eastAsia="Courier New" w:hAnsi="Courier New"/>
          <w:sz w:val="18"/>
          <w:szCs w:val="18"/>
          <w:color w:val="auto"/>
        </w:rPr>
      </w:pPr>
    </w:p>
    <w:p>
      <w:pPr>
        <w:ind w:left="540" w:right="7359" w:hanging="532"/>
        <w:spacing w:after="0" w:line="470"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540" w:right="7159" w:hanging="532"/>
        <w:spacing w:after="0" w:line="470"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2,323,900</w:t>
      </w:r>
    </w:p>
    <w:p>
      <w:pPr>
        <w:spacing w:after="0" w:line="11" w:lineRule="exact"/>
        <w:rPr>
          <w:rFonts w:ascii="Courier New" w:cs="Courier New" w:eastAsia="Courier New" w:hAnsi="Courier New"/>
          <w:sz w:val="18"/>
          <w:szCs w:val="18"/>
          <w:color w:val="auto"/>
        </w:rPr>
      </w:pPr>
    </w:p>
    <w:p>
      <w:pPr>
        <w:ind w:left="540" w:right="3359" w:hanging="532"/>
        <w:spacing w:after="0" w:line="470"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2,323,900</w:t>
      </w:r>
    </w:p>
    <w:p>
      <w:pPr>
        <w:spacing w:after="0" w:line="11" w:lineRule="exact"/>
        <w:rPr>
          <w:rFonts w:ascii="Courier New" w:cs="Courier New" w:eastAsia="Courier New" w:hAnsi="Courier New"/>
          <w:sz w:val="18"/>
          <w:szCs w:val="18"/>
          <w:color w:val="auto"/>
        </w:rPr>
      </w:pPr>
    </w:p>
    <w:p>
      <w:pPr>
        <w:ind w:left="7380" w:right="2419" w:hanging="7372"/>
        <w:spacing w:after="0" w:line="399" w:lineRule="auto"/>
        <w:tabs>
          <w:tab w:leader="none" w:pos="53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[_]</w:t>
      </w:r>
    </w:p>
    <w:p>
      <w:pPr>
        <w:spacing w:after="0" w:line="200" w:lineRule="exact"/>
        <w:rPr>
          <w:rFonts w:ascii="Courier New" w:cs="Courier New" w:eastAsia="Courier New" w:hAnsi="Courier New"/>
          <w:sz w:val="16"/>
          <w:szCs w:val="16"/>
          <w:color w:val="auto"/>
        </w:rPr>
      </w:pPr>
    </w:p>
    <w:p>
      <w:pPr>
        <w:spacing w:after="0" w:line="308" w:lineRule="exact"/>
        <w:rPr>
          <w:rFonts w:ascii="Courier New" w:cs="Courier New" w:eastAsia="Courier New" w:hAnsi="Courier New"/>
          <w:sz w:val="16"/>
          <w:szCs w:val="16"/>
          <w:color w:val="auto"/>
        </w:rPr>
      </w:pPr>
    </w:p>
    <w:p>
      <w:pPr>
        <w:ind w:left="540" w:right="4739" w:hanging="532"/>
        <w:spacing w:after="0" w:line="470"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4.65%</w:t>
      </w:r>
    </w:p>
    <w:p>
      <w:pPr>
        <w:spacing w:after="0" w:line="11"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PN</w:t>
      </w:r>
    </w:p>
    <w:p>
      <w:pPr>
        <w:sectPr>
          <w:pgSz w:w="11900" w:h="16838" w:orient="portrait"/>
          <w:cols w:equalWidth="0" w:num="1">
            <w:col w:w="10219"/>
          </w:cols>
          <w:pgMar w:left="240" w:top="717" w:right="1440" w:bottom="1440" w:gutter="0" w:footer="0" w:header="0"/>
        </w:sectPr>
      </w:pPr>
    </w:p>
    <w:bookmarkStart w:id="3" w:name="page4"/>
    <w:bookmarkEnd w:id="3"/>
    <w:p>
      <w:pPr>
        <w:jc w:val="right"/>
        <w:ind w:right="8219"/>
        <w:spacing w:after="0"/>
        <w:rPr>
          <w:sz w:val="20"/>
          <w:szCs w:val="20"/>
          <w:color w:val="auto"/>
        </w:rPr>
      </w:pPr>
      <w:r>
        <w:rPr>
          <w:rFonts w:ascii="Courier New" w:cs="Courier New" w:eastAsia="Courier New" w:hAnsi="Courier New"/>
          <w:sz w:val="16"/>
          <w:szCs w:val="16"/>
          <w:color w:val="auto"/>
        </w:rPr>
        <w:t>CUSIP No. 00504W100</w:t>
      </w:r>
    </w:p>
    <w:p>
      <w:pPr>
        <w:spacing w:after="0" w:line="16" w:lineRule="exact"/>
        <w:rPr>
          <w:sz w:val="20"/>
          <w:szCs w:val="20"/>
          <w:color w:val="auto"/>
        </w:rPr>
      </w:pPr>
    </w:p>
    <w:p>
      <w:pPr>
        <w:jc w:val="right"/>
        <w:ind w:right="8219"/>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25"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0"/>
          <w:szCs w:val="20"/>
          <w:color w:val="auto"/>
        </w:rPr>
      </w:pPr>
    </w:p>
    <w:p>
      <w:pPr>
        <w:sectPr>
          <w:pgSz w:w="11900" w:h="16838" w:orient="portrait"/>
          <w:cols w:equalWidth="0" w:num="2">
            <w:col w:w="1060" w:space="220"/>
            <w:col w:w="8939"/>
          </w:cols>
          <w:pgMar w:left="240" w:top="925" w:right="1440" w:bottom="0" w:gutter="0" w:footer="0" w:header="0"/>
          <w:type w:val="continuous"/>
        </w:sectPr>
      </w:pPr>
    </w:p>
    <w:p>
      <w:pPr>
        <w:spacing w:after="0" w:line="22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Active Power, Inc.</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25"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ectPr>
          <w:pgSz w:w="11900" w:h="16838" w:orient="portrait"/>
          <w:cols w:equalWidth="0" w:num="2">
            <w:col w:w="1060" w:space="220"/>
            <w:col w:w="8939"/>
          </w:cols>
          <w:pgMar w:left="240" w:top="925" w:right="1440" w:bottom="0" w:gutter="0" w:footer="0" w:header="0"/>
          <w:type w:val="continuous"/>
        </w:sectPr>
      </w:pPr>
    </w:p>
    <w:p>
      <w:pPr>
        <w:spacing w:after="0" w:line="22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2128 W. Braker Lane, BK12</w:t>
      </w:r>
    </w:p>
    <w:p>
      <w:pPr>
        <w:ind w:left="1280"/>
        <w:spacing w:after="0" w:line="238" w:lineRule="auto"/>
        <w:rPr>
          <w:sz w:val="20"/>
          <w:szCs w:val="20"/>
          <w:color w:val="auto"/>
        </w:rPr>
      </w:pPr>
      <w:r>
        <w:rPr>
          <w:rFonts w:ascii="Courier New" w:cs="Courier New" w:eastAsia="Courier New" w:hAnsi="Courier New"/>
          <w:sz w:val="18"/>
          <w:szCs w:val="18"/>
          <w:color w:val="auto"/>
        </w:rPr>
        <w:t>Austin, Texas 78758</w:t>
      </w: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25" w:right="1440" w:bottom="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0"/>
          <w:szCs w:val="20"/>
          <w:color w:val="auto"/>
        </w:rPr>
      </w:pPr>
    </w:p>
    <w:p>
      <w:pPr>
        <w:sectPr>
          <w:pgSz w:w="11900" w:h="16838" w:orient="portrait"/>
          <w:cols w:equalWidth="0" w:num="2">
            <w:col w:w="1060" w:space="220"/>
            <w:col w:w="8939"/>
          </w:cols>
          <w:pgMar w:left="240" w:top="925" w:right="1440" w:bottom="0" w:gutter="0" w:footer="0" w:header="0"/>
          <w:type w:val="continuous"/>
        </w:sectPr>
      </w:pPr>
    </w:p>
    <w:p>
      <w:pPr>
        <w:spacing w:after="0" w:line="226" w:lineRule="exact"/>
        <w:rPr>
          <w:sz w:val="20"/>
          <w:szCs w:val="20"/>
          <w:color w:val="auto"/>
        </w:rPr>
      </w:pPr>
    </w:p>
    <w:p>
      <w:pPr>
        <w:ind w:left="1280" w:right="1779"/>
        <w:spacing w:after="0" w:line="290" w:lineRule="auto"/>
        <w:rPr>
          <w:sz w:val="20"/>
          <w:szCs w:val="20"/>
          <w:color w:val="auto"/>
        </w:rPr>
      </w:pPr>
      <w:r>
        <w:rPr>
          <w:rFonts w:ascii="Courier New" w:cs="Courier New" w:eastAsia="Courier New" w:hAnsi="Courier New"/>
          <w:sz w:val="16"/>
          <w:szCs w:val="16"/>
          <w:color w:val="auto"/>
        </w:rPr>
        <w:t>Sound Energy Partners, Inc.; Southport Energy Plus Partners, L.P. --------------------------------------------------------------------</w:t>
      </w:r>
    </w:p>
    <w:p>
      <w:pPr>
        <w:sectPr>
          <w:pgSz w:w="11900" w:h="16838" w:orient="portrait"/>
          <w:cols w:equalWidth="0" w:num="1">
            <w:col w:w="10219"/>
          </w:cols>
          <w:pgMar w:left="240" w:top="925" w:right="1440" w:bottom="0" w:gutter="0" w:footer="0" w:header="0"/>
          <w:type w:val="continuous"/>
        </w:sectPr>
      </w:pP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ectPr>
          <w:pgSz w:w="11900" w:h="16838" w:orient="portrait"/>
          <w:cols w:equalWidth="0" w:num="2">
            <w:col w:w="1060" w:space="220"/>
            <w:col w:w="8939"/>
          </w:cols>
          <w:pgMar w:left="240" w:top="925" w:right="1440" w:bottom="0" w:gutter="0" w:footer="0" w:header="0"/>
          <w:type w:val="continuous"/>
        </w:sectPr>
      </w:pPr>
    </w:p>
    <w:p>
      <w:pPr>
        <w:spacing w:after="0" w:line="22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354 Pequot Avenue</w:t>
      </w:r>
    </w:p>
    <w:p>
      <w:pPr>
        <w:ind w:left="1280"/>
        <w:spacing w:after="0" w:line="238" w:lineRule="auto"/>
        <w:rPr>
          <w:sz w:val="20"/>
          <w:szCs w:val="20"/>
          <w:color w:val="auto"/>
        </w:rPr>
      </w:pPr>
      <w:r>
        <w:rPr>
          <w:rFonts w:ascii="Courier New" w:cs="Courier New" w:eastAsia="Courier New" w:hAnsi="Courier New"/>
          <w:sz w:val="18"/>
          <w:szCs w:val="18"/>
          <w:color w:val="auto"/>
        </w:rPr>
        <w:t>Southport, Connecticut 06890</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25"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0"/>
          <w:szCs w:val="20"/>
          <w:color w:val="auto"/>
        </w:rPr>
      </w:pPr>
    </w:p>
    <w:p>
      <w:pPr>
        <w:sectPr>
          <w:pgSz w:w="11900" w:h="16838" w:orient="portrait"/>
          <w:cols w:equalWidth="0" w:num="2">
            <w:col w:w="1060" w:space="220"/>
            <w:col w:w="8939"/>
          </w:cols>
          <w:pgMar w:left="240" w:top="925" w:right="1440" w:bottom="0" w:gutter="0" w:footer="0" w:header="0"/>
          <w:type w:val="continuous"/>
        </w:sectPr>
      </w:pPr>
    </w:p>
    <w:p>
      <w:pPr>
        <w:spacing w:after="0" w:line="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25"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0"/>
          <w:szCs w:val="20"/>
          <w:color w:val="auto"/>
        </w:rPr>
      </w:pPr>
    </w:p>
    <w:p>
      <w:pPr>
        <w:sectPr>
          <w:pgSz w:w="11900" w:h="16838" w:orient="portrait"/>
          <w:cols w:equalWidth="0" w:num="2">
            <w:col w:w="1060" w:space="220"/>
            <w:col w:w="8939"/>
          </w:cols>
          <w:pgMar w:left="240" w:top="925" w:right="1440" w:bottom="0" w:gutter="0" w:footer="0" w:header="0"/>
          <w:type w:val="continuous"/>
        </w:sectPr>
      </w:pPr>
    </w:p>
    <w:p>
      <w:pPr>
        <w:spacing w:after="0" w:line="226" w:lineRule="exact"/>
        <w:rPr>
          <w:sz w:val="20"/>
          <w:szCs w:val="20"/>
          <w:color w:val="auto"/>
        </w:rPr>
      </w:pPr>
    </w:p>
    <w:p>
      <w:pPr>
        <w:ind w:left="1280" w:right="1779"/>
        <w:spacing w:after="0" w:line="235" w:lineRule="auto"/>
        <w:rPr>
          <w:sz w:val="20"/>
          <w:szCs w:val="20"/>
          <w:color w:val="auto"/>
        </w:rPr>
      </w:pPr>
      <w:r>
        <w:rPr>
          <w:rFonts w:ascii="Courier New" w:cs="Courier New" w:eastAsia="Courier New" w:hAnsi="Courier New"/>
          <w:sz w:val="18"/>
          <w:szCs w:val="18"/>
          <w:color w:val="auto"/>
        </w:rPr>
        <w:t>Common Stock, par value $0.001 per share --------------------------------------------------------------------</w:t>
      </w:r>
    </w:p>
    <w:p>
      <w:pPr>
        <w:sectPr>
          <w:pgSz w:w="11900" w:h="16838" w:orient="portrait"/>
          <w:cols w:equalWidth="0" w:num="1">
            <w:col w:w="10219"/>
          </w:cols>
          <w:pgMar w:left="240" w:top="925" w:right="1440" w:bottom="0" w:gutter="0" w:footer="0" w:header="0"/>
          <w:type w:val="continuous"/>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0"/>
          <w:szCs w:val="20"/>
          <w:color w:val="auto"/>
        </w:rPr>
      </w:pPr>
    </w:p>
    <w:p>
      <w:pPr>
        <w:sectPr>
          <w:pgSz w:w="11900" w:h="16838" w:orient="portrait"/>
          <w:cols w:equalWidth="0" w:num="2">
            <w:col w:w="1060" w:space="220"/>
            <w:col w:w="8939"/>
          </w:cols>
          <w:pgMar w:left="240" w:top="925" w:right="1440" w:bottom="0" w:gutter="0" w:footer="0" w:header="0"/>
          <w:type w:val="continuous"/>
        </w:sectPr>
      </w:pPr>
    </w:p>
    <w:p>
      <w:pPr>
        <w:spacing w:after="0" w:line="22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00504W100</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25" w:right="1440" w:bottom="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tabs>
          <w:tab w:leader="none" w:pos="1980" w:val="left"/>
          <w:tab w:leader="none" w:pos="3020" w:val="left"/>
          <w:tab w:leader="none" w:pos="4400" w:val="left"/>
        </w:tabs>
        <w:rPr>
          <w:sz w:val="20"/>
          <w:szCs w:val="20"/>
          <w:color w:val="auto"/>
        </w:rPr>
      </w:pPr>
      <w:r>
        <w:rPr>
          <w:rFonts w:ascii="Courier New" w:cs="Courier New" w:eastAsia="Courier New" w:hAnsi="Courier New"/>
          <w:sz w:val="18"/>
          <w:szCs w:val="18"/>
          <w:color w:val="auto"/>
        </w:rPr>
        <w:t>If This Statement</w:t>
        <w:tab/>
        <w:t>is Filed</w:t>
        <w:tab/>
        <w:t>Pursuant to</w:t>
      </w:r>
      <w:r>
        <w:rPr>
          <w:sz w:val="20"/>
          <w:szCs w:val="20"/>
          <w:color w:val="auto"/>
        </w:rPr>
        <w:tab/>
      </w:r>
      <w:r>
        <w:rPr>
          <w:rFonts w:ascii="Courier New" w:cs="Courier New" w:eastAsia="Courier New" w:hAnsi="Courier New"/>
          <w:sz w:val="16"/>
          <w:szCs w:val="16"/>
          <w:color w:val="auto"/>
        </w:rPr>
        <w:t>Rule 13d-1(b), or 13d-2(b)</w:t>
      </w:r>
    </w:p>
    <w:p>
      <w:pPr>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0" w:lineRule="exact"/>
        <w:rPr>
          <w:sz w:val="20"/>
          <w:szCs w:val="20"/>
          <w:color w:val="auto"/>
        </w:rPr>
      </w:pPr>
    </w:p>
    <w:p>
      <w:pPr>
        <w:sectPr>
          <w:pgSz w:w="11900" w:h="16838" w:orient="portrait"/>
          <w:cols w:equalWidth="0" w:num="2">
            <w:col w:w="740" w:space="540"/>
            <w:col w:w="8939"/>
          </w:cols>
          <w:pgMar w:left="240" w:top="925" w:right="1440" w:bottom="0" w:gutter="0" w:footer="0" w:header="0"/>
          <w:type w:val="continuous"/>
        </w:sectPr>
      </w:pPr>
    </w:p>
    <w:p>
      <w:pPr>
        <w:spacing w:after="0" w:line="7" w:lineRule="exact"/>
        <w:rPr>
          <w:sz w:val="20"/>
          <w:szCs w:val="20"/>
          <w:color w:val="auto"/>
        </w:rPr>
      </w:pPr>
    </w:p>
    <w:p>
      <w:pPr>
        <w:ind w:left="1060" w:hanging="525"/>
        <w:spacing w:after="0"/>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Broker or dealer registered under Section 15 of the Exchange Act.</w:t>
      </w:r>
    </w:p>
    <w:p>
      <w:pPr>
        <w:spacing w:after="0" w:line="218"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Exchange Act.</w:t>
      </w:r>
    </w:p>
    <w:p>
      <w:pPr>
        <w:spacing w:after="0" w:line="206"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Exchange Act.</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580" w:right="1779" w:hanging="1045"/>
        <w:spacing w:after="0" w:line="235"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580" w:right="1779" w:hanging="1045"/>
        <w:spacing w:after="0" w:line="236"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w:t>
      </w:r>
    </w:p>
    <w:p>
      <w:pPr>
        <w:sectPr>
          <w:pgSz w:w="11900" w:h="16838" w:orient="portrait"/>
          <w:cols w:equalWidth="0" w:num="1">
            <w:col w:w="10219"/>
          </w:cols>
          <w:pgMar w:left="240" w:top="925" w:right="1440" w:bottom="0" w:gutter="0" w:footer="0" w:header="0"/>
          <w:type w:val="continuous"/>
        </w:sectPr>
      </w:pPr>
    </w:p>
    <w:bookmarkStart w:id="4" w:name="page5"/>
    <w:bookmarkEnd w:id="4"/>
    <w:p>
      <w:pPr>
        <w:ind w:right="3359" w:firstLine="535"/>
        <w:spacing w:after="0" w:line="470"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13d-1(b)(1)(ii)(J). Item 4. Ownership.</w:t>
      </w:r>
    </w:p>
    <w:p>
      <w:pPr>
        <w:spacing w:after="0" w:line="12"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1280" w:hanging="535"/>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5,001,148</w:t>
      </w:r>
    </w:p>
    <w:p>
      <w:pPr>
        <w:spacing w:after="0" w:line="4"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10.00%</w:t>
      </w:r>
    </w:p>
    <w:p>
      <w:pPr>
        <w:spacing w:after="0" w:line="4"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219"/>
          </w:cols>
          <w:pgMar w:left="240" w:top="344" w:right="1440" w:bottom="0" w:gutter="0" w:footer="0" w:header="0"/>
        </w:sectPr>
      </w:pPr>
    </w:p>
    <w:p>
      <w:pPr>
        <w:spacing w:after="0" w:line="207"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6"/>
          <w:szCs w:val="16"/>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900" w:space="220"/>
            <w:col w:w="4099"/>
          </w:cols>
          <w:pgMar w:left="240" w:top="344" w:right="1440" w:bottom="0" w:gutter="0" w:footer="0" w:header="0"/>
          <w:type w:val="continuous"/>
        </w:sectPr>
      </w:pPr>
    </w:p>
    <w:p>
      <w:pPr>
        <w:spacing w:after="0" w:line="18"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power to vote or to direct the vote</w:t>
      </w:r>
    </w:p>
    <w:p>
      <w:pPr>
        <w:spacing w:after="0" w:line="20" w:lineRule="exact"/>
        <w:rPr>
          <w:sz w:val="20"/>
          <w:szCs w:val="20"/>
          <w:color w:val="auto"/>
        </w:rPr>
      </w:pPr>
      <w:r>
        <w:rPr>
          <w:sz w:val="20"/>
          <w:szCs w:val="20"/>
          <w:color w:val="auto"/>
        </w:rPr>
        <w:br w:type="column"/>
      </w:r>
    </w:p>
    <w:p>
      <w:pPr>
        <w:ind w:left="1060"/>
        <w:spacing w:after="0"/>
        <w:rPr>
          <w:sz w:val="20"/>
          <w:szCs w:val="20"/>
          <w:color w:val="auto"/>
        </w:rPr>
      </w:pPr>
      <w:r>
        <w:rPr>
          <w:rFonts w:ascii="Courier New" w:cs="Courier New" w:eastAsia="Courier New" w:hAnsi="Courier New"/>
          <w:sz w:val="18"/>
          <w:szCs w:val="18"/>
          <w:color w:val="auto"/>
        </w:rPr>
        <w:t>5,001,148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120" w:space="0"/>
            <w:col w:w="4099"/>
          </w:cols>
          <w:pgMar w:left="240" w:top="344" w:right="1440" w:bottom="0" w:gutter="0" w:footer="0" w:header="0"/>
          <w:type w:val="continuous"/>
        </w:sectPr>
      </w:pPr>
    </w:p>
    <w:p>
      <w:pPr>
        <w:spacing w:after="0" w:line="24" w:lineRule="exact"/>
        <w:rPr>
          <w:sz w:val="20"/>
          <w:szCs w:val="20"/>
          <w:color w:val="auto"/>
        </w:rPr>
      </w:pPr>
    </w:p>
    <w:p>
      <w:pPr>
        <w:ind w:left="1700" w:hanging="631"/>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 w:lineRule="exact"/>
        <w:rPr>
          <w:sz w:val="20"/>
          <w:szCs w:val="20"/>
          <w:color w:val="auto"/>
        </w:rPr>
      </w:pPr>
      <w:r>
        <w:rPr>
          <w:sz w:val="20"/>
          <w:szCs w:val="20"/>
          <w:color w:val="auto"/>
        </w:rPr>
        <w:br w:type="column"/>
      </w:r>
    </w:p>
    <w:p>
      <w:pPr>
        <w:ind w:left="190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5" w:lineRule="exact"/>
        <w:rPr>
          <w:sz w:val="20"/>
          <w:szCs w:val="20"/>
          <w:color w:val="auto"/>
        </w:rPr>
      </w:pPr>
    </w:p>
    <w:p>
      <w:pPr>
        <w:sectPr>
          <w:pgSz w:w="11900" w:h="16838" w:orient="portrait"/>
          <w:cols w:equalWidth="0" w:num="2">
            <w:col w:w="5700" w:space="420"/>
            <w:col w:w="4099"/>
          </w:cols>
          <w:pgMar w:left="240" w:top="344" w:right="1440" w:bottom="0" w:gutter="0" w:footer="0" w:header="0"/>
          <w:type w:val="continuous"/>
        </w:sectPr>
      </w:pPr>
    </w:p>
    <w:p>
      <w:pPr>
        <w:spacing w:after="0" w:line="3"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6"/>
          <w:szCs w:val="16"/>
          <w:color w:val="auto"/>
        </w:rPr>
        <w:t>Shared power to dispose or to direct the</w:t>
      </w:r>
    </w:p>
    <w:p>
      <w:pPr>
        <w:ind w:left="1700"/>
        <w:spacing w:after="0" w:line="238" w:lineRule="auto"/>
        <w:rPr>
          <w:sz w:val="20"/>
          <w:szCs w:val="20"/>
          <w:color w:val="auto"/>
        </w:rPr>
      </w:pPr>
      <w:r>
        <w:rPr>
          <w:rFonts w:ascii="Courier New" w:cs="Courier New" w:eastAsia="Courier New" w:hAnsi="Courier New"/>
          <w:sz w:val="18"/>
          <w:szCs w:val="18"/>
          <w:color w:val="auto"/>
        </w:rPr>
        <w:t>disposition of</w:t>
      </w:r>
    </w:p>
    <w:p>
      <w:pPr>
        <w:sectPr>
          <w:pgSz w:w="11900" w:h="16838" w:orient="portrait"/>
          <w:cols w:equalWidth="0" w:num="1">
            <w:col w:w="10219"/>
          </w:cols>
          <w:pgMar w:left="240" w:top="344" w:right="1440" w:bottom="0" w:gutter="0" w:footer="0" w:header="0"/>
          <w:type w:val="continuous"/>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ind w:left="960"/>
        <w:spacing w:after="0"/>
        <w:rPr>
          <w:sz w:val="20"/>
          <w:szCs w:val="20"/>
          <w:color w:val="auto"/>
        </w:rPr>
      </w:pPr>
      <w:r>
        <w:rPr>
          <w:rFonts w:ascii="Courier New" w:cs="Courier New" w:eastAsia="Courier New" w:hAnsi="Courier New"/>
          <w:sz w:val="18"/>
          <w:szCs w:val="18"/>
          <w:color w:val="auto"/>
        </w:rPr>
        <w:t>5,001,148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2">
            <w:col w:w="5500" w:space="720"/>
            <w:col w:w="3999"/>
          </w:cols>
          <w:pgMar w:left="240" w:top="344" w:right="1440" w:bottom="0" w:gutter="0" w:footer="0" w:header="0"/>
          <w:type w:val="continuous"/>
        </w:sectPr>
      </w:pPr>
    </w:p>
    <w:p>
      <w:pPr>
        <w:spacing w:after="0" w:line="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Reporting Person specifically disclaims beneficial ownership in the securities reported herein except to the extent of its pecuniary interest therein.</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1280" w:right="2099"/>
        <w:spacing w:after="0" w:line="235" w:lineRule="auto"/>
        <w:rPr>
          <w:sz w:val="20"/>
          <w:szCs w:val="20"/>
          <w:color w:val="auto"/>
        </w:rPr>
      </w:pPr>
      <w:r>
        <w:rPr>
          <w:rFonts w:ascii="Courier New" w:cs="Courier New" w:eastAsia="Courier New" w:hAnsi="Courier New"/>
          <w:sz w:val="18"/>
          <w:szCs w:val="18"/>
          <w:color w:val="auto"/>
        </w:rPr>
        <w:t>South Port Energy Plus Partners, L.P. no longer beneficially owns more than five percent.</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jc w:val="both"/>
        <w:ind w:left="960" w:right="177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 w:leader="none" w:pos="2620" w:val="left"/>
          <w:tab w:leader="none" w:pos="3140" w:val="left"/>
          <w:tab w:leader="none" w:pos="4840" w:val="left"/>
        </w:tabs>
        <w:rPr>
          <w:sz w:val="20"/>
          <w:szCs w:val="20"/>
          <w:color w:val="auto"/>
        </w:rPr>
      </w:pPr>
      <w:r>
        <w:rPr>
          <w:rFonts w:ascii="Courier New" w:cs="Courier New" w:eastAsia="Courier New" w:hAnsi="Courier New"/>
          <w:sz w:val="18"/>
          <w:szCs w:val="18"/>
          <w:color w:val="auto"/>
        </w:rPr>
        <w:t>Item 8.</w:t>
        <w:tab/>
        <w:t>Identification</w:t>
        <w:tab/>
        <w:t>and</w:t>
        <w:tab/>
        <w:t>Classification</w:t>
      </w:r>
      <w:r>
        <w:rPr>
          <w:sz w:val="20"/>
          <w:szCs w:val="20"/>
          <w:color w:val="auto"/>
        </w:rPr>
        <w:tab/>
      </w:r>
      <w:r>
        <w:rPr>
          <w:rFonts w:ascii="Courier New" w:cs="Courier New" w:eastAsia="Courier New" w:hAnsi="Courier New"/>
          <w:sz w:val="16"/>
          <w:szCs w:val="16"/>
          <w:color w:val="auto"/>
        </w:rPr>
        <w:t>of Members of the Group.</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If a group has filed this schedule pursuant to s.240.13d-1(b)(1)(ii)(J), so</w:t>
      </w:r>
    </w:p>
    <w:p>
      <w:pPr>
        <w:sectPr>
          <w:pgSz w:w="11900" w:h="16838" w:orient="portrait"/>
          <w:cols w:equalWidth="0" w:num="1">
            <w:col w:w="10219"/>
          </w:cols>
          <w:pgMar w:left="240" w:top="344" w:right="1440" w:bottom="0" w:gutter="0" w:footer="0" w:header="0"/>
          <w:type w:val="continuous"/>
        </w:sectPr>
      </w:pPr>
    </w:p>
    <w:bookmarkStart w:id="5" w:name="page6"/>
    <w:bookmarkEnd w:id="5"/>
    <w:p>
      <w:pPr>
        <w:jc w:val="both"/>
        <w:ind w:right="1779"/>
        <w:spacing w:after="0" w:line="237" w:lineRule="auto"/>
        <w:rPr>
          <w:sz w:val="20"/>
          <w:szCs w:val="20"/>
          <w:color w:val="auto"/>
        </w:rPr>
      </w:pPr>
      <w:r>
        <w:rPr>
          <w:rFonts w:ascii="Courier New" w:cs="Courier New" w:eastAsia="Courier New" w:hAnsi="Courier New"/>
          <w:sz w:val="18"/>
          <w:szCs w:val="18"/>
          <w:color w:val="auto"/>
        </w:rPr>
        <w:t>indicate under Item 3(j) and attach an exhibit stating the identity and Item 3 classification of each member of the group. If a group has filed this schedule pursuant to s.240.13d-1(c) or s.240.13d-1(d), attach an exhibit stating the identity of each member of the group.</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142" w:right="1440" w:bottom="1440" w:gutter="0" w:footer="0" w:header="0"/>
        </w:sectPr>
      </w:pPr>
    </w:p>
    <w:bookmarkStart w:id="6" w:name="page7"/>
    <w:bookmarkEnd w:id="6"/>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SOUND ENERGY PARTNERS,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/s/Slavko Negulic</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SK 22214 0001 747010</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lvl w:ilvl="1">
      <w:lvlJc w:val="left"/>
      <w:lvlText w:val="[%2]"/>
      <w:numFmt w:val="upperLetter"/>
      <w:start w:val="24"/>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5"/>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3"/>
    </w:lvl>
  </w:abstractNum>
  <w:abstractNum w:abstractNumId="10">
    <w:nsid w:val="140E0F76"/>
    <w:multiLevelType w:val="hybridMultilevel"/>
    <w:lvl w:ilvl="0">
      <w:lvlJc w:val="left"/>
      <w:lvlText w:val="%1."/>
      <w:numFmt w:val="decimal"/>
      <w:start w:val="5"/>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0"/>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2019-12-14T18:16:37Z</dcterms:created>
  <dcterms:modified xsi:type="dcterms:W3CDTF">2019-12-14T18:16:37Z</dcterms:modified>
</cp:coreProperties>
</file>