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34" w:lineRule="exact"/>
        <w:rPr>
          <w:rFonts w:ascii="MS PGothic" w:cs="MS PGothic" w:eastAsia="MS PGothic" w:hAnsi="MS PGothic"/>
          <w:sz w:val="18"/>
          <w:szCs w:val="18"/>
          <w:color w:val="auto"/>
          <w:highlight w:val="black"/>
        </w:rPr>
      </w:pPr>
    </w:p>
    <w:p>
      <w:pPr>
        <w:ind w:left="36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September 30, 2023</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34"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001-40937</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4"/>
          <w:szCs w:val="24"/>
          <w:color w:val="auto"/>
        </w:rPr>
      </w:pPr>
    </w:p>
    <w:tbl>
      <w:tblPr>
        <w:tblLayout w:type="fixed"/>
        <w:tblInd w:w="1620" w:type="dxa"/>
        <w:tblCellMar>
          <w:top w:w="0" w:type="dxa"/>
          <w:left w:w="0" w:type="dxa"/>
          <w:bottom w:w="0" w:type="dxa"/>
          <w:right w:w="0" w:type="dxa"/>
        </w:tblCellMar>
      </w:tblPr>
      <w:tr>
        <w:trPr>
          <w:trHeight w:val="162"/>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4"/>
              </w:rPr>
              <w:t>Delaware</w:t>
            </w: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87-2908160</w:t>
            </w:r>
          </w:p>
        </w:tc>
      </w:tr>
      <w:tr>
        <w:trPr>
          <w:trHeight w:val="148"/>
        </w:trPr>
        <w:tc>
          <w:tcPr>
            <w:tcW w:w="6160" w:type="dxa"/>
            <w:vAlign w:val="bottom"/>
          </w:tcPr>
          <w:p>
            <w:pPr>
              <w:jc w:val="center"/>
              <w:ind w:right="368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12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2"/>
        </w:trPr>
        <w:tc>
          <w:tcPr>
            <w:tcW w:w="6160" w:type="dxa"/>
            <w:vAlign w:val="bottom"/>
          </w:tcPr>
          <w:p>
            <w:pPr>
              <w:jc w:val="center"/>
              <w:ind w:right="3688"/>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Identification No.)</w:t>
            </w:r>
          </w:p>
        </w:tc>
      </w:tr>
      <w:tr>
        <w:trPr>
          <w:trHeight w:val="149"/>
        </w:trPr>
        <w:tc>
          <w:tcPr>
            <w:tcW w:w="6160" w:type="dxa"/>
            <w:vAlign w:val="bottom"/>
          </w:tcPr>
          <w:p>
            <w:pPr>
              <w:jc w:val="center"/>
              <w:ind w:right="3708"/>
              <w:spacing w:after="0" w:line="149" w:lineRule="exact"/>
              <w:rPr>
                <w:sz w:val="20"/>
                <w:szCs w:val="20"/>
                <w:color w:val="auto"/>
              </w:rPr>
            </w:pPr>
            <w:r>
              <w:rPr>
                <w:rFonts w:ascii="Arial" w:cs="Arial" w:eastAsia="Arial" w:hAnsi="Arial"/>
                <w:sz w:val="14"/>
                <w:szCs w:val="14"/>
                <w:b w:val="1"/>
                <w:bCs w:val="1"/>
                <w:color w:val="auto"/>
                <w:w w:val="91"/>
              </w:rPr>
              <w:t>4514 Cole Ave, Suite 1600</w:t>
            </w:r>
          </w:p>
        </w:tc>
        <w:tc>
          <w:tcPr>
            <w:tcW w:w="12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75205</w:t>
            </w:r>
          </w:p>
        </w:tc>
      </w:tr>
      <w:tr>
        <w:trPr>
          <w:trHeight w:val="162"/>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8"/>
              </w:rPr>
              <w:t>Dallas, TX</w:t>
            </w:r>
          </w:p>
        </w:tc>
        <w:tc>
          <w:tcPr>
            <w:tcW w:w="1220" w:type="dxa"/>
            <w:vAlign w:val="bottom"/>
          </w:tcPr>
          <w:p>
            <w:pPr>
              <w:spacing w:after="0"/>
              <w:rPr>
                <w:sz w:val="14"/>
                <w:szCs w:val="14"/>
                <w:color w:val="auto"/>
              </w:rPr>
            </w:pPr>
          </w:p>
        </w:tc>
      </w:tr>
      <w:tr>
        <w:trPr>
          <w:trHeight w:val="162"/>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6160" w:type="dxa"/>
            <w:vAlign w:val="bottom"/>
          </w:tcPr>
          <w:p>
            <w:pPr>
              <w:ind w:left="1940"/>
              <w:spacing w:after="0"/>
              <w:rPr>
                <w:sz w:val="20"/>
                <w:szCs w:val="20"/>
                <w:color w:val="auto"/>
              </w:rPr>
            </w:pPr>
            <w:r>
              <w:rPr>
                <w:rFonts w:ascii="Arial" w:cs="Arial" w:eastAsia="Arial" w:hAnsi="Arial"/>
                <w:sz w:val="14"/>
                <w:szCs w:val="14"/>
                <w:b w:val="1"/>
                <w:bCs w:val="1"/>
                <w:color w:val="auto"/>
                <w:w w:val="93"/>
              </w:rPr>
              <w:t>Registrant’s telephone number, including area code: (214) 865-7998</w:t>
            </w:r>
          </w:p>
        </w:tc>
        <w:tc>
          <w:tcPr>
            <w:tcW w:w="1220" w:type="dxa"/>
            <w:vAlign w:val="bottom"/>
          </w:tcPr>
          <w:p>
            <w:pPr>
              <w:spacing w:after="0"/>
              <w:rPr>
                <w:sz w:val="16"/>
                <w:szCs w:val="16"/>
                <w:color w:val="auto"/>
              </w:rPr>
            </w:pPr>
          </w:p>
        </w:tc>
      </w:tr>
    </w:tbl>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ind w:left="19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20" w:type="dxa"/>
            <w:vAlign w:val="bottom"/>
          </w:tcPr>
          <w:p>
            <w:pPr>
              <w:spacing w:after="0"/>
              <w:rPr>
                <w:sz w:val="14"/>
                <w:szCs w:val="14"/>
                <w:color w:val="auto"/>
              </w:rPr>
            </w:pPr>
          </w:p>
        </w:tc>
        <w:tc>
          <w:tcPr>
            <w:tcW w:w="48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5"/>
        </w:trPr>
        <w:tc>
          <w:tcPr>
            <w:tcW w:w="4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20" w:type="dxa"/>
            <w:vAlign w:val="bottom"/>
          </w:tcPr>
          <w:p>
            <w:pPr>
              <w:spacing w:after="0"/>
              <w:rPr>
                <w:sz w:val="16"/>
                <w:szCs w:val="16"/>
                <w:color w:val="auto"/>
              </w:rPr>
            </w:pPr>
          </w:p>
        </w:tc>
        <w:tc>
          <w:tcPr>
            <w:tcW w:w="4820" w:type="dxa"/>
            <w:vAlign w:val="bottom"/>
            <w:tcBorders>
              <w:bottom w:val="single" w:sz="8" w:color="auto"/>
            </w:tcBorders>
          </w:tcPr>
          <w:p>
            <w:pPr>
              <w:spacing w:after="0"/>
              <w:rPr>
                <w:sz w:val="16"/>
                <w:szCs w:val="16"/>
                <w:color w:val="auto"/>
              </w:rPr>
            </w:pPr>
          </w:p>
        </w:tc>
      </w:tr>
      <w:tr>
        <w:trPr>
          <w:trHeight w:val="123"/>
        </w:trPr>
        <w:tc>
          <w:tcPr>
            <w:tcW w:w="4960" w:type="dxa"/>
            <w:vAlign w:val="bottom"/>
          </w:tcPr>
          <w:p>
            <w:pPr>
              <w:ind w:left="60"/>
              <w:spacing w:after="0" w:line="123" w:lineRule="exact"/>
              <w:rPr>
                <w:sz w:val="20"/>
                <w:szCs w:val="20"/>
                <w:color w:val="auto"/>
              </w:rPr>
            </w:pPr>
            <w:r>
              <w:rPr>
                <w:rFonts w:ascii="Arial" w:cs="Arial" w:eastAsia="Arial" w:hAnsi="Arial"/>
                <w:sz w:val="14"/>
                <w:szCs w:val="14"/>
                <w:color w:val="auto"/>
              </w:rPr>
              <w:t>Class A Common Stock, $0.001 par value per share</w:t>
            </w:r>
          </w:p>
        </w:tc>
        <w:tc>
          <w:tcPr>
            <w:tcW w:w="120" w:type="dxa"/>
            <w:vAlign w:val="bottom"/>
          </w:tcPr>
          <w:p>
            <w:pPr>
              <w:spacing w:after="0"/>
              <w:rPr>
                <w:sz w:val="10"/>
                <w:szCs w:val="10"/>
                <w:color w:val="auto"/>
              </w:rPr>
            </w:pP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6"/>
              </w:rPr>
              <w:t>PX</w:t>
            </w:r>
          </w:p>
        </w:tc>
        <w:tc>
          <w:tcPr>
            <w:tcW w:w="220" w:type="dxa"/>
            <w:vAlign w:val="bottom"/>
          </w:tcPr>
          <w:p>
            <w:pPr>
              <w:spacing w:after="0"/>
              <w:rPr>
                <w:sz w:val="10"/>
                <w:szCs w:val="10"/>
                <w:color w:val="auto"/>
              </w:rPr>
            </w:pPr>
          </w:p>
        </w:tc>
        <w:tc>
          <w:tcPr>
            <w:tcW w:w="4820" w:type="dxa"/>
            <w:vAlign w:val="bottom"/>
          </w:tcPr>
          <w:p>
            <w:pPr>
              <w:jc w:val="center"/>
              <w:spacing w:after="0" w:line="123" w:lineRule="exact"/>
              <w:rPr>
                <w:sz w:val="20"/>
                <w:szCs w:val="20"/>
                <w:color w:val="auto"/>
              </w:rPr>
            </w:pPr>
            <w:r>
              <w:rPr>
                <w:rFonts w:ascii="Arial" w:cs="Arial" w:eastAsia="Arial" w:hAnsi="Arial"/>
                <w:sz w:val="14"/>
                <w:szCs w:val="14"/>
                <w:color w:val="auto"/>
                <w:w w:val="99"/>
              </w:rPr>
              <w:t>NYSE</w:t>
            </w:r>
          </w:p>
        </w:tc>
      </w:tr>
      <w:tr>
        <w:trPr>
          <w:trHeight w:val="182"/>
        </w:trPr>
        <w:tc>
          <w:tcPr>
            <w:tcW w:w="4960" w:type="dxa"/>
            <w:vAlign w:val="bottom"/>
          </w:tcPr>
          <w:p>
            <w:pPr>
              <w:ind w:left="60"/>
              <w:spacing w:after="0"/>
              <w:rPr>
                <w:sz w:val="20"/>
                <w:szCs w:val="20"/>
                <w:color w:val="auto"/>
              </w:rPr>
            </w:pPr>
            <w:r>
              <w:rPr>
                <w:rFonts w:ascii="Arial" w:cs="Arial" w:eastAsia="Arial" w:hAnsi="Arial"/>
                <w:sz w:val="14"/>
                <w:szCs w:val="14"/>
                <w:color w:val="auto"/>
              </w:rPr>
              <w:t>Series A Junior Participating Preferred Stock Purchase Rights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Pr>
          <w:p>
            <w:pPr>
              <w:spacing w:after="0"/>
              <w:rPr>
                <w:sz w:val="15"/>
                <w:szCs w:val="15"/>
                <w:color w:val="auto"/>
              </w:rPr>
            </w:pPr>
          </w:p>
        </w:tc>
      </w:tr>
    </w:tbl>
    <w:p>
      <w:pPr>
        <w:spacing w:after="0" w:line="128" w:lineRule="exact"/>
        <w:rPr>
          <w:sz w:val="24"/>
          <w:szCs w:val="24"/>
          <w:color w:val="auto"/>
        </w:rPr>
      </w:pPr>
    </w:p>
    <w:p>
      <w:pPr>
        <w:ind w:right="220"/>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2"/>
          </w:tcPr>
          <w:p>
            <w:pPr>
              <w:spacing w:after="0"/>
              <w:rPr>
                <w:sz w:val="20"/>
                <w:szCs w:val="20"/>
                <w:color w:val="auto"/>
              </w:rPr>
            </w:pPr>
            <w:r>
              <w:rPr>
                <w:rFonts w:ascii="Arial" w:cs="Arial" w:eastAsia="Arial" w:hAnsi="Arial"/>
                <w:sz w:val="14"/>
                <w:szCs w:val="14"/>
                <w:color w:val="auto"/>
                <w:w w:val="94"/>
              </w:rPr>
              <w:t>during the preceding 12 months (or for such shorter period that the registrant was required to submit such files).</w:t>
            </w:r>
          </w:p>
        </w:tc>
        <w:tc>
          <w:tcPr>
            <w:tcW w:w="43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300" w:type="dxa"/>
            <w:vAlign w:val="bottom"/>
          </w:tcPr>
          <w:p>
            <w:pPr>
              <w:spacing w:after="0"/>
              <w:rPr>
                <w:sz w:val="14"/>
                <w:szCs w:val="14"/>
                <w:color w:val="auto"/>
              </w:rPr>
            </w:pPr>
          </w:p>
        </w:tc>
      </w:tr>
      <w:tr>
        <w:trPr>
          <w:trHeight w:val="148"/>
        </w:trPr>
        <w:tc>
          <w:tcPr>
            <w:tcW w:w="10860" w:type="dxa"/>
            <w:vAlign w:val="bottom"/>
            <w:gridSpan w:val="3"/>
          </w:tcPr>
          <w:p>
            <w:pPr>
              <w:spacing w:after="0" w:line="149" w:lineRule="exact"/>
              <w:rPr>
                <w:sz w:val="20"/>
                <w:szCs w:val="20"/>
                <w:color w:val="auto"/>
              </w:rPr>
            </w:pPr>
            <w:r>
              <w:rPr>
                <w:rFonts w:ascii="Arial" w:cs="Arial" w:eastAsia="Arial" w:hAnsi="Arial"/>
                <w:sz w:val="14"/>
                <w:szCs w:val="14"/>
                <w:color w:val="auto"/>
                <w:w w:val="93"/>
              </w:rPr>
              <w:t>Indicate by check mark whether the registrant is a large accelerated filer, an accelerated filer, a non-accelerated filer, smaller reporting company, or an emerging growth company. See the</w:t>
            </w:r>
          </w:p>
        </w:tc>
        <w:tc>
          <w:tcPr>
            <w:tcW w:w="300" w:type="dxa"/>
            <w:vAlign w:val="bottom"/>
          </w:tcPr>
          <w:p>
            <w:pPr>
              <w:spacing w:after="0"/>
              <w:rPr>
                <w:sz w:val="12"/>
                <w:szCs w:val="12"/>
                <w:color w:val="auto"/>
              </w:rPr>
            </w:pPr>
          </w:p>
        </w:tc>
      </w:tr>
      <w:tr>
        <w:trPr>
          <w:trHeight w:val="182"/>
        </w:trPr>
        <w:tc>
          <w:tcPr>
            <w:tcW w:w="1086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300" w:type="dxa"/>
            <w:vAlign w:val="bottom"/>
          </w:tcPr>
          <w:p>
            <w:pPr>
              <w:spacing w:after="0"/>
              <w:rPr>
                <w:sz w:val="15"/>
                <w:szCs w:val="15"/>
                <w:color w:val="auto"/>
              </w:rPr>
            </w:pPr>
          </w:p>
        </w:tc>
      </w:tr>
      <w:tr>
        <w:trPr>
          <w:trHeight w:val="267"/>
        </w:trPr>
        <w:tc>
          <w:tcPr>
            <w:tcW w:w="222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6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2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6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22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50" w:lineRule="exact"/>
        <w:rPr>
          <w:sz w:val="24"/>
          <w:szCs w:val="24"/>
          <w:color w:val="auto"/>
        </w:rPr>
      </w:pPr>
    </w:p>
    <w:p>
      <w:pPr>
        <w:ind w:right="56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10, 2023, there were 53,122,612 shares of the registrant's Class A common stock and 63,834,150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7"/>
          </w:tcPr>
          <w:p>
            <w:pPr>
              <w:ind w:left="8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1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sz w:val="20"/>
                <w:szCs w:val="20"/>
                <w:color w:val="auto"/>
              </w:rPr>
            </w:pPr>
            <w:r>
              <w:rPr>
                <w:rFonts w:ascii="Arial" w:cs="Arial" w:eastAsia="Arial" w:hAnsi="Arial"/>
                <w:sz w:val="18"/>
                <w:szCs w:val="18"/>
                <w:b w:val="1"/>
                <w:bCs w:val="1"/>
                <w:color w:val="0000FF"/>
              </w:rPr>
              <w:t>PART I</w:t>
            </w:r>
          </w:p>
        </w:tc>
        <w:tc>
          <w:tcPr>
            <w:tcW w:w="9300" w:type="dxa"/>
            <w:vAlign w:val="bottom"/>
            <w:gridSpan w:val="21"/>
          </w:tcPr>
          <w:p>
            <w:pPr>
              <w:ind w:left="60"/>
              <w:spacing w:after="0" w:line="176" w:lineRule="exact"/>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560" w:type="dxa"/>
            <w:vAlign w:val="bottom"/>
            <w:gridSpan w:val="3"/>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8"/>
              </w:rPr>
              <w:t>Consolidated Balance Sheets</w:t>
            </w:r>
          </w:p>
        </w:tc>
        <w:tc>
          <w:tcPr>
            <w:tcW w:w="20" w:type="dxa"/>
            <w:vAlign w:val="bottom"/>
            <w:tcBorders>
              <w:top w:val="single" w:sz="8" w:color="0000FF"/>
              <w:bottom w:val="single" w:sz="8" w:color="0000EE"/>
            </w:tcBorders>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68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Consolidated Statements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Consolidated Statements of Changes in Stockholders' Equity</w:t>
            </w:r>
          </w:p>
        </w:tc>
        <w:tc>
          <w:tcPr>
            <w:tcW w:w="49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Consolidated Statements of Cash Flows</w:t>
            </w:r>
          </w:p>
        </w:tc>
        <w:tc>
          <w:tcPr>
            <w:tcW w:w="20" w:type="dxa"/>
            <w:vAlign w:val="bottom"/>
            <w:tcBorders>
              <w:bottom w:val="single" w:sz="8" w:color="0000EE"/>
            </w:tcBorders>
          </w:tcPr>
          <w:p>
            <w:pPr>
              <w:spacing w:after="0"/>
              <w:rPr>
                <w:sz w:val="18"/>
                <w:szCs w:val="18"/>
                <w:color w:val="auto"/>
              </w:rPr>
            </w:pPr>
          </w:p>
        </w:tc>
        <w:tc>
          <w:tcPr>
            <w:tcW w:w="64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Notes to Unaudited Consolidated Financial Statements</w:t>
            </w:r>
          </w:p>
        </w:tc>
        <w:tc>
          <w:tcPr>
            <w:tcW w:w="20" w:type="dxa"/>
            <w:vAlign w:val="bottom"/>
            <w:tcBorders>
              <w:bottom w:val="single" w:sz="8" w:color="0000EE"/>
            </w:tcBorders>
          </w:tcPr>
          <w:p>
            <w:pPr>
              <w:spacing w:after="0"/>
              <w:rPr>
                <w:sz w:val="18"/>
                <w:szCs w:val="18"/>
                <w:color w:val="auto"/>
              </w:rPr>
            </w:pPr>
          </w:p>
        </w:tc>
        <w:tc>
          <w:tcPr>
            <w:tcW w:w="532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8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8"/>
                <w:szCs w:val="18"/>
                <w:color w:val="auto"/>
              </w:rPr>
            </w:pPr>
          </w:p>
        </w:tc>
        <w:tc>
          <w:tcPr>
            <w:tcW w:w="2560" w:type="dxa"/>
            <w:vAlign w:val="bottom"/>
            <w:tcBorders>
              <w:top w:val="single" w:sz="8" w:color="0000FF"/>
            </w:tcBorders>
            <w:gridSpan w:val="10"/>
          </w:tcPr>
          <w:p>
            <w:pPr>
              <w:spacing w:after="0"/>
              <w:rPr>
                <w:sz w:val="18"/>
                <w:szCs w:val="18"/>
                <w:color w:val="auto"/>
              </w:rPr>
            </w:pP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9"/>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480" w:type="dxa"/>
            <w:vAlign w:val="bottom"/>
            <w:gridSpan w:val="2"/>
          </w:tcPr>
          <w:p>
            <w:pPr>
              <w:spacing w:after="0"/>
              <w:rPr>
                <w:sz w:val="24"/>
                <w:szCs w:val="24"/>
                <w:color w:val="auto"/>
              </w:rPr>
            </w:pPr>
          </w:p>
        </w:tc>
        <w:tc>
          <w:tcPr>
            <w:tcW w:w="9300" w:type="dxa"/>
            <w:vAlign w:val="bottom"/>
            <w:gridSpan w:val="21"/>
          </w:tcPr>
          <w:p>
            <w:pPr>
              <w:ind w:left="60"/>
              <w:spacing w:after="0"/>
              <w:rPr>
                <w:sz w:val="20"/>
                <w:szCs w:val="20"/>
                <w:color w:val="auto"/>
              </w:rPr>
            </w:pPr>
            <w:r>
              <w:rPr>
                <w:rFonts w:ascii="Arial" w:cs="Arial" w:eastAsia="Arial" w:hAnsi="Arial"/>
                <w:sz w:val="18"/>
                <w:szCs w:val="18"/>
                <w:color w:val="auto"/>
              </w:rPr>
              <w:t>OTHER INFORMATION</w:t>
            </w:r>
          </w:p>
        </w:tc>
        <w:tc>
          <w:tcPr>
            <w:tcW w:w="7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2.</w:t>
            </w:r>
          </w:p>
        </w:tc>
        <w:tc>
          <w:tcPr>
            <w:tcW w:w="71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Unregistered Sales of Equity Securities, Use of Proceeds, and Issuer Purchases of Equity Securities</w:t>
            </w:r>
          </w:p>
        </w:tc>
        <w:tc>
          <w:tcPr>
            <w:tcW w:w="2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581"/>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r>
      <w:tr>
        <w:trPr>
          <w:trHeight w:val="175"/>
        </w:trPr>
        <w:tc>
          <w:tcPr>
            <w:tcW w:w="5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As of September 30,</w:t>
            </w: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169"/>
        </w:trPr>
        <w:tc>
          <w:tcPr>
            <w:tcW w:w="5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20,041</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20,021</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9,471</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19,700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16,551</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Notes receivable</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Due from related parties</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52,864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36,538</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 unconsolidated subsidiaries</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Right-of-use assets</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17,375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15,923</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payments to customers</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13,629</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Deferred tax assets, net</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39,349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41,275</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Intangibles, net</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130,522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151,795</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Goodwill</w:t>
            </w:r>
          </w:p>
        </w:tc>
        <w:tc>
          <w:tcPr>
            <w:tcW w:w="20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506,038</w:t>
            </w:r>
          </w:p>
        </w:tc>
        <w:tc>
          <w:tcPr>
            <w:tcW w:w="3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506,638</w:t>
            </w:r>
          </w:p>
        </w:tc>
        <w:tc>
          <w:tcPr>
            <w:tcW w:w="100" w:type="dxa"/>
            <w:vAlign w:val="bottom"/>
            <w:tcBorders>
              <w:bottom w:val="single" w:sz="8" w:color="CFF0FC"/>
            </w:tcBorders>
          </w:tcPr>
          <w:p>
            <w:pPr>
              <w:spacing w:after="0"/>
              <w:rPr>
                <w:sz w:val="20"/>
                <w:szCs w:val="20"/>
                <w:color w:val="auto"/>
              </w:rPr>
            </w:pPr>
          </w:p>
        </w:tc>
      </w:tr>
      <w:tr>
        <w:trPr>
          <w:trHeight w:val="276"/>
        </w:trPr>
        <w:tc>
          <w:tcPr>
            <w:tcW w:w="5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0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814,758</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2,107</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8,052</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52,144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18,900</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Due to related parties</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Accrued contingent liabilities</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14,305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14,305</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revenues</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12,651</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Lease liabilities</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20,695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18,558</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obligations</w:t>
            </w:r>
          </w:p>
        </w:tc>
        <w:tc>
          <w:tcPr>
            <w:tcW w:w="20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261,935</w:t>
            </w:r>
          </w:p>
        </w:tc>
        <w:tc>
          <w:tcPr>
            <w:tcW w:w="3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289,224</w:t>
            </w:r>
          </w:p>
        </w:tc>
        <w:tc>
          <w:tcPr>
            <w:tcW w:w="100" w:type="dxa"/>
            <w:vAlign w:val="bottom"/>
            <w:shd w:val="clear" w:color="auto" w:fill="CFF0FC"/>
          </w:tcPr>
          <w:p>
            <w:pPr>
              <w:spacing w:after="0"/>
              <w:rPr>
                <w:sz w:val="21"/>
                <w:szCs w:val="21"/>
                <w:color w:val="auto"/>
              </w:rPr>
            </w:pPr>
          </w:p>
        </w:tc>
      </w:tr>
      <w:tr>
        <w:trPr>
          <w:trHeight w:val="230"/>
        </w:trPr>
        <w:tc>
          <w:tcPr>
            <w:tcW w:w="55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387,203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392,477</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5540" w:type="dxa"/>
            <w:vAlign w:val="bottom"/>
          </w:tcPr>
          <w:p>
            <w:pPr>
              <w:ind w:left="200"/>
              <w:spacing w:after="0"/>
              <w:rPr>
                <w:sz w:val="20"/>
                <w:szCs w:val="20"/>
                <w:color w:val="auto"/>
              </w:rPr>
            </w:pPr>
            <w:r>
              <w:rPr>
                <w:rFonts w:ascii="Arial" w:cs="Arial" w:eastAsia="Arial" w:hAnsi="Arial"/>
                <w:sz w:val="18"/>
                <w:szCs w:val="18"/>
                <w:color w:val="auto"/>
                <w:w w:val="90"/>
              </w:rPr>
              <w:t>Class A common stock, $0.001 par value; 510,000,000 shares authorized;</w:t>
            </w:r>
          </w:p>
        </w:tc>
        <w:tc>
          <w:tcPr>
            <w:tcW w:w="2200" w:type="dxa"/>
            <w:vAlign w:val="bottom"/>
            <w:gridSpan w:val="2"/>
          </w:tcPr>
          <w:p>
            <w:pPr>
              <w:jc w:val="right"/>
              <w:ind w:right="450"/>
              <w:spacing w:after="0"/>
              <w:rPr>
                <w:sz w:val="20"/>
                <w:szCs w:val="20"/>
                <w:color w:val="auto"/>
              </w:rPr>
            </w:pPr>
            <w:r>
              <w:rPr>
                <w:rFonts w:ascii="Arial" w:cs="Arial" w:eastAsia="Arial" w:hAnsi="Arial"/>
                <w:sz w:val="18"/>
                <w:szCs w:val="18"/>
                <w:color w:val="auto"/>
                <w:w w:val="90"/>
              </w:rPr>
              <w:t>45,869,964 issued and</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gridSpan w:val="3"/>
          </w:tcPr>
          <w:p>
            <w:pPr>
              <w:ind w:left="200"/>
              <w:spacing w:after="0"/>
              <w:rPr>
                <w:sz w:val="20"/>
                <w:szCs w:val="20"/>
                <w:color w:val="auto"/>
              </w:rPr>
            </w:pPr>
            <w:r>
              <w:rPr>
                <w:rFonts w:ascii="Arial" w:cs="Arial" w:eastAsia="Arial" w:hAnsi="Arial"/>
                <w:sz w:val="18"/>
                <w:szCs w:val="18"/>
                <w:color w:val="auto"/>
              </w:rPr>
              <w:t>44,932,190 outstanding as of September 30, 2023, and 43,303,040 issued and</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42,365,266 outstanding as of December 31, 2022, respectively</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22"/>
        </w:trPr>
        <w:tc>
          <w:tcPr>
            <w:tcW w:w="77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Class B common stock, $0.001 par value; 180,000,000 shares authorized; 71,467,190 shares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w w:val="93"/>
              </w:rPr>
              <w:t>issued and 71,343,739 shares outstanding as of September 30, 2023, and 73,131,826 shares issued</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and 73,008,374 shares outstanding as of December 31, 2022, respectively</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(9,926 )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(9,926 )</w:t>
            </w: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2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628,783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628,828</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(231,927 )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(225,879 )</w:t>
            </w:r>
          </w:p>
        </w:tc>
      </w:tr>
      <w:tr>
        <w:trPr>
          <w:trHeight w:val="243"/>
        </w:trPr>
        <w:tc>
          <w:tcPr>
            <w:tcW w:w="5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interests</w:t>
            </w:r>
          </w:p>
        </w:tc>
        <w:tc>
          <w:tcPr>
            <w:tcW w:w="20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40,509</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427,555</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433,883</w:t>
            </w:r>
          </w:p>
        </w:tc>
        <w:tc>
          <w:tcPr>
            <w:tcW w:w="100" w:type="dxa"/>
            <w:vAlign w:val="bottom"/>
          </w:tcPr>
          <w:p>
            <w:pPr>
              <w:spacing w:after="0"/>
              <w:rPr>
                <w:sz w:val="20"/>
                <w:szCs w:val="20"/>
                <w:color w:val="auto"/>
              </w:rPr>
            </w:pPr>
          </w:p>
        </w:tc>
      </w:tr>
      <w:tr>
        <w:trPr>
          <w:trHeight w:val="279"/>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814,758</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-4182745</wp:posOffset>
            </wp:positionV>
            <wp:extent cx="127698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6985" cy="34290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-351155</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right"/>
              <w:ind w:right="490"/>
              <w:spacing w:after="0"/>
              <w:rPr>
                <w:sz w:val="20"/>
                <w:szCs w:val="20"/>
                <w:color w:val="auto"/>
              </w:rPr>
            </w:pPr>
            <w:r>
              <w:rPr>
                <w:rFonts w:ascii="Arial" w:cs="Arial" w:eastAsia="Arial" w:hAnsi="Arial"/>
                <w:sz w:val="14"/>
                <w:szCs w:val="14"/>
                <w:b w:val="1"/>
                <w:bCs w:val="1"/>
                <w:color w:val="auto"/>
              </w:rPr>
              <w:t>For the Three Months</w:t>
            </w:r>
          </w:p>
        </w:tc>
        <w:tc>
          <w:tcPr>
            <w:tcW w:w="160" w:type="dxa"/>
            <w:vAlign w:val="bottom"/>
          </w:tcPr>
          <w:p>
            <w:pPr>
              <w:spacing w:after="0"/>
              <w:rPr>
                <w:sz w:val="14"/>
                <w:szCs w:val="14"/>
                <w:color w:val="auto"/>
              </w:rPr>
            </w:pPr>
          </w:p>
        </w:tc>
        <w:tc>
          <w:tcPr>
            <w:tcW w:w="1960" w:type="dxa"/>
            <w:vAlign w:val="bottom"/>
            <w:gridSpan w:val="6"/>
          </w:tcPr>
          <w:p>
            <w:pPr>
              <w:jc w:val="right"/>
              <w:ind w:right="401"/>
              <w:spacing w:after="0"/>
              <w:rPr>
                <w:sz w:val="20"/>
                <w:szCs w:val="20"/>
                <w:color w:val="auto"/>
              </w:rPr>
            </w:pPr>
            <w:r>
              <w:rPr>
                <w:rFonts w:ascii="Arial" w:cs="Arial" w:eastAsia="Arial" w:hAnsi="Arial"/>
                <w:sz w:val="14"/>
                <w:szCs w:val="14"/>
                <w:b w:val="1"/>
                <w:bCs w:val="1"/>
                <w:color w:val="auto"/>
              </w:rPr>
              <w:t>For the Nine Months</w:t>
            </w:r>
          </w:p>
        </w:tc>
      </w:tr>
      <w:tr>
        <w:trPr>
          <w:trHeight w:val="186"/>
        </w:trPr>
        <w:tc>
          <w:tcPr>
            <w:tcW w:w="6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6"/>
          </w:tcPr>
          <w:p>
            <w:pPr>
              <w:jc w:val="right"/>
              <w:ind w:right="510"/>
              <w:spacing w:after="0"/>
              <w:rPr>
                <w:sz w:val="20"/>
                <w:szCs w:val="20"/>
                <w:color w:val="auto"/>
              </w:rPr>
            </w:pPr>
            <w:r>
              <w:rPr>
                <w:rFonts w:ascii="Arial" w:cs="Arial" w:eastAsia="Arial" w:hAnsi="Arial"/>
                <w:sz w:val="14"/>
                <w:szCs w:val="14"/>
                <w:b w:val="1"/>
                <w:bCs w:val="1"/>
                <w:color w:val="auto"/>
              </w:rPr>
              <w:t>Ended September 30,</w:t>
            </w:r>
          </w:p>
        </w:tc>
        <w:tc>
          <w:tcPr>
            <w:tcW w:w="160" w:type="dxa"/>
            <w:vAlign w:val="bottom"/>
          </w:tcPr>
          <w:p>
            <w:pPr>
              <w:spacing w:after="0"/>
              <w:rPr>
                <w:sz w:val="16"/>
                <w:szCs w:val="16"/>
                <w:color w:val="auto"/>
              </w:rPr>
            </w:pPr>
          </w:p>
        </w:tc>
        <w:tc>
          <w:tcPr>
            <w:tcW w:w="1960" w:type="dxa"/>
            <w:vAlign w:val="bottom"/>
            <w:gridSpan w:val="6"/>
          </w:tcPr>
          <w:p>
            <w:pPr>
              <w:jc w:val="right"/>
              <w:ind w:right="381"/>
              <w:spacing w:after="0"/>
              <w:rPr>
                <w:sz w:val="20"/>
                <w:szCs w:val="20"/>
                <w:color w:val="auto"/>
              </w:rPr>
            </w:pPr>
            <w:r>
              <w:rPr>
                <w:rFonts w:ascii="Arial" w:cs="Arial" w:eastAsia="Arial" w:hAnsi="Arial"/>
                <w:sz w:val="14"/>
                <w:szCs w:val="14"/>
                <w:b w:val="1"/>
                <w:bCs w:val="1"/>
                <w:color w:val="auto"/>
              </w:rPr>
              <w:t>Ended September 30,</w:t>
            </w:r>
          </w:p>
        </w:tc>
      </w:tr>
      <w:tr>
        <w:trPr>
          <w:trHeight w:val="174"/>
        </w:trPr>
        <w:tc>
          <w:tcPr>
            <w:tcW w:w="6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0"/>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900" w:type="dxa"/>
            <w:vAlign w:val="bottom"/>
          </w:tcPr>
          <w:p>
            <w:pPr>
              <w:ind w:left="200"/>
              <w:spacing w:after="0"/>
              <w:rPr>
                <w:sz w:val="20"/>
                <w:szCs w:val="20"/>
                <w:color w:val="auto"/>
              </w:rPr>
            </w:pPr>
            <w:r>
              <w:rPr>
                <w:rFonts w:ascii="Arial" w:cs="Arial" w:eastAsia="Arial" w:hAnsi="Arial"/>
                <w:sz w:val="18"/>
                <w:szCs w:val="18"/>
                <w:color w:val="auto"/>
              </w:rPr>
              <w:t>Management and advisory fees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58,078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49,479</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176,322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138,957</w:t>
            </w:r>
          </w:p>
        </w:tc>
        <w:tc>
          <w:tcPr>
            <w:tcW w:w="100" w:type="dxa"/>
            <w:vAlign w:val="bottom"/>
          </w:tcPr>
          <w:p>
            <w:pPr>
              <w:spacing w:after="0"/>
              <w:rPr>
                <w:sz w:val="20"/>
                <w:szCs w:val="20"/>
                <w:color w:val="auto"/>
              </w:rPr>
            </w:pPr>
          </w:p>
        </w:tc>
      </w:tr>
      <w:tr>
        <w:trPr>
          <w:trHeight w:val="243"/>
        </w:trPr>
        <w:tc>
          <w:tcPr>
            <w:tcW w:w="6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49,996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178,667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140,015</w:t>
            </w:r>
          </w:p>
        </w:tc>
        <w:tc>
          <w:tcPr>
            <w:tcW w:w="100" w:type="dxa"/>
            <w:vAlign w:val="bottom"/>
          </w:tcPr>
          <w:p>
            <w:pPr>
              <w:spacing w:after="0"/>
              <w:rPr>
                <w:sz w:val="20"/>
                <w:szCs w:val="20"/>
                <w:color w:val="auto"/>
              </w:rPr>
            </w:pPr>
          </w:p>
        </w:tc>
      </w:tr>
      <w:tr>
        <w:trPr>
          <w:trHeight w:val="249"/>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23,984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114,128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60,293</w:t>
            </w:r>
          </w:p>
        </w:tc>
        <w:tc>
          <w:tcPr>
            <w:tcW w:w="100" w:type="dxa"/>
            <w:vAlign w:val="bottom"/>
          </w:tcPr>
          <w:p>
            <w:pPr>
              <w:spacing w:after="0"/>
              <w:rPr>
                <w:sz w:val="20"/>
                <w:szCs w:val="20"/>
                <w:color w:val="auto"/>
              </w:rPr>
            </w:pPr>
          </w:p>
        </w:tc>
      </w:tr>
      <w:tr>
        <w:trPr>
          <w:trHeight w:val="249"/>
        </w:trPr>
        <w:tc>
          <w:tcPr>
            <w:tcW w:w="6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3,357</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10,191</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9,416</w:t>
            </w: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0"/>
              <w:spacing w:after="0"/>
              <w:rPr>
                <w:sz w:val="20"/>
                <w:szCs w:val="20"/>
                <w:color w:val="auto"/>
              </w:rPr>
            </w:pPr>
            <w:r>
              <w:rPr>
                <w:rFonts w:ascii="Arial" w:cs="Arial" w:eastAsia="Arial" w:hAnsi="Arial"/>
                <w:sz w:val="18"/>
                <w:szCs w:val="18"/>
                <w:color w:val="auto"/>
              </w:rPr>
              <w:t>General, administrative and other</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Pr>
          <w:p>
            <w:pPr>
              <w:spacing w:after="0"/>
              <w:rPr>
                <w:sz w:val="20"/>
                <w:szCs w:val="20"/>
                <w:color w:val="auto"/>
              </w:rPr>
            </w:pPr>
          </w:p>
        </w:tc>
      </w:tr>
      <w:tr>
        <w:trPr>
          <w:trHeight w:val="249"/>
        </w:trPr>
        <w:tc>
          <w:tcPr>
            <w:tcW w:w="6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 expense</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6,153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18,487</w:t>
            </w:r>
          </w:p>
        </w:tc>
        <w:tc>
          <w:tcPr>
            <w:tcW w:w="100" w:type="dxa"/>
            <w:vAlign w:val="bottom"/>
          </w:tcPr>
          <w:p>
            <w:pPr>
              <w:spacing w:after="0"/>
              <w:rPr>
                <w:sz w:val="20"/>
                <w:szCs w:val="20"/>
                <w:color w:val="auto"/>
              </w:rPr>
            </w:pPr>
          </w:p>
        </w:tc>
      </w:tr>
      <w:tr>
        <w:trPr>
          <w:trHeight w:val="243"/>
        </w:trPr>
        <w:tc>
          <w:tcPr>
            <w:tcW w:w="6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Strategic alliance expense</w:t>
            </w:r>
          </w:p>
        </w:tc>
        <w:tc>
          <w:tcPr>
            <w:tcW w:w="1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39,736</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163,089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102,385</w:t>
            </w:r>
          </w:p>
        </w:tc>
        <w:tc>
          <w:tcPr>
            <w:tcW w:w="100" w:type="dxa"/>
            <w:vAlign w:val="bottom"/>
          </w:tcPr>
          <w:p>
            <w:pPr>
              <w:spacing w:after="0"/>
              <w:rPr>
                <w:sz w:val="20"/>
                <w:szCs w:val="20"/>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37,630</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OTHER (EXPENSE)/INCOME</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(5,482 )</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(2,358 )</w:t>
            </w: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(16,080 )</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(5,268 )</w:t>
            </w:r>
          </w:p>
        </w:tc>
      </w:tr>
      <w:tr>
        <w:trPr>
          <w:trHeight w:val="243"/>
        </w:trPr>
        <w:tc>
          <w:tcPr>
            <w:tcW w:w="6900" w:type="dxa"/>
            <w:vAlign w:val="bottom"/>
          </w:tcPr>
          <w:p>
            <w:pPr>
              <w:ind w:left="200"/>
              <w:spacing w:after="0"/>
              <w:rPr>
                <w:sz w:val="20"/>
                <w:szCs w:val="20"/>
                <w:color w:val="auto"/>
              </w:rPr>
            </w:pPr>
            <w:r>
              <w:rPr>
                <w:rFonts w:ascii="Arial" w:cs="Arial" w:eastAsia="Arial" w:hAnsi="Arial"/>
                <w:sz w:val="18"/>
                <w:szCs w:val="18"/>
                <w:color w:val="auto"/>
              </w:rPr>
              <w:t>Other (expense)/income</w:t>
            </w: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(1,851 )</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(2,570 )</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24"/>
        </w:trPr>
        <w:tc>
          <w:tcPr>
            <w:tcW w:w="690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w:t>
            </w: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(7,333</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300" w:type="dxa"/>
            <w:vAlign w:val="bottom"/>
            <w:tcBorders>
              <w:top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(18,650 )</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6900" w:type="dxa"/>
            <w:vAlign w:val="bottom"/>
          </w:tcPr>
          <w:p>
            <w:pPr>
              <w:ind w:left="200"/>
              <w:spacing w:after="0"/>
              <w:rPr>
                <w:sz w:val="20"/>
                <w:szCs w:val="20"/>
                <w:color w:val="auto"/>
              </w:rPr>
            </w:pPr>
            <w:r>
              <w:rPr>
                <w:rFonts w:ascii="Arial" w:cs="Arial" w:eastAsia="Arial" w:hAnsi="Arial"/>
                <w:sz w:val="18"/>
                <w:szCs w:val="18"/>
                <w:color w:val="auto"/>
              </w:rPr>
              <w:t>Net (loss)/income before income taxes</w:t>
            </w: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(6,950 )</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8,085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(3,072 )</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33,665</w:t>
            </w:r>
          </w:p>
        </w:tc>
        <w:tc>
          <w:tcPr>
            <w:tcW w:w="100" w:type="dxa"/>
            <w:vAlign w:val="bottom"/>
          </w:tcPr>
          <w:p>
            <w:pPr>
              <w:spacing w:after="0"/>
              <w:rPr>
                <w:sz w:val="21"/>
                <w:szCs w:val="21"/>
                <w:color w:val="auto"/>
              </w:rPr>
            </w:pPr>
          </w:p>
        </w:tc>
      </w:tr>
      <w:tr>
        <w:trPr>
          <w:trHeight w:val="250"/>
        </w:trPr>
        <w:tc>
          <w:tcPr>
            <w:tcW w:w="6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(1,800 )</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(2,468 )</w:t>
            </w: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(2,807 )</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(9,102 )</w:t>
            </w:r>
          </w:p>
        </w:tc>
      </w:tr>
      <w:tr>
        <w:trPr>
          <w:trHeight w:val="20"/>
        </w:trPr>
        <w:tc>
          <w:tcPr>
            <w:tcW w:w="6900" w:type="dxa"/>
            <w:vAlign w:val="bottom"/>
            <w:shd w:val="clear" w:color="auto" w:fill="CFF0FC"/>
          </w:tcPr>
          <w:p>
            <w:pPr>
              <w:spacing w:after="0" w:line="20" w:lineRule="exact"/>
              <w:rPr>
                <w:sz w:val="1"/>
                <w:szCs w:val="1"/>
                <w:color w:val="auto"/>
              </w:rPr>
            </w:pPr>
          </w:p>
        </w:tc>
        <w:tc>
          <w:tcPr>
            <w:tcW w:w="140" w:type="dxa"/>
            <w:vAlign w:val="bottom"/>
            <w:tcBorders>
              <w:bottom w:val="single" w:sz="8" w:color="auto"/>
            </w:tcBorders>
            <w:shd w:val="clear" w:color="auto" w:fill="CFF0FC"/>
          </w:tcPr>
          <w:p>
            <w:pPr>
              <w:spacing w:after="0" w:line="20" w:lineRule="exact"/>
              <w:rPr>
                <w:sz w:val="1"/>
                <w:szCs w:val="1"/>
                <w:color w:val="auto"/>
              </w:rPr>
            </w:pPr>
          </w:p>
        </w:tc>
        <w:tc>
          <w:tcPr>
            <w:tcW w:w="620" w:type="dxa"/>
            <w:vAlign w:val="bottom"/>
            <w:tcBorders>
              <w:bottom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tcBorders>
              <w:bottom w:val="single" w:sz="8" w:color="auto"/>
            </w:tcBorders>
            <w:shd w:val="clear" w:color="auto" w:fill="CFF0FC"/>
          </w:tcPr>
          <w:p>
            <w:pPr>
              <w:spacing w:after="0" w:line="20" w:lineRule="exact"/>
              <w:rPr>
                <w:sz w:val="1"/>
                <w:szCs w:val="1"/>
                <w:color w:val="auto"/>
              </w:rPr>
            </w:pPr>
          </w:p>
        </w:tc>
        <w:tc>
          <w:tcPr>
            <w:tcW w:w="600" w:type="dxa"/>
            <w:vAlign w:val="bottom"/>
            <w:tcBorders>
              <w:bottom w:val="single" w:sz="8" w:color="auto"/>
            </w:tcBorders>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tcBorders>
              <w:bottom w:val="single" w:sz="8" w:color="auto"/>
            </w:tcBorders>
            <w:shd w:val="clear" w:color="auto" w:fill="CFF0FC"/>
          </w:tcPr>
          <w:p>
            <w:pPr>
              <w:spacing w:after="0" w:line="20" w:lineRule="exact"/>
              <w:rPr>
                <w:sz w:val="1"/>
                <w:szCs w:val="1"/>
                <w:color w:val="auto"/>
              </w:rPr>
            </w:pPr>
          </w:p>
        </w:tc>
        <w:tc>
          <w:tcPr>
            <w:tcW w:w="66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4"/>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NET (LOSS)/INCOME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(8,750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5,617</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(5,879 )</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24,563</w:t>
            </w:r>
          </w:p>
        </w:tc>
        <w:tc>
          <w:tcPr>
            <w:tcW w:w="100" w:type="dxa"/>
            <w:vAlign w:val="bottom"/>
          </w:tcPr>
          <w:p>
            <w:pPr>
              <w:spacing w:after="0"/>
              <w:rPr>
                <w:sz w:val="19"/>
                <w:szCs w:val="19"/>
                <w:color w:val="auto"/>
              </w:rPr>
            </w:pPr>
          </w:p>
        </w:tc>
      </w:tr>
      <w:tr>
        <w:trPr>
          <w:trHeight w:val="256"/>
        </w:trPr>
        <w:tc>
          <w:tcPr>
            <w:tcW w:w="69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6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net (loss)/income attributable to noncontrolling interests in P10 Intermediate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(169 )</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6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NET (LOSS)/INCOME ATTRIBUTABLE TO P10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(8,416 )</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5,617</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(6,048 )</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24,563</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900" w:type="dxa"/>
            <w:vAlign w:val="bottom"/>
          </w:tcPr>
          <w:p>
            <w:pPr>
              <w:ind w:left="200"/>
              <w:spacing w:after="0"/>
              <w:rPr>
                <w:sz w:val="20"/>
                <w:szCs w:val="20"/>
                <w:color w:val="auto"/>
              </w:rPr>
            </w:pPr>
            <w:r>
              <w:rPr>
                <w:rFonts w:ascii="Arial" w:cs="Arial" w:eastAsia="Arial" w:hAnsi="Arial"/>
                <w:sz w:val="18"/>
                <w:szCs w:val="18"/>
                <w:color w:val="auto"/>
              </w:rPr>
              <w:t>Basic (loss)/earnings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(0.07 )</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(0.05 )</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r>
      <w:tr>
        <w:trPr>
          <w:trHeight w:val="26"/>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6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 (loss)/earnings per share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(0.07 )</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(0.05 )</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900" w:type="dxa"/>
            <w:vAlign w:val="bottom"/>
          </w:tcPr>
          <w:p>
            <w:pPr>
              <w:ind w:left="200"/>
              <w:spacing w:after="0"/>
              <w:rPr>
                <w:sz w:val="20"/>
                <w:szCs w:val="20"/>
                <w:color w:val="auto"/>
              </w:rPr>
            </w:pPr>
            <w:r>
              <w:rPr>
                <w:rFonts w:ascii="Arial" w:cs="Arial" w:eastAsia="Arial" w:hAnsi="Arial"/>
                <w:sz w:val="18"/>
                <w:szCs w:val="18"/>
                <w:color w:val="auto"/>
              </w:rPr>
              <w:t>Dividends paid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r>
      <w:tr>
        <w:trPr>
          <w:trHeight w:val="26"/>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1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116,235</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117,210</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2"/>
              </w:rPr>
              <w:t>116,134</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117,210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116,235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121,532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116,134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121,362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-4337685</wp:posOffset>
            </wp:positionV>
            <wp:extent cx="7683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-4337685</wp:posOffset>
            </wp:positionV>
            <wp:extent cx="685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-4337685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-4337685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-3094355</wp:posOffset>
            </wp:positionV>
            <wp:extent cx="7683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-3094355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-3094355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-3094355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-2310130</wp:posOffset>
            </wp:positionV>
            <wp:extent cx="7145020" cy="347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5020" cy="3473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-1812925</wp:posOffset>
            </wp:positionV>
            <wp:extent cx="2867025" cy="3467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67025" cy="34671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-1311275</wp:posOffset>
            </wp:positionV>
            <wp:extent cx="76835" cy="351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3517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-1311275</wp:posOffset>
            </wp:positionV>
            <wp:extent cx="68580" cy="3517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3517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-1311275</wp:posOffset>
            </wp:positionV>
            <wp:extent cx="68580" cy="351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3517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-1311275</wp:posOffset>
            </wp:positionV>
            <wp:extent cx="68580" cy="351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3517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87"/>
              </w:rPr>
              <w:t>Common Stock - Class A</w:t>
            </w:r>
          </w:p>
        </w:tc>
        <w:tc>
          <w:tcPr>
            <w:tcW w:w="240" w:type="dxa"/>
            <w:vAlign w:val="bottom"/>
          </w:tcPr>
          <w:p>
            <w:pPr>
              <w:spacing w:after="0"/>
              <w:rPr>
                <w:sz w:val="13"/>
                <w:szCs w:val="13"/>
                <w:color w:val="auto"/>
              </w:rPr>
            </w:pPr>
          </w:p>
        </w:tc>
        <w:tc>
          <w:tcPr>
            <w:tcW w:w="1580" w:type="dxa"/>
            <w:vAlign w:val="bottom"/>
            <w:gridSpan w:val="5"/>
            <w:vMerge w:val="restart"/>
          </w:tcPr>
          <w:p>
            <w:pPr>
              <w:jc w:val="right"/>
              <w:ind w:right="220"/>
              <w:spacing w:after="0"/>
              <w:rPr>
                <w:sz w:val="20"/>
                <w:szCs w:val="20"/>
                <w:color w:val="auto"/>
              </w:rPr>
            </w:pPr>
            <w:r>
              <w:rPr>
                <w:rFonts w:ascii="Arial" w:cs="Arial" w:eastAsia="Arial" w:hAnsi="Arial"/>
                <w:sz w:val="13"/>
                <w:szCs w:val="13"/>
                <w:b w:val="1"/>
                <w:bCs w:val="1"/>
                <w:color w:val="auto"/>
                <w:w w:val="86"/>
              </w:rPr>
              <w:t>Common Stock - Class B</w:t>
            </w:r>
          </w:p>
        </w:tc>
        <w:tc>
          <w:tcPr>
            <w:tcW w:w="1540" w:type="dxa"/>
            <w:vAlign w:val="bottom"/>
            <w:gridSpan w:val="5"/>
            <w:vMerge w:val="restart"/>
          </w:tcPr>
          <w:p>
            <w:pPr>
              <w:jc w:val="right"/>
              <w:ind w:right="357"/>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Non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15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960" w:type="dxa"/>
            <w:vAlign w:val="bottom"/>
            <w:gridSpan w:val="4"/>
          </w:tcPr>
          <w:p>
            <w:pPr>
              <w:ind w:left="20"/>
              <w:spacing w:after="0"/>
              <w:rPr>
                <w:sz w:val="20"/>
                <w:szCs w:val="20"/>
                <w:color w:val="auto"/>
              </w:rPr>
            </w:pPr>
            <w:r>
              <w:rPr>
                <w:rFonts w:ascii="Arial" w:cs="Arial" w:eastAsia="Arial" w:hAnsi="Arial"/>
                <w:sz w:val="13"/>
                <w:szCs w:val="13"/>
                <w:b w:val="1"/>
                <w:bCs w:val="1"/>
                <w:color w:val="auto"/>
              </w:rPr>
              <w:t>Accumulated</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4"/>
        </w:trPr>
        <w:tc>
          <w:tcPr>
            <w:tcW w:w="29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88"/>
              </w:rPr>
              <w:t>Paid-in-</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4"/>
                <w:szCs w:val="14"/>
                <w:color w:val="auto"/>
              </w:rPr>
            </w:pPr>
          </w:p>
        </w:tc>
        <w:tc>
          <w:tcPr>
            <w:tcW w:w="820" w:type="dxa"/>
            <w:vAlign w:val="bottom"/>
            <w:gridSpan w:val="3"/>
          </w:tcPr>
          <w:p>
            <w:pPr>
              <w:jc w:val="right"/>
              <w:ind w:right="337"/>
              <w:spacing w:after="0"/>
              <w:rPr>
                <w:sz w:val="20"/>
                <w:szCs w:val="20"/>
                <w:color w:val="auto"/>
              </w:rPr>
            </w:pPr>
            <w:r>
              <w:rPr>
                <w:rFonts w:ascii="Arial" w:cs="Arial" w:eastAsia="Arial" w:hAnsi="Arial"/>
                <w:sz w:val="13"/>
                <w:szCs w:val="13"/>
                <w:b w:val="1"/>
                <w:bCs w:val="1"/>
                <w:color w:val="auto"/>
              </w:rPr>
              <w:t>Deficit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7"/>
        </w:trPr>
        <w:tc>
          <w:tcPr>
            <w:tcW w:w="29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34,464</w:t>
            </w:r>
          </w:p>
        </w:tc>
        <w:tc>
          <w:tcPr>
            <w:tcW w:w="24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4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82,727</w:t>
            </w:r>
          </w:p>
        </w:tc>
        <w:tc>
          <w:tcPr>
            <w:tcW w:w="24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w:t>
            </w:r>
          </w:p>
        </w:tc>
        <w:tc>
          <w:tcPr>
            <w:tcW w:w="220" w:type="dxa"/>
            <w:vAlign w:val="bottom"/>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650,405</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(255,085</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395,164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offering costs</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(70 )</w:t>
            </w:r>
          </w:p>
        </w:tc>
        <w:tc>
          <w:tcPr>
            <w:tcW w:w="14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(70 )</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Net income attributable to P10</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7,792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w w:val="98"/>
              </w:rPr>
              <w:t>Exchange of Class B common stock for Class A</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(1,220 )</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(1 )</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Settlement of stock options</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(12,466 )</w:t>
            </w:r>
          </w:p>
        </w:tc>
        <w:tc>
          <w:tcPr>
            <w:tcW w:w="140" w:type="dxa"/>
            <w:vAlign w:val="bottom"/>
          </w:tcPr>
          <w:p>
            <w:pPr>
              <w:spacing w:after="0"/>
              <w:rPr>
                <w:sz w:val="14"/>
                <w:szCs w:val="14"/>
                <w:color w:val="auto"/>
              </w:rPr>
            </w:pPr>
          </w:p>
        </w:tc>
        <w:tc>
          <w:tcPr>
            <w:tcW w:w="82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(12,466 )</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35,686</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81,507</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639,384</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(247,293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391,935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940" w:type="dxa"/>
            <w:vAlign w:val="bottom"/>
          </w:tcPr>
          <w:p>
            <w:pPr>
              <w:ind w:left="200"/>
              <w:spacing w:after="0" w:line="142" w:lineRule="exact"/>
              <w:rPr>
                <w:sz w:val="20"/>
                <w:szCs w:val="20"/>
                <w:color w:val="auto"/>
              </w:rPr>
            </w:pPr>
            <w:r>
              <w:rPr>
                <w:rFonts w:ascii="Arial" w:cs="Arial" w:eastAsia="Arial" w:hAnsi="Arial"/>
                <w:sz w:val="13"/>
                <w:szCs w:val="13"/>
                <w:color w:val="auto"/>
              </w:rPr>
              <w:t>Stock-based compensation</w:t>
            </w:r>
          </w:p>
        </w:tc>
        <w:tc>
          <w:tcPr>
            <w:tcW w:w="860" w:type="dxa"/>
            <w:vAlign w:val="bottom"/>
            <w:gridSpan w:val="2"/>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2,717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137"/>
              <w:spacing w:after="0" w:line="142" w:lineRule="exact"/>
              <w:rPr>
                <w:sz w:val="20"/>
                <w:szCs w:val="20"/>
                <w:color w:val="auto"/>
              </w:rPr>
            </w:pPr>
            <w:r>
              <w:rPr>
                <w:rFonts w:ascii="Arial" w:cs="Arial" w:eastAsia="Arial" w:hAnsi="Arial"/>
                <w:sz w:val="13"/>
                <w:szCs w:val="13"/>
                <w:color w:val="auto"/>
              </w:rPr>
              <w:t>—</w:t>
            </w:r>
          </w:p>
        </w:tc>
        <w:tc>
          <w:tcPr>
            <w:tcW w:w="680" w:type="dxa"/>
            <w:vAlign w:val="bottom"/>
          </w:tcPr>
          <w:p>
            <w:pPr>
              <w:ind w:left="540"/>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2,717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income attributable to P10</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11,154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940" w:type="dxa"/>
            <w:vAlign w:val="bottom"/>
          </w:tcPr>
          <w:p>
            <w:pPr>
              <w:ind w:left="200"/>
              <w:spacing w:after="0" w:line="134" w:lineRule="exact"/>
              <w:rPr>
                <w:sz w:val="20"/>
                <w:szCs w:val="20"/>
                <w:color w:val="auto"/>
              </w:rPr>
            </w:pPr>
            <w:r>
              <w:rPr>
                <w:rFonts w:ascii="Arial" w:cs="Arial" w:eastAsia="Arial" w:hAnsi="Arial"/>
                <w:sz w:val="13"/>
                <w:szCs w:val="13"/>
                <w:color w:val="auto"/>
                <w:w w:val="98"/>
              </w:rPr>
              <w:t>Exchange of Class B common stock for Class A</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common stock</w:t>
            </w:r>
          </w:p>
        </w:tc>
        <w:tc>
          <w:tcPr>
            <w:tcW w:w="620" w:type="dxa"/>
            <w:vAlign w:val="bottom"/>
          </w:tcPr>
          <w:p>
            <w:pPr>
              <w:jc w:val="right"/>
              <w:spacing w:after="0"/>
              <w:rPr>
                <w:sz w:val="20"/>
                <w:szCs w:val="20"/>
                <w:color w:val="auto"/>
              </w:rPr>
            </w:pPr>
            <w:r>
              <w:rPr>
                <w:rFonts w:ascii="Arial" w:cs="Arial" w:eastAsia="Arial" w:hAnsi="Arial"/>
                <w:sz w:val="13"/>
                <w:szCs w:val="13"/>
                <w:color w:val="auto"/>
              </w:rPr>
              <w:t>1,622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w:t>
            </w:r>
          </w:p>
        </w:tc>
        <w:tc>
          <w:tcPr>
            <w:tcW w:w="1100" w:type="dxa"/>
            <w:vAlign w:val="bottom"/>
            <w:gridSpan w:val="3"/>
          </w:tcPr>
          <w:p>
            <w:pPr>
              <w:jc w:val="right"/>
              <w:ind w:right="180"/>
              <w:spacing w:after="0"/>
              <w:rPr>
                <w:sz w:val="20"/>
                <w:szCs w:val="20"/>
                <w:color w:val="auto"/>
              </w:rPr>
            </w:pPr>
            <w:r>
              <w:rPr>
                <w:rFonts w:ascii="Arial" w:cs="Arial" w:eastAsia="Arial" w:hAnsi="Arial"/>
                <w:sz w:val="13"/>
                <w:szCs w:val="13"/>
                <w:color w:val="auto"/>
              </w:rPr>
              <w:t>(1,622 )</w:t>
            </w:r>
          </w:p>
        </w:tc>
        <w:tc>
          <w:tcPr>
            <w:tcW w:w="2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(2 )</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declared</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(1 )</w:t>
            </w:r>
          </w:p>
        </w:tc>
        <w:tc>
          <w:tcPr>
            <w:tcW w:w="14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Dividends paid</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(3,515 )</w:t>
            </w:r>
          </w:p>
        </w:tc>
        <w:tc>
          <w:tcPr>
            <w:tcW w:w="140" w:type="dxa"/>
            <w:vAlign w:val="bottom"/>
          </w:tcPr>
          <w:p>
            <w:pPr>
              <w:spacing w:after="0"/>
              <w:rPr>
                <w:sz w:val="14"/>
                <w:szCs w:val="14"/>
                <w:color w:val="auto"/>
              </w:rPr>
            </w:pPr>
          </w:p>
        </w:tc>
        <w:tc>
          <w:tcPr>
            <w:tcW w:w="82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(3,515 )</w:t>
            </w:r>
          </w:p>
        </w:tc>
        <w:tc>
          <w:tcPr>
            <w:tcW w:w="0" w:type="dxa"/>
            <w:vAlign w:val="bottom"/>
          </w:tcPr>
          <w:p>
            <w:pPr>
              <w:spacing w:after="0"/>
              <w:rPr>
                <w:sz w:val="1"/>
                <w:szCs w:val="1"/>
                <w:color w:val="auto"/>
              </w:rPr>
            </w:pPr>
          </w:p>
        </w:tc>
      </w:tr>
      <w:tr>
        <w:trPr>
          <w:trHeight w:val="195"/>
        </w:trPr>
        <w:tc>
          <w:tcPr>
            <w:tcW w:w="2940" w:type="dxa"/>
            <w:vAlign w:val="bottom"/>
            <w:tcBorders>
              <w:top w:val="single" w:sz="8" w:color="CFF0FC"/>
              <w:bottom w:val="single" w:sz="8" w:color="CFF0FC"/>
            </w:tcBorders>
            <w:shd w:val="clear" w:color="auto" w:fill="CFF0FC"/>
          </w:tcPr>
          <w:p>
            <w:pPr>
              <w:ind w:left="20"/>
              <w:spacing w:after="0" w:line="145" w:lineRule="exact"/>
              <w:rPr>
                <w:sz w:val="20"/>
                <w:szCs w:val="20"/>
                <w:color w:val="auto"/>
              </w:rPr>
            </w:pPr>
            <w:r>
              <w:rPr>
                <w:rFonts w:ascii="Arial" w:cs="Arial" w:eastAsia="Arial" w:hAnsi="Arial"/>
                <w:sz w:val="13"/>
                <w:szCs w:val="13"/>
                <w:b w:val="1"/>
                <w:bCs w:val="1"/>
                <w:color w:val="auto"/>
              </w:rPr>
              <w:t>Balance at June 30, 2022</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37,308</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79,885</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638,585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(236,139</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402,290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40" w:type="dxa"/>
            <w:vAlign w:val="bottom"/>
          </w:tcPr>
          <w:p>
            <w:pPr>
              <w:ind w:left="200"/>
              <w:spacing w:after="0" w:line="143" w:lineRule="exact"/>
              <w:rPr>
                <w:sz w:val="20"/>
                <w:szCs w:val="20"/>
                <w:color w:val="auto"/>
              </w:rPr>
            </w:pPr>
            <w:r>
              <w:rPr>
                <w:rFonts w:ascii="Arial" w:cs="Arial" w:eastAsia="Arial" w:hAnsi="Arial"/>
                <w:sz w:val="13"/>
                <w:szCs w:val="13"/>
                <w:color w:val="auto"/>
              </w:rPr>
              <w:t>Stock-based compensation</w:t>
            </w: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0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2,790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137"/>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ind w:left="540"/>
              <w:spacing w:after="0" w:line="143"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2,790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income attributable to P10</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940" w:type="dxa"/>
            <w:vAlign w:val="bottom"/>
          </w:tcPr>
          <w:p>
            <w:pPr>
              <w:ind w:left="200"/>
              <w:spacing w:after="0" w:line="134" w:lineRule="exact"/>
              <w:rPr>
                <w:sz w:val="20"/>
                <w:szCs w:val="20"/>
                <w:color w:val="auto"/>
              </w:rPr>
            </w:pPr>
            <w:r>
              <w:rPr>
                <w:rFonts w:ascii="Arial" w:cs="Arial" w:eastAsia="Arial" w:hAnsi="Arial"/>
                <w:sz w:val="13"/>
                <w:szCs w:val="13"/>
                <w:color w:val="auto"/>
                <w:w w:val="98"/>
              </w:rPr>
              <w:t>Exchange of Class B common stock for Class A</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common stock</w:t>
            </w:r>
          </w:p>
        </w:tc>
        <w:tc>
          <w:tcPr>
            <w:tcW w:w="620" w:type="dxa"/>
            <w:vAlign w:val="bottom"/>
          </w:tcPr>
          <w:p>
            <w:pPr>
              <w:jc w:val="right"/>
              <w:spacing w:after="0"/>
              <w:rPr>
                <w:sz w:val="20"/>
                <w:szCs w:val="20"/>
                <w:color w:val="auto"/>
              </w:rPr>
            </w:pPr>
            <w:r>
              <w:rPr>
                <w:rFonts w:ascii="Arial" w:cs="Arial" w:eastAsia="Arial" w:hAnsi="Arial"/>
                <w:sz w:val="13"/>
                <w:szCs w:val="13"/>
                <w:color w:val="auto"/>
              </w:rPr>
              <w:t>3,742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1100" w:type="dxa"/>
            <w:vAlign w:val="bottom"/>
            <w:gridSpan w:val="3"/>
          </w:tcPr>
          <w:p>
            <w:pPr>
              <w:jc w:val="right"/>
              <w:ind w:right="180"/>
              <w:spacing w:after="0"/>
              <w:rPr>
                <w:sz w:val="20"/>
                <w:szCs w:val="20"/>
                <w:color w:val="auto"/>
              </w:rPr>
            </w:pPr>
            <w:r>
              <w:rPr>
                <w:rFonts w:ascii="Arial" w:cs="Arial" w:eastAsia="Arial" w:hAnsi="Arial"/>
                <w:sz w:val="13"/>
                <w:szCs w:val="13"/>
                <w:color w:val="auto"/>
              </w:rPr>
              <w:t>(3,742 )</w:t>
            </w:r>
          </w:p>
        </w:tc>
        <w:tc>
          <w:tcPr>
            <w:tcW w:w="2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(4 )</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(0 )</w:t>
            </w: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restricted stock awards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Issuance of restricted stock units</w:t>
            </w:r>
          </w:p>
        </w:tc>
        <w:tc>
          <w:tcPr>
            <w:tcW w:w="620" w:type="dxa"/>
            <w:vAlign w:val="bottom"/>
          </w:tcPr>
          <w:p>
            <w:pPr>
              <w:jc w:val="right"/>
              <w:spacing w:after="0"/>
              <w:rPr>
                <w:sz w:val="20"/>
                <w:szCs w:val="20"/>
                <w:color w:val="auto"/>
              </w:rPr>
            </w:pPr>
            <w:r>
              <w:rPr>
                <w:rFonts w:ascii="Arial" w:cs="Arial" w:eastAsia="Arial" w:hAnsi="Arial"/>
                <w:sz w:val="13"/>
                <w:szCs w:val="13"/>
                <w:color w:val="auto"/>
              </w:rPr>
              <w:t>297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Exercise of stock options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(72 )</w:t>
            </w:r>
          </w:p>
        </w:tc>
        <w:tc>
          <w:tcPr>
            <w:tcW w:w="14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Stock repurchase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(289 )</w:t>
            </w: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(3,166 )</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(3,166 )</w:t>
            </w: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declared</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Dividends paid</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(3,526 )</w:t>
            </w:r>
          </w:p>
        </w:tc>
        <w:tc>
          <w:tcPr>
            <w:tcW w:w="140" w:type="dxa"/>
            <w:vAlign w:val="bottom"/>
          </w:tcPr>
          <w:p>
            <w:pPr>
              <w:spacing w:after="0"/>
              <w:rPr>
                <w:sz w:val="14"/>
                <w:szCs w:val="14"/>
                <w:color w:val="auto"/>
              </w:rPr>
            </w:pPr>
          </w:p>
        </w:tc>
        <w:tc>
          <w:tcPr>
            <w:tcW w:w="82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(3,526 )</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2022</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41,102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76,143</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w:t>
            </w: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641,055</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(230,521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407,212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-1910715</wp:posOffset>
            </wp:positionV>
            <wp:extent cx="487743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77435" cy="12890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-1285240</wp:posOffset>
            </wp:positionV>
            <wp:extent cx="4877435"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77435" cy="24003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-25400</wp:posOffset>
            </wp:positionV>
            <wp:extent cx="487743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77435" cy="12890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87"/>
              </w:rPr>
              <w:t>Common Stock - Class A</w:t>
            </w:r>
          </w:p>
        </w:tc>
        <w:tc>
          <w:tcPr>
            <w:tcW w:w="240" w:type="dxa"/>
            <w:vAlign w:val="bottom"/>
          </w:tcPr>
          <w:p>
            <w:pPr>
              <w:spacing w:after="0"/>
              <w:rPr>
                <w:sz w:val="13"/>
                <w:szCs w:val="13"/>
                <w:color w:val="auto"/>
              </w:rPr>
            </w:pPr>
          </w:p>
        </w:tc>
        <w:tc>
          <w:tcPr>
            <w:tcW w:w="1580" w:type="dxa"/>
            <w:vAlign w:val="bottom"/>
            <w:gridSpan w:val="5"/>
            <w:vMerge w:val="restart"/>
          </w:tcPr>
          <w:p>
            <w:pPr>
              <w:jc w:val="right"/>
              <w:ind w:right="220"/>
              <w:spacing w:after="0"/>
              <w:rPr>
                <w:sz w:val="20"/>
                <w:szCs w:val="20"/>
                <w:color w:val="auto"/>
              </w:rPr>
            </w:pPr>
            <w:r>
              <w:rPr>
                <w:rFonts w:ascii="Arial" w:cs="Arial" w:eastAsia="Arial" w:hAnsi="Arial"/>
                <w:sz w:val="13"/>
                <w:szCs w:val="13"/>
                <w:b w:val="1"/>
                <w:bCs w:val="1"/>
                <w:color w:val="auto"/>
                <w:w w:val="86"/>
              </w:rPr>
              <w:t>Common Stock - Class B</w:t>
            </w:r>
          </w:p>
        </w:tc>
        <w:tc>
          <w:tcPr>
            <w:tcW w:w="1640" w:type="dxa"/>
            <w:vAlign w:val="bottom"/>
            <w:gridSpan w:val="6"/>
            <w:vMerge w:val="restart"/>
          </w:tcPr>
          <w:p>
            <w:pPr>
              <w:jc w:val="right"/>
              <w:ind w:right="457"/>
              <w:spacing w:after="0"/>
              <w:rPr>
                <w:sz w:val="20"/>
                <w:szCs w:val="20"/>
                <w:color w:val="auto"/>
              </w:rPr>
            </w:pPr>
            <w:r>
              <w:rPr>
                <w:rFonts w:ascii="Arial" w:cs="Arial" w:eastAsia="Arial" w:hAnsi="Arial"/>
                <w:sz w:val="13"/>
                <w:szCs w:val="13"/>
                <w:b w:val="1"/>
                <w:bCs w:val="1"/>
                <w:color w:val="auto"/>
              </w:rPr>
              <w:t>Treasury stock</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Non</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1640" w:type="dxa"/>
            <w:vAlign w:val="bottom"/>
            <w:gridSpan w:val="6"/>
            <w:vMerge w:val="continue"/>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Controlling</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4"/>
        </w:trPr>
        <w:tc>
          <w:tcPr>
            <w:tcW w:w="29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88"/>
              </w:rPr>
              <w:t>Paid-in-</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94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37"/>
              <w:spacing w:after="0"/>
              <w:rPr>
                <w:sz w:val="20"/>
                <w:szCs w:val="20"/>
                <w:color w:val="auto"/>
              </w:rPr>
            </w:pPr>
            <w:r>
              <w:rPr>
                <w:rFonts w:ascii="Arial" w:cs="Arial" w:eastAsia="Arial" w:hAnsi="Arial"/>
                <w:sz w:val="13"/>
                <w:szCs w:val="13"/>
                <w:b w:val="1"/>
                <w:bCs w:val="1"/>
                <w:color w:val="auto"/>
                <w:w w:val="85"/>
              </w:rPr>
              <w:t>Amount</w:t>
            </w: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4"/>
                <w:szCs w:val="14"/>
                <w:color w:val="auto"/>
              </w:rPr>
            </w:pPr>
          </w:p>
        </w:tc>
        <w:tc>
          <w:tcPr>
            <w:tcW w:w="740" w:type="dxa"/>
            <w:vAlign w:val="bottom"/>
            <w:gridSpan w:val="2"/>
          </w:tcPr>
          <w:p>
            <w:pPr>
              <w:jc w:val="right"/>
              <w:ind w:right="25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7"/>
        </w:trPr>
        <w:tc>
          <w:tcPr>
            <w:tcW w:w="294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42,365</w:t>
            </w:r>
          </w:p>
        </w:tc>
        <w:tc>
          <w:tcPr>
            <w:tcW w:w="240" w:type="dxa"/>
            <w:vAlign w:val="bottom"/>
          </w:tcPr>
          <w:p>
            <w:pPr>
              <w:spacing w:after="0"/>
              <w:rPr>
                <w:sz w:val="13"/>
                <w:szCs w:val="13"/>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24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73,008</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1,061</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(9,926</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628,828</w:t>
            </w:r>
          </w:p>
        </w:tc>
        <w:tc>
          <w:tcPr>
            <w:tcW w:w="100" w:type="dxa"/>
            <w:vAlign w:val="bottom"/>
          </w:tcPr>
          <w:p>
            <w:pPr>
              <w:spacing w:after="0"/>
              <w:rPr>
                <w:sz w:val="13"/>
                <w:szCs w:val="13"/>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(225,879</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40,745</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433,883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940" w:type="dxa"/>
            <w:vAlign w:val="bottom"/>
          </w:tcPr>
          <w:p>
            <w:pPr>
              <w:ind w:left="200"/>
              <w:spacing w:after="0" w:line="134" w:lineRule="exact"/>
              <w:rPr>
                <w:sz w:val="20"/>
                <w:szCs w:val="20"/>
                <w:color w:val="auto"/>
              </w:rPr>
            </w:pPr>
            <w:r>
              <w:rPr>
                <w:rFonts w:ascii="Arial" w:cs="Arial" w:eastAsia="Arial" w:hAnsi="Arial"/>
                <w:sz w:val="13"/>
                <w:szCs w:val="13"/>
                <w:color w:val="auto"/>
              </w:rPr>
              <w:t>Net income attributable to P10 and net income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attributable to non controlling interests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4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w w:val="98"/>
              </w:rPr>
              <w:t>Exchange of Class B common stock for Class A</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(76 )</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Exercise of stock options (net of tax)</w:t>
            </w:r>
          </w:p>
        </w:tc>
        <w:tc>
          <w:tcPr>
            <w:tcW w:w="620" w:type="dxa"/>
            <w:vAlign w:val="bottom"/>
          </w:tcPr>
          <w:p>
            <w:pPr>
              <w:jc w:val="right"/>
              <w:spacing w:after="0"/>
              <w:rPr>
                <w:sz w:val="20"/>
                <w:szCs w:val="20"/>
                <w:color w:val="auto"/>
              </w:rPr>
            </w:pPr>
            <w:r>
              <w:rPr>
                <w:rFonts w:ascii="Arial" w:cs="Arial" w:eastAsia="Arial" w:hAnsi="Arial"/>
                <w:sz w:val="13"/>
                <w:szCs w:val="13"/>
                <w:color w:val="auto"/>
              </w:rPr>
              <w:t>294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Distributions to non-controlling interests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(122 )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(122 )</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Issuance of restricted stock units</w:t>
            </w:r>
          </w:p>
        </w:tc>
        <w:tc>
          <w:tcPr>
            <w:tcW w:w="620" w:type="dxa"/>
            <w:vAlign w:val="bottom"/>
          </w:tcPr>
          <w:p>
            <w:pPr>
              <w:jc w:val="right"/>
              <w:spacing w:after="0"/>
              <w:rPr>
                <w:sz w:val="20"/>
                <w:szCs w:val="20"/>
                <w:color w:val="auto"/>
              </w:rPr>
            </w:pPr>
            <w:r>
              <w:rPr>
                <w:rFonts w:ascii="Arial" w:cs="Arial" w:eastAsia="Arial" w:hAnsi="Arial"/>
                <w:sz w:val="13"/>
                <w:szCs w:val="13"/>
                <w:color w:val="auto"/>
              </w:rPr>
              <w:t>354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Repurchase of common stock for employee tax</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witholding</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(3,038 )</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(3,038 )</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Stock repurchase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3"/>
                <w:szCs w:val="13"/>
                <w:color w:val="auto"/>
              </w:rPr>
              <w:t>(100 )</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(851 )</w:t>
            </w:r>
          </w:p>
        </w:tc>
        <w:tc>
          <w:tcPr>
            <w:tcW w:w="140" w:type="dxa"/>
            <w:vAlign w:val="bottom"/>
          </w:tcPr>
          <w:p>
            <w:pPr>
              <w:spacing w:after="0"/>
              <w:rPr>
                <w:sz w:val="14"/>
                <w:szCs w:val="14"/>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(851 )</w:t>
            </w: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Accrual for excise tax associated with stock</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(7 )</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Dividends declared</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4"/>
                <w:szCs w:val="14"/>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paid</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(3,477 )</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(3,477 )</w:t>
            </w:r>
          </w:p>
        </w:tc>
        <w:tc>
          <w:tcPr>
            <w:tcW w:w="0" w:type="dxa"/>
            <w:vAlign w:val="bottom"/>
          </w:tcPr>
          <w:p>
            <w:pPr>
              <w:spacing w:after="0"/>
              <w:rPr>
                <w:sz w:val="1"/>
                <w:szCs w:val="1"/>
                <w:color w:val="auto"/>
              </w:rPr>
            </w:pPr>
          </w:p>
        </w:tc>
      </w:tr>
      <w:tr>
        <w:trPr>
          <w:trHeight w:val="155"/>
        </w:trPr>
        <w:tc>
          <w:tcPr>
            <w:tcW w:w="294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Balance at March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43,089</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72,832</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1,061</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(9,926</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624,706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(225,274</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40,787</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430,409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Stock-based compensation</w:t>
            </w:r>
          </w:p>
        </w:tc>
        <w:tc>
          <w:tcPr>
            <w:tcW w:w="62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4,162</w:t>
            </w: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4,162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40" w:type="dxa"/>
            <w:vAlign w:val="bottom"/>
          </w:tcPr>
          <w:p>
            <w:pPr>
              <w:ind w:left="200"/>
              <w:spacing w:after="0" w:line="134" w:lineRule="exact"/>
              <w:rPr>
                <w:sz w:val="20"/>
                <w:szCs w:val="20"/>
                <w:color w:val="auto"/>
              </w:rPr>
            </w:pPr>
            <w:r>
              <w:rPr>
                <w:rFonts w:ascii="Arial" w:cs="Arial" w:eastAsia="Arial" w:hAnsi="Arial"/>
                <w:sz w:val="13"/>
                <w:szCs w:val="13"/>
                <w:color w:val="auto"/>
              </w:rPr>
              <w:t>Net income attributable to P10 and net income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attributable to non controlling interests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4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w w:val="98"/>
              </w:rPr>
              <w:t>Exchange of Class B common stock for Class A</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(451 )</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(1 )</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Exercise of stock options (net of tax)</w:t>
            </w:r>
          </w:p>
        </w:tc>
        <w:tc>
          <w:tcPr>
            <w:tcW w:w="620" w:type="dxa"/>
            <w:vAlign w:val="bottom"/>
          </w:tcPr>
          <w:p>
            <w:pPr>
              <w:jc w:val="right"/>
              <w:spacing w:after="0"/>
              <w:rPr>
                <w:sz w:val="20"/>
                <w:szCs w:val="20"/>
                <w:color w:val="auto"/>
              </w:rPr>
            </w:pPr>
            <w:r>
              <w:rPr>
                <w:rFonts w:ascii="Arial" w:cs="Arial" w:eastAsia="Arial" w:hAnsi="Arial"/>
                <w:sz w:val="13"/>
                <w:szCs w:val="13"/>
                <w:color w:val="auto"/>
              </w:rPr>
              <w:t>54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Distributions to non-controlling interests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(149 )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(149 )</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Issuance of restricted stock units</w:t>
            </w:r>
          </w:p>
        </w:tc>
        <w:tc>
          <w:tcPr>
            <w:tcW w:w="620" w:type="dxa"/>
            <w:vAlign w:val="bottom"/>
          </w:tcPr>
          <w:p>
            <w:pPr>
              <w:jc w:val="right"/>
              <w:spacing w:after="0"/>
              <w:rPr>
                <w:sz w:val="20"/>
                <w:szCs w:val="20"/>
                <w:color w:val="auto"/>
              </w:rPr>
            </w:pPr>
            <w:r>
              <w:rPr>
                <w:rFonts w:ascii="Arial" w:cs="Arial" w:eastAsia="Arial" w:hAnsi="Arial"/>
                <w:sz w:val="13"/>
                <w:szCs w:val="13"/>
                <w:color w:val="auto"/>
              </w:rPr>
              <w:t>230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Repurchase of common stock for employee tax</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witholding</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(1,958 )</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(1,958 )</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Dividends declared</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4"/>
                <w:szCs w:val="14"/>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paid</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(3,774 )</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(3,774 )</w:t>
            </w:r>
          </w:p>
        </w:tc>
        <w:tc>
          <w:tcPr>
            <w:tcW w:w="0" w:type="dxa"/>
            <w:vAlign w:val="bottom"/>
          </w:tcPr>
          <w:p>
            <w:pPr>
              <w:spacing w:after="0"/>
              <w:rPr>
                <w:sz w:val="1"/>
                <w:szCs w:val="1"/>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620" w:type="dxa"/>
            <w:vAlign w:val="bottom"/>
          </w:tcPr>
          <w:p>
            <w:pPr>
              <w:jc w:val="right"/>
              <w:spacing w:after="0"/>
              <w:rPr>
                <w:sz w:val="20"/>
                <w:szCs w:val="20"/>
                <w:color w:val="auto"/>
              </w:rPr>
            </w:pPr>
            <w:r>
              <w:rPr>
                <w:rFonts w:ascii="Arial" w:cs="Arial" w:eastAsia="Arial" w:hAnsi="Arial"/>
                <w:sz w:val="13"/>
                <w:szCs w:val="13"/>
                <w:color w:val="auto"/>
              </w:rPr>
              <w:t>43,824</w:t>
            </w:r>
          </w:p>
        </w:tc>
        <w:tc>
          <w:tcPr>
            <w:tcW w:w="24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44</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72,381</w:t>
            </w:r>
          </w:p>
        </w:tc>
        <w:tc>
          <w:tcPr>
            <w:tcW w:w="24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72</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1,061</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(9,926 ) $</w:t>
            </w:r>
          </w:p>
        </w:tc>
        <w:tc>
          <w:tcPr>
            <w:tcW w:w="680" w:type="dxa"/>
            <w:vAlign w:val="bottom"/>
          </w:tcPr>
          <w:p>
            <w:pPr>
              <w:jc w:val="right"/>
              <w:spacing w:after="0"/>
              <w:rPr>
                <w:sz w:val="20"/>
                <w:szCs w:val="20"/>
                <w:color w:val="auto"/>
              </w:rPr>
            </w:pPr>
            <w:r>
              <w:rPr>
                <w:rFonts w:ascii="Arial" w:cs="Arial" w:eastAsia="Arial" w:hAnsi="Arial"/>
                <w:sz w:val="13"/>
                <w:szCs w:val="13"/>
                <w:color w:val="auto"/>
              </w:rPr>
              <w:t>627,420</w:t>
            </w:r>
          </w:p>
        </w:tc>
        <w:tc>
          <w:tcPr>
            <w:tcW w:w="1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(223,511 )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40,977</w:t>
            </w:r>
          </w:p>
        </w:tc>
        <w:tc>
          <w:tcPr>
            <w:tcW w:w="1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435,076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shd w:val="clear" w:color="auto" w:fill="CFF0FC"/>
          </w:tcPr>
          <w:p>
            <w:pPr>
              <w:ind w:left="200"/>
              <w:spacing w:after="0" w:line="143" w:lineRule="exact"/>
              <w:rPr>
                <w:sz w:val="20"/>
                <w:szCs w:val="20"/>
                <w:color w:val="auto"/>
              </w:rPr>
            </w:pPr>
            <w:r>
              <w:rPr>
                <w:rFonts w:ascii="Arial" w:cs="Arial" w:eastAsia="Arial" w:hAnsi="Arial"/>
                <w:sz w:val="13"/>
                <w:szCs w:val="13"/>
                <w:color w:val="auto"/>
              </w:rPr>
              <w:t>Stock-based compensation</w:t>
            </w: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5,328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5,328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40" w:type="dxa"/>
            <w:vAlign w:val="bottom"/>
          </w:tcPr>
          <w:p>
            <w:pPr>
              <w:ind w:left="200"/>
              <w:spacing w:after="0" w:line="134" w:lineRule="exact"/>
              <w:rPr>
                <w:sz w:val="20"/>
                <w:szCs w:val="20"/>
                <w:color w:val="auto"/>
              </w:rPr>
            </w:pPr>
            <w:r>
              <w:rPr>
                <w:rFonts w:ascii="Arial" w:cs="Arial" w:eastAsia="Arial" w:hAnsi="Arial"/>
                <w:sz w:val="13"/>
                <w:szCs w:val="13"/>
                <w:color w:val="auto"/>
                <w:w w:val="91"/>
              </w:rPr>
              <w:t>Net loss attributable to P10 and net loss attributable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to non controlling interests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(8,416 )</w:t>
            </w: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(334 )</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(8,750 )</w:t>
            </w:r>
          </w:p>
        </w:tc>
        <w:tc>
          <w:tcPr>
            <w:tcW w:w="0" w:type="dxa"/>
            <w:vAlign w:val="bottom"/>
          </w:tcPr>
          <w:p>
            <w:pPr>
              <w:spacing w:after="0"/>
              <w:rPr>
                <w:sz w:val="1"/>
                <w:szCs w:val="1"/>
                <w:color w:val="auto"/>
              </w:rPr>
            </w:pPr>
          </w:p>
        </w:tc>
      </w:tr>
      <w:tr>
        <w:trPr>
          <w:trHeight w:val="136"/>
        </w:trPr>
        <w:tc>
          <w:tcPr>
            <w:tcW w:w="294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w w:val="98"/>
              </w:rPr>
              <w:t>Exchange of Class B common stock for Class A</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1,037</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(1,037 )</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(1 )</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Distributions to non-controlling interests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(134 )</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(134 )</w:t>
            </w: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restricted stock awards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Exercise of stock options (net of tax)</w:t>
            </w:r>
          </w:p>
        </w:tc>
        <w:tc>
          <w:tcPr>
            <w:tcW w:w="620" w:type="dxa"/>
            <w:vAlign w:val="bottom"/>
          </w:tcPr>
          <w:p>
            <w:pPr>
              <w:jc w:val="right"/>
              <w:spacing w:after="0"/>
              <w:rPr>
                <w:sz w:val="20"/>
                <w:szCs w:val="20"/>
                <w:color w:val="auto"/>
              </w:rPr>
            </w:pPr>
            <w:r>
              <w:rPr>
                <w:rFonts w:ascii="Arial" w:cs="Arial" w:eastAsia="Arial" w:hAnsi="Arial"/>
                <w:sz w:val="13"/>
                <w:szCs w:val="13"/>
                <w:color w:val="auto"/>
              </w:rPr>
              <w:t>38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Repurchase of common stock for employee tax</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witholding</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(185 )</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(185 )</w:t>
            </w:r>
          </w:p>
        </w:tc>
        <w:tc>
          <w:tcPr>
            <w:tcW w:w="0" w:type="dxa"/>
            <w:vAlign w:val="bottom"/>
          </w:tcPr>
          <w:p>
            <w:pPr>
              <w:spacing w:after="0"/>
              <w:rPr>
                <w:sz w:val="1"/>
                <w:szCs w:val="1"/>
                <w:color w:val="auto"/>
              </w:rPr>
            </w:pPr>
          </w:p>
        </w:tc>
      </w:tr>
      <w:tr>
        <w:trPr>
          <w:trHeight w:val="161"/>
        </w:trPr>
        <w:tc>
          <w:tcPr>
            <w:tcW w:w="2940" w:type="dxa"/>
            <w:vAlign w:val="bottom"/>
          </w:tcPr>
          <w:p>
            <w:pPr>
              <w:ind w:left="200"/>
              <w:spacing w:after="0"/>
              <w:rPr>
                <w:sz w:val="20"/>
                <w:szCs w:val="20"/>
                <w:color w:val="auto"/>
              </w:rPr>
            </w:pPr>
            <w:r>
              <w:rPr>
                <w:rFonts w:ascii="Arial" w:cs="Arial" w:eastAsia="Arial" w:hAnsi="Arial"/>
                <w:sz w:val="13"/>
                <w:szCs w:val="13"/>
                <w:color w:val="auto"/>
              </w:rPr>
              <w:t>Dividends paid</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(3,780 )</w:t>
            </w:r>
          </w:p>
        </w:tc>
        <w:tc>
          <w:tcPr>
            <w:tcW w:w="140" w:type="dxa"/>
            <w:vAlign w:val="bottom"/>
          </w:tcPr>
          <w:p>
            <w:pPr>
              <w:spacing w:after="0"/>
              <w:rPr>
                <w:sz w:val="14"/>
                <w:szCs w:val="14"/>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(3,780 )</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2023</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44,932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71,344</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1,061</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628,783</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(231,927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40,509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427,555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-1353820</wp:posOffset>
            </wp:positionV>
            <wp:extent cx="7747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-1353820</wp:posOffset>
            </wp:positionV>
            <wp:extent cx="7683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-1353820</wp:posOffset>
            </wp:positionV>
            <wp:extent cx="7747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-1353820</wp:posOffset>
            </wp:positionV>
            <wp:extent cx="6858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-1353820</wp:posOffset>
            </wp:positionV>
            <wp:extent cx="6858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-1353820</wp:posOffset>
            </wp:positionV>
            <wp:extent cx="6858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-1353820</wp:posOffset>
            </wp:positionV>
            <wp:extent cx="6858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-1353820</wp:posOffset>
            </wp:positionV>
            <wp:extent cx="6858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-1353820</wp:posOffset>
            </wp:positionV>
            <wp:extent cx="685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-24765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-24765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125" w:lineRule="exact"/>
        <w:rPr>
          <w:sz w:val="20"/>
          <w:szCs w:val="20"/>
          <w:color w:val="auto"/>
        </w:rPr>
      </w:pPr>
    </w:p>
    <w:p>
      <w:pPr>
        <w:ind w:left="9320"/>
        <w:spacing w:after="0"/>
        <w:rPr>
          <w:sz w:val="20"/>
          <w:szCs w:val="20"/>
          <w:color w:val="auto"/>
        </w:rPr>
      </w:pPr>
      <w:r>
        <w:rPr>
          <w:rFonts w:ascii="Arial" w:cs="Arial" w:eastAsia="Arial" w:hAnsi="Arial"/>
          <w:sz w:val="13"/>
          <w:szCs w:val="13"/>
          <w:b w:val="1"/>
          <w:bCs w:val="1"/>
          <w:color w:val="auto"/>
        </w:rPr>
        <w:t>For the Nine Months</w:t>
      </w:r>
    </w:p>
    <w:p>
      <w:pPr>
        <w:ind w:left="9300"/>
        <w:spacing w:after="0"/>
        <w:rPr>
          <w:sz w:val="20"/>
          <w:szCs w:val="20"/>
          <w:color w:val="auto"/>
        </w:rPr>
      </w:pPr>
      <w:r>
        <w:rPr>
          <w:rFonts w:ascii="Arial" w:cs="Arial" w:eastAsia="Arial" w:hAnsi="Arial"/>
          <w:sz w:val="13"/>
          <w:szCs w:val="13"/>
          <w:b w:val="1"/>
          <w:bCs w:val="1"/>
          <w:color w:val="auto"/>
        </w:rPr>
        <w:t>Ended September 30,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7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Net (loss)/income</w:t>
            </w:r>
          </w:p>
        </w:tc>
        <w:tc>
          <w:tcPr>
            <w:tcW w:w="720" w:type="dxa"/>
            <w:vAlign w:val="bottom"/>
          </w:tcPr>
          <w:p>
            <w:pPr>
              <w:jc w:val="right"/>
              <w:ind w:right="577"/>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(5,879 )</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24,563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640" w:type="dxa"/>
            <w:vAlign w:val="bottom"/>
            <w:shd w:val="clear" w:color="auto" w:fill="CFF0FC"/>
          </w:tcPr>
          <w:p>
            <w:pPr>
              <w:ind w:left="380"/>
              <w:spacing w:after="0" w:line="135" w:lineRule="exact"/>
              <w:rPr>
                <w:sz w:val="20"/>
                <w:szCs w:val="20"/>
                <w:color w:val="auto"/>
              </w:rPr>
            </w:pPr>
            <w:r>
              <w:rPr>
                <w:rFonts w:ascii="Arial" w:cs="Arial" w:eastAsia="Arial" w:hAnsi="Arial"/>
                <w:sz w:val="13"/>
                <w:szCs w:val="13"/>
                <w:color w:val="auto"/>
              </w:rPr>
              <w:t>Adjustments to reconcile net (loss)/income to net cash provided by operating</w:t>
            </w:r>
          </w:p>
        </w:tc>
        <w:tc>
          <w:tcPr>
            <w:tcW w:w="7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480"/>
              <w:spacing w:after="0"/>
              <w:rPr>
                <w:sz w:val="20"/>
                <w:szCs w:val="20"/>
                <w:color w:val="auto"/>
              </w:rPr>
            </w:pPr>
            <w:r>
              <w:rPr>
                <w:rFonts w:ascii="Arial" w:cs="Arial" w:eastAsia="Arial" w:hAnsi="Arial"/>
                <w:sz w:val="13"/>
                <w:szCs w:val="13"/>
                <w:color w:val="auto"/>
              </w:rPr>
              <w:t>activities:</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40" w:type="dxa"/>
            <w:vAlign w:val="bottom"/>
          </w:tcPr>
          <w:p>
            <w:pPr>
              <w:ind w:left="380"/>
              <w:spacing w:after="0"/>
              <w:rPr>
                <w:sz w:val="20"/>
                <w:szCs w:val="20"/>
                <w:color w:val="auto"/>
              </w:rPr>
            </w:pPr>
            <w:r>
              <w:rPr>
                <w:rFonts w:ascii="Arial" w:cs="Arial" w:eastAsia="Arial" w:hAnsi="Arial"/>
                <w:sz w:val="13"/>
                <w:szCs w:val="13"/>
                <w:color w:val="auto"/>
              </w:rPr>
              <w:t>Stock-based compensation</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18,607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11,498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Depreciation expense</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40" w:type="dxa"/>
            <w:vAlign w:val="bottom"/>
          </w:tcPr>
          <w:p>
            <w:pPr>
              <w:ind w:left="380"/>
              <w:spacing w:after="0"/>
              <w:rPr>
                <w:sz w:val="20"/>
                <w:szCs w:val="20"/>
                <w:color w:val="auto"/>
              </w:rPr>
            </w:pPr>
            <w:r>
              <w:rPr>
                <w:rFonts w:ascii="Arial" w:cs="Arial" w:eastAsia="Arial" w:hAnsi="Arial"/>
                <w:sz w:val="13"/>
                <w:szCs w:val="13"/>
                <w:color w:val="auto"/>
              </w:rPr>
              <w:t>Amortization of intangibles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21,893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18,487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Amortization of debt issuance costs and debt discount</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1,080</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40" w:type="dxa"/>
            <w:vAlign w:val="bottom"/>
          </w:tcPr>
          <w:p>
            <w:pPr>
              <w:ind w:left="380"/>
              <w:spacing w:after="0"/>
              <w:rPr>
                <w:sz w:val="20"/>
                <w:szCs w:val="20"/>
                <w:color w:val="auto"/>
              </w:rPr>
            </w:pPr>
            <w:r>
              <w:rPr>
                <w:rFonts w:ascii="Arial" w:cs="Arial" w:eastAsia="Arial" w:hAnsi="Arial"/>
                <w:sz w:val="13"/>
                <w:szCs w:val="13"/>
                <w:color w:val="auto"/>
              </w:rPr>
              <w:t>Loss/(income) from unconsolidated subsidiaries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3"/>
                <w:szCs w:val="13"/>
                <w:color w:val="auto"/>
              </w:rPr>
              <w:t>(1,296 )</w:t>
            </w: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Deferred tax expense</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1,926</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40" w:type="dxa"/>
            <w:vAlign w:val="bottom"/>
          </w:tcPr>
          <w:p>
            <w:pPr>
              <w:ind w:left="380"/>
              <w:spacing w:after="0"/>
              <w:rPr>
                <w:sz w:val="20"/>
                <w:szCs w:val="20"/>
                <w:color w:val="auto"/>
              </w:rPr>
            </w:pPr>
            <w:r>
              <w:rPr>
                <w:rFonts w:ascii="Arial" w:cs="Arial" w:eastAsia="Arial" w:hAnsi="Arial"/>
                <w:sz w:val="13"/>
                <w:szCs w:val="13"/>
                <w:color w:val="auto"/>
              </w:rPr>
              <w:t>Amortization of contingent payment to customers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1,098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Remeasurement of contingent consideration</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40" w:type="dxa"/>
            <w:vAlign w:val="bottom"/>
          </w:tcPr>
          <w:p>
            <w:pPr>
              <w:ind w:left="380"/>
              <w:spacing w:after="0"/>
              <w:rPr>
                <w:sz w:val="20"/>
                <w:szCs w:val="20"/>
                <w:color w:val="auto"/>
              </w:rPr>
            </w:pPr>
            <w:r>
              <w:rPr>
                <w:rFonts w:ascii="Arial" w:cs="Arial" w:eastAsia="Arial" w:hAnsi="Arial"/>
                <w:sz w:val="13"/>
                <w:szCs w:val="13"/>
                <w:color w:val="auto"/>
              </w:rPr>
              <w:t>Post close purchase price adjustment</w:t>
            </w:r>
          </w:p>
        </w:tc>
        <w:tc>
          <w:tcPr>
            <w:tcW w:w="720" w:type="dxa"/>
            <w:vAlign w:val="bottom"/>
          </w:tcPr>
          <w:p>
            <w:pPr>
              <w:spacing w:after="0"/>
              <w:rPr>
                <w:sz w:val="14"/>
                <w:szCs w:val="14"/>
                <w:color w:val="auto"/>
              </w:rPr>
            </w:pPr>
          </w:p>
        </w:tc>
        <w:tc>
          <w:tcPr>
            <w:tcW w:w="70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Change in operating assets and liabilities:</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40" w:type="dxa"/>
            <w:vAlign w:val="bottom"/>
          </w:tcPr>
          <w:p>
            <w:pPr>
              <w:ind w:left="560"/>
              <w:spacing w:after="0"/>
              <w:rPr>
                <w:sz w:val="20"/>
                <w:szCs w:val="20"/>
                <w:color w:val="auto"/>
              </w:rPr>
            </w:pPr>
            <w:r>
              <w:rPr>
                <w:rFonts w:ascii="Arial" w:cs="Arial" w:eastAsia="Arial" w:hAnsi="Arial"/>
                <w:sz w:val="13"/>
                <w:szCs w:val="13"/>
                <w:color w:val="auto"/>
              </w:rPr>
              <w:t>Accounts receivable</w:t>
            </w:r>
          </w:p>
        </w:tc>
        <w:tc>
          <w:tcPr>
            <w:tcW w:w="72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(3,149 )</w:t>
            </w:r>
          </w:p>
        </w:tc>
        <w:tc>
          <w:tcPr>
            <w:tcW w:w="240" w:type="dxa"/>
            <w:vAlign w:val="bottom"/>
          </w:tcPr>
          <w:p>
            <w:pPr>
              <w:spacing w:after="0"/>
              <w:rPr>
                <w:sz w:val="14"/>
                <w:szCs w:val="14"/>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3"/>
                <w:szCs w:val="13"/>
                <w:color w:val="auto"/>
              </w:rPr>
              <w:t>(2,552 )</w:t>
            </w: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Due from related parties</w:t>
            </w:r>
          </w:p>
        </w:tc>
        <w:tc>
          <w:tcPr>
            <w:tcW w:w="7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w w:val="92"/>
              </w:rPr>
              <w:t>(16,326 )</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(18,002 )</w:t>
            </w:r>
          </w:p>
        </w:tc>
        <w:tc>
          <w:tcPr>
            <w:tcW w:w="0" w:type="dxa"/>
            <w:vAlign w:val="bottom"/>
          </w:tcPr>
          <w:p>
            <w:pPr>
              <w:spacing w:after="0"/>
              <w:rPr>
                <w:sz w:val="1"/>
                <w:szCs w:val="1"/>
                <w:color w:val="auto"/>
              </w:rPr>
            </w:pPr>
          </w:p>
        </w:tc>
      </w:tr>
      <w:tr>
        <w:trPr>
          <w:trHeight w:val="161"/>
        </w:trPr>
        <w:tc>
          <w:tcPr>
            <w:tcW w:w="8640" w:type="dxa"/>
            <w:vAlign w:val="bottom"/>
          </w:tcPr>
          <w:p>
            <w:pPr>
              <w:ind w:left="560"/>
              <w:spacing w:after="0"/>
              <w:rPr>
                <w:sz w:val="20"/>
                <w:szCs w:val="20"/>
                <w:color w:val="auto"/>
              </w:rPr>
            </w:pPr>
            <w:r>
              <w:rPr>
                <w:rFonts w:ascii="Arial" w:cs="Arial" w:eastAsia="Arial" w:hAnsi="Arial"/>
                <w:sz w:val="13"/>
                <w:szCs w:val="13"/>
                <w:color w:val="auto"/>
              </w:rPr>
              <w:t>Prepaid expenses and other assets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310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Right-of-use assets</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2,086</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40" w:type="dxa"/>
            <w:vAlign w:val="bottom"/>
          </w:tcPr>
          <w:p>
            <w:pPr>
              <w:ind w:left="560"/>
              <w:spacing w:after="0"/>
              <w:rPr>
                <w:sz w:val="20"/>
                <w:szCs w:val="20"/>
                <w:color w:val="auto"/>
              </w:rPr>
            </w:pPr>
            <w:r>
              <w:rPr>
                <w:rFonts w:ascii="Arial" w:cs="Arial" w:eastAsia="Arial" w:hAnsi="Arial"/>
                <w:sz w:val="13"/>
                <w:szCs w:val="13"/>
                <w:color w:val="auto"/>
              </w:rPr>
              <w:t>Accounts payable</w:t>
            </w:r>
          </w:p>
        </w:tc>
        <w:tc>
          <w:tcPr>
            <w:tcW w:w="72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(471 )</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Accrued expenses</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5,133</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(1,051 )</w:t>
            </w:r>
          </w:p>
        </w:tc>
        <w:tc>
          <w:tcPr>
            <w:tcW w:w="0" w:type="dxa"/>
            <w:vAlign w:val="bottom"/>
          </w:tcPr>
          <w:p>
            <w:pPr>
              <w:spacing w:after="0"/>
              <w:rPr>
                <w:sz w:val="1"/>
                <w:szCs w:val="1"/>
                <w:color w:val="auto"/>
              </w:rPr>
            </w:pPr>
          </w:p>
        </w:tc>
      </w:tr>
      <w:tr>
        <w:trPr>
          <w:trHeight w:val="161"/>
        </w:trPr>
        <w:tc>
          <w:tcPr>
            <w:tcW w:w="8640" w:type="dxa"/>
            <w:vAlign w:val="bottom"/>
          </w:tcPr>
          <w:p>
            <w:pPr>
              <w:ind w:left="560"/>
              <w:spacing w:after="0"/>
              <w:rPr>
                <w:sz w:val="20"/>
                <w:szCs w:val="20"/>
                <w:color w:val="auto"/>
              </w:rPr>
            </w:pPr>
            <w:r>
              <w:rPr>
                <w:rFonts w:ascii="Arial" w:cs="Arial" w:eastAsia="Arial" w:hAnsi="Arial"/>
                <w:sz w:val="13"/>
                <w:szCs w:val="13"/>
                <w:color w:val="auto"/>
              </w:rPr>
              <w:t>Accrued compensation and benefits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31,664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Due to related parties</w:t>
            </w:r>
          </w:p>
        </w:tc>
        <w:tc>
          <w:tcPr>
            <w:tcW w:w="7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(1,351 )</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(739 )</w:t>
            </w:r>
          </w:p>
        </w:tc>
        <w:tc>
          <w:tcPr>
            <w:tcW w:w="0" w:type="dxa"/>
            <w:vAlign w:val="bottom"/>
          </w:tcPr>
          <w:p>
            <w:pPr>
              <w:spacing w:after="0"/>
              <w:rPr>
                <w:sz w:val="1"/>
                <w:szCs w:val="1"/>
                <w:color w:val="auto"/>
              </w:rPr>
            </w:pPr>
          </w:p>
        </w:tc>
      </w:tr>
      <w:tr>
        <w:trPr>
          <w:trHeight w:val="161"/>
        </w:trPr>
        <w:tc>
          <w:tcPr>
            <w:tcW w:w="8640" w:type="dxa"/>
            <w:vAlign w:val="bottom"/>
          </w:tcPr>
          <w:p>
            <w:pPr>
              <w:ind w:left="560"/>
              <w:spacing w:after="0"/>
              <w:rPr>
                <w:sz w:val="20"/>
                <w:szCs w:val="20"/>
                <w:color w:val="auto"/>
              </w:rPr>
            </w:pPr>
            <w:r>
              <w:rPr>
                <w:rFonts w:ascii="Arial" w:cs="Arial" w:eastAsia="Arial" w:hAnsi="Arial"/>
                <w:sz w:val="13"/>
                <w:szCs w:val="13"/>
                <w:color w:val="auto"/>
              </w:rPr>
              <w:t>Other liabilities</w:t>
            </w:r>
          </w:p>
        </w:tc>
        <w:tc>
          <w:tcPr>
            <w:tcW w:w="72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(7,276 )</w:t>
            </w:r>
          </w:p>
        </w:tc>
        <w:tc>
          <w:tcPr>
            <w:tcW w:w="240" w:type="dxa"/>
            <w:vAlign w:val="bottom"/>
          </w:tcPr>
          <w:p>
            <w:pPr>
              <w:spacing w:after="0"/>
              <w:rPr>
                <w:sz w:val="14"/>
                <w:szCs w:val="14"/>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3"/>
                <w:szCs w:val="13"/>
                <w:color w:val="auto"/>
              </w:rPr>
              <w:t>(1,206 )</w:t>
            </w: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Contingent consideration</w:t>
            </w:r>
          </w:p>
        </w:tc>
        <w:tc>
          <w:tcPr>
            <w:tcW w:w="7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(3,210 )</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640" w:type="dxa"/>
            <w:vAlign w:val="bottom"/>
          </w:tcPr>
          <w:p>
            <w:pPr>
              <w:ind w:left="560"/>
              <w:spacing w:after="0"/>
              <w:rPr>
                <w:sz w:val="20"/>
                <w:szCs w:val="20"/>
                <w:color w:val="auto"/>
              </w:rPr>
            </w:pPr>
            <w:r>
              <w:rPr>
                <w:rFonts w:ascii="Arial" w:cs="Arial" w:eastAsia="Arial" w:hAnsi="Arial"/>
                <w:sz w:val="13"/>
                <w:szCs w:val="13"/>
                <w:color w:val="auto"/>
              </w:rPr>
              <w:t>Deferred revenues</w:t>
            </w:r>
          </w:p>
        </w:tc>
        <w:tc>
          <w:tcPr>
            <w:tcW w:w="72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(232 )</w:t>
            </w:r>
          </w:p>
        </w:tc>
        <w:tc>
          <w:tcPr>
            <w:tcW w:w="240" w:type="dxa"/>
            <w:vAlign w:val="bottom"/>
          </w:tcPr>
          <w:p>
            <w:pPr>
              <w:spacing w:after="0"/>
              <w:rPr>
                <w:sz w:val="14"/>
                <w:szCs w:val="14"/>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3"/>
                <w:szCs w:val="13"/>
                <w:color w:val="auto"/>
              </w:rPr>
              <w:t>(205 )</w:t>
            </w:r>
          </w:p>
        </w:tc>
        <w:tc>
          <w:tcPr>
            <w:tcW w:w="0" w:type="dxa"/>
            <w:vAlign w:val="bottom"/>
          </w:tcPr>
          <w:p>
            <w:pPr>
              <w:spacing w:after="0"/>
              <w:rPr>
                <w:sz w:val="1"/>
                <w:szCs w:val="1"/>
                <w:color w:val="auto"/>
              </w:rPr>
            </w:pPr>
          </w:p>
        </w:tc>
      </w:tr>
      <w:tr>
        <w:trPr>
          <w:trHeight w:val="162"/>
        </w:trPr>
        <w:tc>
          <w:tcPr>
            <w:tcW w:w="86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Lease liabilities</w:t>
            </w:r>
          </w:p>
        </w:tc>
        <w:tc>
          <w:tcPr>
            <w:tcW w:w="7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(1,401 )</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(2,114 )</w:t>
            </w:r>
          </w:p>
        </w:tc>
        <w:tc>
          <w:tcPr>
            <w:tcW w:w="0" w:type="dxa"/>
            <w:vAlign w:val="bottom"/>
          </w:tcPr>
          <w:p>
            <w:pPr>
              <w:spacing w:after="0"/>
              <w:rPr>
                <w:sz w:val="1"/>
                <w:szCs w:val="1"/>
                <w:color w:val="auto"/>
              </w:rPr>
            </w:pPr>
          </w:p>
        </w:tc>
      </w:tr>
      <w:tr>
        <w:trPr>
          <w:trHeight w:val="155"/>
        </w:trPr>
        <w:tc>
          <w:tcPr>
            <w:tcW w:w="8640" w:type="dxa"/>
            <w:vAlign w:val="bottom"/>
            <w:tcBorders>
              <w:top w:val="single" w:sz="8" w:color="CFF0FC"/>
            </w:tcBorders>
          </w:tcPr>
          <w:p>
            <w:pPr>
              <w:ind w:left="740"/>
              <w:spacing w:after="0"/>
              <w:rPr>
                <w:sz w:val="20"/>
                <w:szCs w:val="20"/>
                <w:color w:val="auto"/>
              </w:rPr>
            </w:pPr>
            <w:r>
              <w:rPr>
                <w:rFonts w:ascii="Arial" w:cs="Arial" w:eastAsia="Arial" w:hAnsi="Arial"/>
                <w:sz w:val="13"/>
                <w:szCs w:val="13"/>
                <w:color w:val="auto"/>
              </w:rPr>
              <w:t>Net cash provided by operating activities</w:t>
            </w:r>
          </w:p>
        </w:tc>
        <w:tc>
          <w:tcPr>
            <w:tcW w:w="7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45,807</w:t>
            </w:r>
          </w:p>
        </w:tc>
        <w:tc>
          <w:tcPr>
            <w:tcW w:w="2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43,946</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USED IN INVESTING ACTIVITIES</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Purchase of intangible assets</w:t>
            </w:r>
          </w:p>
        </w:tc>
        <w:tc>
          <w:tcPr>
            <w:tcW w:w="72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(20 )</w:t>
            </w:r>
          </w:p>
        </w:tc>
        <w:tc>
          <w:tcPr>
            <w:tcW w:w="240" w:type="dxa"/>
            <w:vAlign w:val="bottom"/>
          </w:tcPr>
          <w:p>
            <w:pPr>
              <w:spacing w:after="0"/>
              <w:rPr>
                <w:sz w:val="14"/>
                <w:szCs w:val="14"/>
                <w:color w:val="auto"/>
              </w:rPr>
            </w:pP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Draw on notes receivable</w:t>
            </w:r>
          </w:p>
        </w:tc>
        <w:tc>
          <w:tcPr>
            <w:tcW w:w="7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(212 )</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(1,456 )</w:t>
            </w:r>
          </w:p>
        </w:tc>
        <w:tc>
          <w:tcPr>
            <w:tcW w:w="0" w:type="dxa"/>
            <w:vAlign w:val="bottom"/>
          </w:tcPr>
          <w:p>
            <w:pPr>
              <w:spacing w:after="0"/>
              <w:rPr>
                <w:sz w:val="1"/>
                <w:szCs w:val="1"/>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Proceeds from notes receivable</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Proceeds from investments in unconsolidated subsidiaries</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Software capitalization</w:t>
            </w:r>
          </w:p>
        </w:tc>
        <w:tc>
          <w:tcPr>
            <w:tcW w:w="720" w:type="dxa"/>
            <w:vAlign w:val="bottom"/>
          </w:tcPr>
          <w:p>
            <w:pPr>
              <w:spacing w:after="0"/>
              <w:rPr>
                <w:sz w:val="14"/>
                <w:szCs w:val="14"/>
                <w:color w:val="auto"/>
              </w:rPr>
            </w:pPr>
          </w:p>
        </w:tc>
        <w:tc>
          <w:tcPr>
            <w:tcW w:w="70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3"/>
                <w:szCs w:val="13"/>
                <w:color w:val="auto"/>
              </w:rPr>
              <w:t>(148 )</w:t>
            </w:r>
          </w:p>
        </w:tc>
        <w:tc>
          <w:tcPr>
            <w:tcW w:w="0" w:type="dxa"/>
            <w:vAlign w:val="bottom"/>
          </w:tcPr>
          <w:p>
            <w:pPr>
              <w:spacing w:after="0"/>
              <w:rPr>
                <w:sz w:val="1"/>
                <w:szCs w:val="1"/>
                <w:color w:val="auto"/>
              </w:rPr>
            </w:pPr>
          </w:p>
        </w:tc>
      </w:tr>
      <w:tr>
        <w:trPr>
          <w:trHeight w:val="162"/>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Purchases of property and equipment</w:t>
            </w:r>
          </w:p>
        </w:tc>
        <w:tc>
          <w:tcPr>
            <w:tcW w:w="7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(1,025 )</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(919 )</w:t>
            </w:r>
          </w:p>
        </w:tc>
        <w:tc>
          <w:tcPr>
            <w:tcW w:w="0" w:type="dxa"/>
            <w:vAlign w:val="bottom"/>
          </w:tcPr>
          <w:p>
            <w:pPr>
              <w:spacing w:after="0"/>
              <w:rPr>
                <w:sz w:val="1"/>
                <w:szCs w:val="1"/>
                <w:color w:val="auto"/>
              </w:rPr>
            </w:pPr>
          </w:p>
        </w:tc>
      </w:tr>
      <w:tr>
        <w:trPr>
          <w:trHeight w:val="20"/>
        </w:trPr>
        <w:tc>
          <w:tcPr>
            <w:tcW w:w="86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640" w:type="dxa"/>
            <w:vAlign w:val="bottom"/>
          </w:tcPr>
          <w:p>
            <w:pPr>
              <w:ind w:left="740"/>
              <w:spacing w:after="0"/>
              <w:rPr>
                <w:sz w:val="20"/>
                <w:szCs w:val="20"/>
                <w:color w:val="auto"/>
              </w:rPr>
            </w:pPr>
            <w:r>
              <w:rPr>
                <w:rFonts w:ascii="Arial" w:cs="Arial" w:eastAsia="Arial" w:hAnsi="Arial"/>
                <w:sz w:val="13"/>
                <w:szCs w:val="13"/>
                <w:color w:val="auto"/>
              </w:rPr>
              <w:t>Net cash used in investing activities</w:t>
            </w:r>
          </w:p>
        </w:tc>
        <w:tc>
          <w:tcPr>
            <w:tcW w:w="720" w:type="dxa"/>
            <w:vAlign w:val="bottom"/>
          </w:tcPr>
          <w:p>
            <w:pPr>
              <w:spacing w:after="0"/>
              <w:rPr>
                <w:sz w:val="13"/>
                <w:szCs w:val="13"/>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(727 )</w:t>
            </w:r>
          </w:p>
        </w:tc>
        <w:tc>
          <w:tcPr>
            <w:tcW w:w="240" w:type="dxa"/>
            <w:vAlign w:val="bottom"/>
          </w:tcPr>
          <w:p>
            <w:pPr>
              <w:spacing w:after="0"/>
              <w:rPr>
                <w:sz w:val="13"/>
                <w:szCs w:val="13"/>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3"/>
                <w:szCs w:val="13"/>
                <w:color w:val="auto"/>
              </w:rPr>
              <w:t>(1,554 )</w:t>
            </w:r>
          </w:p>
        </w:tc>
        <w:tc>
          <w:tcPr>
            <w:tcW w:w="0" w:type="dxa"/>
            <w:vAlign w:val="bottom"/>
          </w:tcPr>
          <w:p>
            <w:pPr>
              <w:spacing w:after="0"/>
              <w:rPr>
                <w:sz w:val="1"/>
                <w:szCs w:val="1"/>
                <w:color w:val="auto"/>
              </w:rPr>
            </w:pPr>
          </w:p>
        </w:tc>
      </w:tr>
      <w:tr>
        <w:trPr>
          <w:trHeight w:val="164"/>
        </w:trPr>
        <w:tc>
          <w:tcPr>
            <w:tcW w:w="8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USED IN FINANCING ACTIVITIES</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Borrowings on debt obligations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28,000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Repayments on debt obligations</w:t>
            </w:r>
          </w:p>
        </w:tc>
        <w:tc>
          <w:tcPr>
            <w:tcW w:w="7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w w:val="92"/>
              </w:rPr>
              <w:t>(56,369 )</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(41,000 )</w:t>
            </w:r>
          </w:p>
        </w:tc>
        <w:tc>
          <w:tcPr>
            <w:tcW w:w="0" w:type="dxa"/>
            <w:vAlign w:val="bottom"/>
          </w:tcPr>
          <w:p>
            <w:pPr>
              <w:spacing w:after="0"/>
              <w:rPr>
                <w:sz w:val="1"/>
                <w:szCs w:val="1"/>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Repurchase of Class A common stock for employee tax withholding</w:t>
            </w:r>
          </w:p>
        </w:tc>
        <w:tc>
          <w:tcPr>
            <w:tcW w:w="72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(5,181 )</w:t>
            </w:r>
          </w:p>
        </w:tc>
        <w:tc>
          <w:tcPr>
            <w:tcW w:w="240" w:type="dxa"/>
            <w:vAlign w:val="bottom"/>
          </w:tcPr>
          <w:p>
            <w:pPr>
              <w:spacing w:after="0"/>
              <w:rPr>
                <w:sz w:val="14"/>
                <w:szCs w:val="14"/>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3"/>
                <w:szCs w:val="13"/>
                <w:color w:val="auto"/>
              </w:rPr>
              <w:t>(1,683 )</w:t>
            </w: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Payments to settle exercise of employee stock options</w:t>
            </w:r>
          </w:p>
        </w:tc>
        <w:tc>
          <w:tcPr>
            <w:tcW w:w="7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Repurchase of Class B common stock</w:t>
            </w:r>
          </w:p>
        </w:tc>
        <w:tc>
          <w:tcPr>
            <w:tcW w:w="72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(851 )</w:t>
            </w:r>
          </w:p>
        </w:tc>
        <w:tc>
          <w:tcPr>
            <w:tcW w:w="240" w:type="dxa"/>
            <w:vAlign w:val="bottom"/>
          </w:tcPr>
          <w:p>
            <w:pPr>
              <w:spacing w:after="0"/>
              <w:rPr>
                <w:sz w:val="14"/>
                <w:szCs w:val="14"/>
                <w:color w:val="auto"/>
              </w:rPr>
            </w:pP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 of Class A common stock</w:t>
            </w:r>
          </w:p>
        </w:tc>
        <w:tc>
          <w:tcPr>
            <w:tcW w:w="7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(1,485 )</w:t>
            </w:r>
          </w:p>
        </w:tc>
        <w:tc>
          <w:tcPr>
            <w:tcW w:w="0" w:type="dxa"/>
            <w:vAlign w:val="bottom"/>
          </w:tcPr>
          <w:p>
            <w:pPr>
              <w:spacing w:after="0"/>
              <w:rPr>
                <w:sz w:val="1"/>
                <w:szCs w:val="1"/>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Payment of contingent consideration</w:t>
            </w:r>
          </w:p>
        </w:tc>
        <w:tc>
          <w:tcPr>
            <w:tcW w:w="72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(6,476 )</w:t>
            </w:r>
          </w:p>
        </w:tc>
        <w:tc>
          <w:tcPr>
            <w:tcW w:w="240" w:type="dxa"/>
            <w:vAlign w:val="bottom"/>
          </w:tcPr>
          <w:p>
            <w:pPr>
              <w:spacing w:after="0"/>
              <w:rPr>
                <w:sz w:val="14"/>
                <w:szCs w:val="14"/>
                <w:color w:val="auto"/>
              </w:rPr>
            </w:pP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settlement of stock options</w:t>
            </w:r>
          </w:p>
        </w:tc>
        <w:tc>
          <w:tcPr>
            <w:tcW w:w="7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(12,466 )</w:t>
            </w:r>
          </w:p>
        </w:tc>
        <w:tc>
          <w:tcPr>
            <w:tcW w:w="0" w:type="dxa"/>
            <w:vAlign w:val="bottom"/>
          </w:tcPr>
          <w:p>
            <w:pPr>
              <w:spacing w:after="0"/>
              <w:rPr>
                <w:sz w:val="1"/>
                <w:szCs w:val="1"/>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Dividends paid</w:t>
            </w:r>
          </w:p>
        </w:tc>
        <w:tc>
          <w:tcPr>
            <w:tcW w:w="72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w w:val="92"/>
              </w:rPr>
              <w:t>(11,031 )</w:t>
            </w:r>
          </w:p>
        </w:tc>
        <w:tc>
          <w:tcPr>
            <w:tcW w:w="240" w:type="dxa"/>
            <w:vAlign w:val="bottom"/>
          </w:tcPr>
          <w:p>
            <w:pPr>
              <w:spacing w:after="0"/>
              <w:rPr>
                <w:sz w:val="14"/>
                <w:szCs w:val="14"/>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3"/>
                <w:szCs w:val="13"/>
                <w:color w:val="auto"/>
              </w:rPr>
              <w:t>(7,041 )</w:t>
            </w:r>
          </w:p>
        </w:tc>
        <w:tc>
          <w:tcPr>
            <w:tcW w:w="0" w:type="dxa"/>
            <w:vAlign w:val="bottom"/>
          </w:tcPr>
          <w:p>
            <w:pPr>
              <w:spacing w:after="0"/>
              <w:rPr>
                <w:sz w:val="1"/>
                <w:szCs w:val="1"/>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Distributions to partners</w:t>
            </w:r>
          </w:p>
        </w:tc>
        <w:tc>
          <w:tcPr>
            <w:tcW w:w="7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(446 )</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Debt issuance costs</w:t>
            </w:r>
          </w:p>
        </w:tc>
        <w:tc>
          <w:tcPr>
            <w:tcW w:w="720" w:type="dxa"/>
            <w:vAlign w:val="bottom"/>
          </w:tcPr>
          <w:p>
            <w:pPr>
              <w:spacing w:after="0"/>
              <w:rPr>
                <w:sz w:val="14"/>
                <w:szCs w:val="14"/>
                <w:color w:val="auto"/>
              </w:rPr>
            </w:pPr>
          </w:p>
        </w:tc>
        <w:tc>
          <w:tcPr>
            <w:tcW w:w="70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3"/>
                <w:szCs w:val="13"/>
                <w:color w:val="auto"/>
              </w:rPr>
              <w:t>(1,365 )</w:t>
            </w:r>
          </w:p>
        </w:tc>
        <w:tc>
          <w:tcPr>
            <w:tcW w:w="0" w:type="dxa"/>
            <w:vAlign w:val="bottom"/>
          </w:tcPr>
          <w:p>
            <w:pPr>
              <w:spacing w:after="0"/>
              <w:rPr>
                <w:sz w:val="1"/>
                <w:szCs w:val="1"/>
                <w:color w:val="auto"/>
              </w:rPr>
            </w:pPr>
          </w:p>
        </w:tc>
      </w:tr>
      <w:tr>
        <w:trPr>
          <w:trHeight w:val="156"/>
        </w:trPr>
        <w:tc>
          <w:tcPr>
            <w:tcW w:w="86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3"/>
                <w:szCs w:val="13"/>
                <w:color w:val="auto"/>
              </w:rPr>
              <w:t>Net cash used in financing activities</w:t>
            </w:r>
          </w:p>
        </w:tc>
        <w:tc>
          <w:tcPr>
            <w:tcW w:w="720" w:type="dxa"/>
            <w:vAlign w:val="bottom"/>
            <w:tcBorders>
              <w:top w:val="single" w:sz="8" w:color="auto"/>
              <w:bottom w:val="single" w:sz="8" w:color="auto"/>
            </w:tcBorders>
            <w:shd w:val="clear" w:color="auto" w:fill="CFF0FC"/>
          </w:tcPr>
          <w:p>
            <w:pPr>
              <w:spacing w:after="0"/>
              <w:rPr>
                <w:sz w:val="13"/>
                <w:szCs w:val="13"/>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0"/>
              </w:rPr>
              <w:t>(52,354</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(65,112</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5"/>
        </w:trPr>
        <w:tc>
          <w:tcPr>
            <w:tcW w:w="8640" w:type="dxa"/>
            <w:vAlign w:val="bottom"/>
          </w:tcPr>
          <w:p>
            <w:pPr>
              <w:ind w:left="740"/>
              <w:spacing w:after="0"/>
              <w:rPr>
                <w:sz w:val="20"/>
                <w:szCs w:val="20"/>
                <w:color w:val="auto"/>
              </w:rPr>
            </w:pPr>
            <w:r>
              <w:rPr>
                <w:rFonts w:ascii="Arial" w:cs="Arial" w:eastAsia="Arial" w:hAnsi="Arial"/>
                <w:sz w:val="13"/>
                <w:szCs w:val="13"/>
                <w:color w:val="auto"/>
              </w:rPr>
              <w:t>Net change in cash, cash equivalents and restricted cash</w:t>
            </w:r>
          </w:p>
        </w:tc>
        <w:tc>
          <w:tcPr>
            <w:tcW w:w="720" w:type="dxa"/>
            <w:vAlign w:val="bottom"/>
          </w:tcPr>
          <w:p>
            <w:pPr>
              <w:spacing w:after="0"/>
              <w:rPr>
                <w:sz w:val="13"/>
                <w:szCs w:val="13"/>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(7,274 )</w:t>
            </w:r>
          </w:p>
        </w:tc>
        <w:tc>
          <w:tcPr>
            <w:tcW w:w="240" w:type="dxa"/>
            <w:vAlign w:val="bottom"/>
          </w:tcPr>
          <w:p>
            <w:pPr>
              <w:spacing w:after="0"/>
              <w:rPr>
                <w:sz w:val="13"/>
                <w:szCs w:val="13"/>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3"/>
                <w:szCs w:val="13"/>
                <w:color w:val="auto"/>
              </w:rPr>
              <w:t>(22,720 )</w:t>
            </w:r>
          </w:p>
        </w:tc>
        <w:tc>
          <w:tcPr>
            <w:tcW w:w="0" w:type="dxa"/>
            <w:vAlign w:val="bottom"/>
          </w:tcPr>
          <w:p>
            <w:pPr>
              <w:spacing w:after="0"/>
              <w:rPr>
                <w:sz w:val="1"/>
                <w:szCs w:val="1"/>
                <w:color w:val="auto"/>
              </w:rPr>
            </w:pPr>
          </w:p>
        </w:tc>
      </w:tr>
      <w:tr>
        <w:trPr>
          <w:trHeight w:val="131"/>
        </w:trPr>
        <w:tc>
          <w:tcPr>
            <w:tcW w:w="864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b w:val="1"/>
                <w:bCs w:val="1"/>
                <w:color w:val="auto"/>
              </w:rPr>
              <w:t>CASH, CASH EQUIVALENTS AND RESTRICTED CASH, beginning</w:t>
            </w:r>
          </w:p>
        </w:tc>
        <w:tc>
          <w:tcPr>
            <w:tcW w:w="720" w:type="dxa"/>
            <w:vAlign w:val="bottom"/>
            <w:shd w:val="clear" w:color="auto" w:fill="CFF0FC"/>
          </w:tcPr>
          <w:p>
            <w:pPr>
              <w:spacing w:after="0"/>
              <w:rPr>
                <w:sz w:val="11"/>
                <w:szCs w:val="11"/>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29,492</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43,482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of period</w:t>
            </w:r>
          </w:p>
        </w:tc>
        <w:tc>
          <w:tcPr>
            <w:tcW w:w="7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640" w:type="dxa"/>
            <w:vAlign w:val="bottom"/>
          </w:tcPr>
          <w:p>
            <w:pPr>
              <w:ind w:left="20"/>
              <w:spacing w:after="0" w:line="124" w:lineRule="exact"/>
              <w:rPr>
                <w:sz w:val="20"/>
                <w:szCs w:val="20"/>
                <w:color w:val="auto"/>
              </w:rPr>
            </w:pPr>
            <w:r>
              <w:rPr>
                <w:rFonts w:ascii="Arial" w:cs="Arial" w:eastAsia="Arial" w:hAnsi="Arial"/>
                <w:sz w:val="13"/>
                <w:szCs w:val="13"/>
                <w:b w:val="1"/>
                <w:bCs w:val="1"/>
                <w:color w:val="auto"/>
              </w:rPr>
              <w:t>CASH, CASH EQUIVALENTS AND RESTRICTED CASH, end of</w:t>
            </w:r>
          </w:p>
        </w:tc>
        <w:tc>
          <w:tcPr>
            <w:tcW w:w="720" w:type="dxa"/>
            <w:vAlign w:val="bottom"/>
            <w:vMerge w:val="restart"/>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22,218</w:t>
            </w:r>
          </w:p>
        </w:tc>
        <w:tc>
          <w:tcPr>
            <w:tcW w:w="260" w:type="dxa"/>
            <w:vAlign w:val="bottom"/>
          </w:tcPr>
          <w:p>
            <w:pPr>
              <w:spacing w:after="0"/>
              <w:rPr>
                <w:sz w:val="10"/>
                <w:szCs w:val="10"/>
                <w:color w:val="auto"/>
              </w:rPr>
            </w:pP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20,762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40" w:type="dxa"/>
            <w:vAlign w:val="bottom"/>
          </w:tcPr>
          <w:p>
            <w:pPr>
              <w:ind w:left="120"/>
              <w:spacing w:after="0" w:line="106" w:lineRule="exact"/>
              <w:rPr>
                <w:sz w:val="20"/>
                <w:szCs w:val="20"/>
                <w:color w:val="auto"/>
              </w:rPr>
            </w:pPr>
            <w:r>
              <w:rPr>
                <w:rFonts w:ascii="Arial" w:cs="Arial" w:eastAsia="Arial" w:hAnsi="Arial"/>
                <w:sz w:val="12"/>
                <w:szCs w:val="12"/>
                <w:b w:val="1"/>
                <w:bCs w:val="1"/>
                <w:color w:val="auto"/>
              </w:rPr>
              <w:t>period</w:t>
            </w:r>
          </w:p>
        </w:tc>
        <w:tc>
          <w:tcPr>
            <w:tcW w:w="72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-2879725</wp:posOffset>
            </wp:positionV>
            <wp:extent cx="77470"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-2047875</wp:posOffset>
            </wp:positionV>
            <wp:extent cx="7747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-488315</wp:posOffset>
            </wp:positionV>
            <wp:extent cx="77470"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111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-196215</wp:posOffset>
            </wp:positionV>
            <wp:extent cx="77470"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220" w:lineRule="exact"/>
        <w:rPr>
          <w:sz w:val="20"/>
          <w:szCs w:val="20"/>
          <w:color w:val="auto"/>
        </w:rPr>
      </w:pPr>
    </w:p>
    <w:p>
      <w:pPr>
        <w:ind w:left="9320"/>
        <w:spacing w:after="0"/>
        <w:rPr>
          <w:sz w:val="20"/>
          <w:szCs w:val="20"/>
          <w:color w:val="auto"/>
        </w:rPr>
      </w:pPr>
      <w:r>
        <w:rPr>
          <w:rFonts w:ascii="Arial" w:cs="Arial" w:eastAsia="Arial" w:hAnsi="Arial"/>
          <w:sz w:val="13"/>
          <w:szCs w:val="13"/>
          <w:b w:val="1"/>
          <w:bCs w:val="1"/>
          <w:color w:val="auto"/>
        </w:rPr>
        <w:t>For the Nine Months</w:t>
      </w:r>
    </w:p>
    <w:p>
      <w:pPr>
        <w:ind w:left="9300"/>
        <w:spacing w:after="0"/>
        <w:rPr>
          <w:sz w:val="20"/>
          <w:szCs w:val="20"/>
          <w:color w:val="auto"/>
        </w:rPr>
      </w:pPr>
      <w:r>
        <w:rPr>
          <w:rFonts w:ascii="Arial" w:cs="Arial" w:eastAsia="Arial" w:hAnsi="Arial"/>
          <w:sz w:val="13"/>
          <w:szCs w:val="13"/>
          <w:b w:val="1"/>
          <w:bCs w:val="1"/>
          <w:color w:val="auto"/>
        </w:rPr>
        <w:t>Ended September 30,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r>
      <w:tr>
        <w:trPr>
          <w:trHeight w:val="155"/>
        </w:trPr>
        <w:tc>
          <w:tcPr>
            <w:tcW w:w="8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7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74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15,051</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4,622</w:t>
            </w:r>
          </w:p>
        </w:tc>
        <w:tc>
          <w:tcPr>
            <w:tcW w:w="100" w:type="dxa"/>
            <w:vAlign w:val="bottom"/>
          </w:tcPr>
          <w:p>
            <w:pPr>
              <w:spacing w:after="0"/>
              <w:rPr>
                <w:sz w:val="14"/>
                <w:szCs w:val="14"/>
                <w:color w:val="auto"/>
              </w:rPr>
            </w:pPr>
          </w:p>
        </w:tc>
      </w:tr>
      <w:tr>
        <w:trPr>
          <w:trHeight w:val="20"/>
        </w:trPr>
        <w:tc>
          <w:tcPr>
            <w:tcW w:w="8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640" w:type="dxa"/>
            <w:vAlign w:val="bottom"/>
            <w:tcBorders>
              <w:bottom w:val="single" w:sz="8" w:color="CFF0FC"/>
            </w:tcBorders>
            <w:shd w:val="clear" w:color="auto" w:fill="CFF0FC"/>
          </w:tcPr>
          <w:p>
            <w:pPr>
              <w:ind w:left="200"/>
              <w:spacing w:after="0" w:line="143" w:lineRule="exact"/>
              <w:rPr>
                <w:sz w:val="20"/>
                <w:szCs w:val="20"/>
                <w:color w:val="auto"/>
              </w:rPr>
            </w:pPr>
            <w:r>
              <w:rPr>
                <w:rFonts w:ascii="Arial" w:cs="Arial" w:eastAsia="Arial" w:hAnsi="Arial"/>
                <w:sz w:val="13"/>
                <w:szCs w:val="13"/>
                <w:color w:val="auto"/>
              </w:rPr>
              <w:t>Net cash paid for income taxes</w:t>
            </w:r>
          </w:p>
        </w:tc>
        <w:tc>
          <w:tcPr>
            <w:tcW w:w="740" w:type="dxa"/>
            <w:vAlign w:val="bottom"/>
            <w:tcBorders>
              <w:top w:val="single" w:sz="8" w:color="auto"/>
              <w:bottom w:val="single" w:sz="8" w:color="auto"/>
            </w:tcBorders>
            <w:shd w:val="clear" w:color="auto" w:fill="CFF0FC"/>
          </w:tcPr>
          <w:p>
            <w:pPr>
              <w:jc w:val="right"/>
              <w:ind w:right="597"/>
              <w:spacing w:after="0" w:line="143"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1,332</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97"/>
              <w:spacing w:after="0" w:line="143"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738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304"/>
        </w:trPr>
        <w:tc>
          <w:tcPr>
            <w:tcW w:w="8640" w:type="dxa"/>
            <w:vAlign w:val="bottom"/>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Additions to right-of-use assets</w:t>
            </w:r>
          </w:p>
        </w:tc>
        <w:tc>
          <w:tcPr>
            <w:tcW w:w="740" w:type="dxa"/>
            <w:vAlign w:val="bottom"/>
            <w:shd w:val="clear" w:color="auto" w:fill="CFF0FC"/>
          </w:tcPr>
          <w:p>
            <w:pPr>
              <w:jc w:val="right"/>
              <w:ind w:right="59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3,538</w:t>
            </w:r>
          </w:p>
        </w:tc>
        <w:tc>
          <w:tcPr>
            <w:tcW w:w="5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FF0FC"/>
          </w:tcPr>
          <w:p>
            <w:pPr>
              <w:spacing w:after="0"/>
              <w:rPr>
                <w:sz w:val="14"/>
                <w:szCs w:val="14"/>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Additions to lease liabilities</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3,538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1,839</w:t>
            </w:r>
          </w:p>
        </w:tc>
        <w:tc>
          <w:tcPr>
            <w:tcW w:w="100" w:type="dxa"/>
            <w:vAlign w:val="bottom"/>
          </w:tcPr>
          <w:p>
            <w:pPr>
              <w:spacing w:after="0"/>
              <w:rPr>
                <w:sz w:val="14"/>
                <w:szCs w:val="14"/>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Additions to property and equipment</w:t>
            </w:r>
          </w:p>
        </w:tc>
        <w:tc>
          <w:tcPr>
            <w:tcW w:w="7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949</w:t>
            </w:r>
          </w:p>
        </w:tc>
        <w:tc>
          <w:tcPr>
            <w:tcW w:w="100" w:type="dxa"/>
            <w:vAlign w:val="bottom"/>
            <w:shd w:val="clear" w:color="auto" w:fill="CFF0FC"/>
          </w:tcPr>
          <w:p>
            <w:pPr>
              <w:spacing w:after="0"/>
              <w:rPr>
                <w:sz w:val="14"/>
                <w:szCs w:val="14"/>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Additions to contingent consideration</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550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202"/>
        </w:trPr>
        <w:tc>
          <w:tcPr>
            <w:tcW w:w="8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Dividends declared</w:t>
            </w:r>
          </w:p>
        </w:tc>
        <w:tc>
          <w:tcPr>
            <w:tcW w:w="7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74"/>
        </w:trPr>
        <w:tc>
          <w:tcPr>
            <w:tcW w:w="8640" w:type="dxa"/>
            <w:vAlign w:val="bottom"/>
          </w:tcPr>
          <w:p>
            <w:pPr>
              <w:ind w:left="20"/>
              <w:spacing w:after="0"/>
              <w:rPr>
                <w:sz w:val="20"/>
                <w:szCs w:val="20"/>
                <w:color w:val="auto"/>
              </w:rPr>
            </w:pPr>
            <w:r>
              <w:rPr>
                <w:rFonts w:ascii="Arial" w:cs="Arial" w:eastAsia="Arial" w:hAnsi="Arial"/>
                <w:sz w:val="13"/>
                <w:szCs w:val="13"/>
                <w:b w:val="1"/>
                <w:bCs w:val="1"/>
                <w:color w:val="auto"/>
              </w:rPr>
              <w:t>RECONCILIATION OF CASH, CASH EQUIVALENTS AND</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65"/>
        </w:trPr>
        <w:tc>
          <w:tcPr>
            <w:tcW w:w="8640" w:type="dxa"/>
            <w:vAlign w:val="bottom"/>
          </w:tcPr>
          <w:p>
            <w:pPr>
              <w:ind w:left="120"/>
              <w:spacing w:after="0"/>
              <w:rPr>
                <w:sz w:val="20"/>
                <w:szCs w:val="20"/>
                <w:color w:val="auto"/>
              </w:rPr>
            </w:pPr>
            <w:r>
              <w:rPr>
                <w:rFonts w:ascii="Arial" w:cs="Arial" w:eastAsia="Arial" w:hAnsi="Arial"/>
                <w:sz w:val="13"/>
                <w:szCs w:val="13"/>
                <w:b w:val="1"/>
                <w:bCs w:val="1"/>
                <w:color w:val="auto"/>
              </w:rPr>
              <w:t>RESTRICTED CASH</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740" w:type="dxa"/>
            <w:vAlign w:val="bottom"/>
            <w:shd w:val="clear" w:color="auto" w:fill="CFF0FC"/>
          </w:tcPr>
          <w:p>
            <w:pPr>
              <w:jc w:val="right"/>
              <w:ind w:right="59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20,041</w:t>
            </w:r>
          </w:p>
        </w:tc>
        <w:tc>
          <w:tcPr>
            <w:tcW w:w="5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19,415</w:t>
            </w:r>
          </w:p>
        </w:tc>
        <w:tc>
          <w:tcPr>
            <w:tcW w:w="100" w:type="dxa"/>
            <w:vAlign w:val="bottom"/>
            <w:shd w:val="clear" w:color="auto" w:fill="CFF0FC"/>
          </w:tcPr>
          <w:p>
            <w:pPr>
              <w:spacing w:after="0"/>
              <w:rPr>
                <w:sz w:val="14"/>
                <w:szCs w:val="14"/>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Restricted cash</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2,177</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1,347</w:t>
            </w:r>
          </w:p>
        </w:tc>
        <w:tc>
          <w:tcPr>
            <w:tcW w:w="100" w:type="dxa"/>
            <w:vAlign w:val="bottom"/>
          </w:tcPr>
          <w:p>
            <w:pPr>
              <w:spacing w:after="0"/>
              <w:rPr>
                <w:sz w:val="14"/>
                <w:szCs w:val="14"/>
                <w:color w:val="auto"/>
              </w:rPr>
            </w:pPr>
          </w:p>
        </w:tc>
      </w:tr>
      <w:tr>
        <w:trPr>
          <w:trHeight w:val="195"/>
        </w:trPr>
        <w:tc>
          <w:tcPr>
            <w:tcW w:w="8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Total cash, cash equivalents and restricted cash</w:t>
            </w:r>
          </w:p>
        </w:tc>
        <w:tc>
          <w:tcPr>
            <w:tcW w:w="740" w:type="dxa"/>
            <w:vAlign w:val="bottom"/>
            <w:tcBorders>
              <w:bottom w:val="single" w:sz="8" w:color="auto"/>
            </w:tcBorders>
            <w:shd w:val="clear" w:color="auto" w:fill="CFF0FC"/>
          </w:tcPr>
          <w:p>
            <w:pPr>
              <w:jc w:val="right"/>
              <w:ind w:right="59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5"/>
              </w:rPr>
              <w:t>22,218</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20,762</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-1405255</wp:posOffset>
            </wp:positionV>
            <wp:extent cx="917575" cy="2311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17575" cy="23114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-659130</wp:posOffset>
            </wp:positionV>
            <wp:extent cx="917575" cy="316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17575" cy="31686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were converted into common stock of P10. The offering and reorganization included a reverse stock split of P10 Holdings common stock on a 0.7-for-1 basis pursuant to which every outstanding share of common stock decreased to 0.7 shares.</w:t>
      </w:r>
    </w:p>
    <w:p>
      <w:pPr>
        <w:spacing w:after="0" w:line="17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8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On December 1, 2017, the Company changed its name from P10 Industries, Inc. to P10 Holdings, Inc. We were founded as a Texas corporation in 1992 and reincorporated in Delaware in 2000. Our headquarters is in Dallas, Texas.</w:t>
      </w:r>
    </w:p>
    <w:p>
      <w:pPr>
        <w:spacing w:after="0" w:line="181"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Five Points is a registered investment advisor with the United States Securities and Exchange Commission.</w:t>
      </w:r>
    </w:p>
    <w:p>
      <w:pPr>
        <w:spacing w:after="0" w:line="18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84" w:lineRule="exact"/>
        <w:rPr>
          <w:sz w:val="20"/>
          <w:szCs w:val="20"/>
          <w:color w:val="auto"/>
        </w:rPr>
      </w:pPr>
    </w:p>
    <w:p>
      <w:pPr>
        <w:ind w:right="160" w:firstLine="509"/>
        <w:spacing w:after="0" w:line="286" w:lineRule="auto"/>
        <w:rPr>
          <w:sz w:val="20"/>
          <w:szCs w:val="20"/>
          <w:color w:val="auto"/>
        </w:rPr>
      </w:pPr>
      <w:r>
        <w:rPr>
          <w:rFonts w:ascii="Arial" w:cs="Arial" w:eastAsia="Arial" w:hAnsi="Arial"/>
          <w:sz w:val="16"/>
          <w:szCs w:val="16"/>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spacing w:after="0" w:line="17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June 2022, the Company formed P10 Advisors, a fully consolidated subsidiary, to manage investment opportunities that are sourced across the P10 platform but do not fit within an existing investment mandate.</w:t>
      </w:r>
    </w:p>
    <w:p>
      <w:pPr>
        <w:spacing w:after="0" w:line="1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87"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The results of WTI’s operations have been included in the consolidated financial statements effective October 13, 2022. The Company reports noncontrolling interests related to the partnership interests which are owned by the WTI sellers. This is recorded as noncontrolling interests on the Consolidated Balance Sheets. Noncontrolling interests is allocated a share of income or loss in the respective consolidated subsidiaries in proportion to their relative ownership interest. Additionally, the Company makes periodic distributions to the WTI sellers for tax related and other agreed upon expenses in accordance with the terms of the P10 Intermediate operating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and nine months ended September 30, 2023 are not necessarily indicative of the results to be expected for the full year ended December 31, 2023.</w:t>
      </w:r>
    </w:p>
    <w:p>
      <w:pPr>
        <w:spacing w:after="0" w:line="195"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 xml:space="preserve">Certain entities in which the Company holds an interest are investment companies that follow FASB Accounting Standards Codification Topic 946, </w:t>
      </w:r>
      <w:r>
        <w:rPr>
          <w:rFonts w:ascii="Arial" w:cs="Arial" w:eastAsia="Arial" w:hAnsi="Arial"/>
          <w:sz w:val="18"/>
          <w:szCs w:val="18"/>
          <w:i w:val="1"/>
          <w:iCs w:val="1"/>
          <w:color w:val="auto"/>
        </w:rPr>
        <w:t xml:space="preserve">Financial Services - Investment Companies </w:t>
      </w:r>
      <w:r>
        <w:rPr>
          <w:rFonts w:ascii="Arial" w:cs="Arial" w:eastAsia="Arial" w:hAnsi="Arial"/>
          <w:sz w:val="18"/>
          <w:szCs w:val="18"/>
          <w:color w:val="auto"/>
        </w:rPr>
        <w:t>and reflect their investments at estimated fair value. Accordingly, the carrying value of the Company’s equity</w:t>
      </w:r>
      <w:r>
        <w:rPr>
          <w:rFonts w:ascii="Arial" w:cs="Arial" w:eastAsia="Arial" w:hAnsi="Arial"/>
          <w:sz w:val="18"/>
          <w:szCs w:val="18"/>
          <w:i w:val="1"/>
          <w:iCs w:val="1"/>
          <w:color w:val="auto"/>
        </w:rPr>
        <w:t xml:space="preserve"> </w:t>
      </w:r>
      <w:r>
        <w:rPr>
          <w:rFonts w:ascii="Arial" w:cs="Arial" w:eastAsia="Arial" w:hAnsi="Arial"/>
          <w:sz w:val="18"/>
          <w:szCs w:val="18"/>
          <w:color w:val="auto"/>
        </w:rPr>
        <w:t>method investments in such entities retains that accounting treatment.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3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7 for more information on both consolidated and unconsolidated VIEs.</w:t>
      </w:r>
    </w:p>
    <w:p>
      <w:pPr>
        <w:spacing w:after="0" w:line="188"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5"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35"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The Company considers all highly liquid instruments with original maturities of three months or less to be cash equivalents. As of September 30, 2023, and December 31, 2022, cash equivalents include money market funds of $7.8 million and $7.8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Restricted cash as of September 30, 2023 and December 31, 2022 was primarily cash that is restricted due to certain deposits being held for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Due from Related Parties</w:t>
      </w:r>
    </w:p>
    <w:p>
      <w:pPr>
        <w:spacing w:after="0" w:line="121"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Accounts receivable is equal to contractual amounts reduced for allowances, if applicable. The Company estimates that accounts receivable is fully collectible based on historical events, current conditions, and reasonable and supportable forecasts; accordingly, no allowance for doubtful accounts has been established as of September 30, 2023 and December 31, 2022. If accounts are subsequently determined to be uncollectible, they will be expensed in the period that determination is made.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jc w:val="both"/>
        <w:ind w:right="80" w:firstLine="509"/>
        <w:spacing w:after="0" w:line="259" w:lineRule="auto"/>
        <w:rPr>
          <w:sz w:val="20"/>
          <w:szCs w:val="20"/>
          <w:color w:val="auto"/>
        </w:rPr>
      </w:pPr>
      <w:r>
        <w:rPr>
          <w:rFonts w:ascii="Arial" w:cs="Arial" w:eastAsia="Arial" w:hAnsi="Arial"/>
          <w:sz w:val="18"/>
          <w:szCs w:val="18"/>
          <w:color w:val="auto"/>
        </w:rPr>
        <w:t>Due from related parties represents receivables from the Funds for reimbursable expenses. Additionally, fees owed to the Company for the advisory agreement entered into upon the closing of the acquisitions of ECG and ECP ("Advisory Agreement") where ECG provides advisory services to Enhanced Permanent Capital, LLC ("Enhanced PC") are reflected in due from related parties on the Consolidated Balance Sheets. These amounts are expected to be fully collectible.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w:t>
      </w:r>
    </w:p>
    <w:p>
      <w:pPr>
        <w:spacing w:after="0" w:line="12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Notes receivable is mostly related to contractual amounts owed from a signed, secured promissory note with BCP Partners Holdings, LP ("BCP"). In addition to contractual amounts, borrowers are obligated to pay interest on outstanding amounts. The Company estimates the notes receivable to be fully collectible based on historical events, current conditions, and reasonable and supportable forecasts; no allowance has been established as of September 30, 2023 and December 31, 2022. If accounts are subsequently determined to be uncollectible, they will be expensed in the period that determination is made.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Subsidiaries</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evaluates its equity method investments for impairment whenever events or changes in circumstances indicate that the carrying amounts of such investments may not be recoverable.</w:t>
      </w:r>
    </w:p>
    <w:p>
      <w:pPr>
        <w:spacing w:after="0" w:line="18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 xml:space="preserve">For certain entities in which the Company does not have significant influence and fair value is not readily determinable, we value these investments under the measurement alternative. Financial Accounting Standards Board (“FASB”) Accounting Standards Codification (“ASC”) 825,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requires equity securities to be recorded at cost and adjusted to fair value at each reporting period. However, the guidance allows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alternative, which is to record the investments at cost, less impairment, if any, and subsequently adjust for observable price changes of identical or similar investments of the same issuer.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5"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ectPr>
          <w:pgSz w:w="11900" w:h="16838" w:orient="portrait"/>
          <w:cols w:equalWidth="0" w:num="1">
            <w:col w:w="11240"/>
          </w:cols>
          <w:pgMar w:left="320" w:top="121" w:right="339" w:bottom="1440" w:gutter="0" w:footer="0" w:header="0"/>
        </w:sectPr>
      </w:pPr>
    </w:p>
    <w:p>
      <w:pPr>
        <w:spacing w:after="0" w:line="201" w:lineRule="exact"/>
        <w:rPr>
          <w:sz w:val="20"/>
          <w:szCs w:val="20"/>
          <w:color w:val="auto"/>
        </w:rPr>
      </w:pPr>
    </w:p>
    <w:p>
      <w:pPr>
        <w:jc w:val="center"/>
        <w:ind w:left="920"/>
        <w:spacing w:after="0"/>
        <w:rPr>
          <w:sz w:val="20"/>
          <w:szCs w:val="20"/>
          <w:color w:val="auto"/>
        </w:rPr>
      </w:pPr>
      <w:r>
        <w:rPr>
          <w:rFonts w:ascii="Arial" w:cs="Arial" w:eastAsia="Arial" w:hAnsi="Arial"/>
          <w:sz w:val="16"/>
          <w:szCs w:val="16"/>
          <w:color w:val="auto"/>
        </w:rPr>
        <w:t>Computers and purchased software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2720"/>
        <w:spacing w:after="0"/>
        <w:rPr>
          <w:sz w:val="20"/>
          <w:szCs w:val="20"/>
          <w:color w:val="auto"/>
        </w:rPr>
      </w:pPr>
      <w:r>
        <w:rPr>
          <w:rFonts w:ascii="Arial" w:cs="Arial" w:eastAsia="Arial" w:hAnsi="Arial"/>
          <w:sz w:val="15"/>
          <w:szCs w:val="15"/>
          <w:color w:val="auto"/>
        </w:rPr>
        <w:t>3 - 5 years</w:t>
      </w:r>
    </w:p>
    <w:p>
      <w:pPr>
        <w:spacing w:after="0" w:line="71" w:lineRule="exact"/>
        <w:rPr>
          <w:sz w:val="20"/>
          <w:szCs w:val="20"/>
          <w:color w:val="auto"/>
        </w:rPr>
      </w:pPr>
    </w:p>
    <w:p>
      <w:pPr>
        <w:sectPr>
          <w:pgSz w:w="11900" w:h="16838" w:orient="portrait"/>
          <w:cols w:equalWidth="0" w:num="2">
            <w:col w:w="7060" w:space="720"/>
            <w:col w:w="3460"/>
          </w:cols>
          <w:pgMar w:left="320" w:top="121" w:right="33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7 - 10 years</w:t>
      </w:r>
    </w:p>
    <w:p>
      <w:pPr>
        <w:spacing w:after="0" w:line="200" w:lineRule="exact"/>
        <w:rPr>
          <w:sz w:val="20"/>
          <w:szCs w:val="20"/>
          <w:color w:val="auto"/>
        </w:rPr>
      </w:pPr>
    </w:p>
    <w:p>
      <w:pPr>
        <w:sectPr>
          <w:pgSz w:w="11900" w:h="16838" w:orient="portrait"/>
          <w:cols w:equalWidth="0" w:num="2">
            <w:col w:w="6960" w:space="720"/>
            <w:col w:w="3560"/>
          </w:cols>
          <w:pgMar w:left="320" w:top="121" w:right="3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35" w:lineRule="exact"/>
        <w:rPr>
          <w:sz w:val="20"/>
          <w:szCs w:val="20"/>
          <w:color w:val="auto"/>
        </w:rPr>
      </w:pPr>
    </w:p>
    <w:p>
      <w:pPr>
        <w:ind w:right="80" w:firstLine="509"/>
        <w:spacing w:after="0" w:line="267" w:lineRule="auto"/>
        <w:rPr>
          <w:sz w:val="20"/>
          <w:szCs w:val="20"/>
          <w:color w:val="auto"/>
        </w:rPr>
      </w:pPr>
      <w:r>
        <w:rPr>
          <w:rFonts w:ascii="Arial" w:cs="Arial" w:eastAsia="Arial" w:hAnsi="Arial"/>
          <w:sz w:val="17"/>
          <w:szCs w:val="17"/>
          <w:color w:val="auto"/>
        </w:rPr>
        <w:t xml:space="preserve">Long-lived assets including property and equipment, lease right-of-use assets, and definite lived intangibles are evaluated for impairment under FASB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8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Company does not recognize a lease liability or right-of-use asset on our Consolidated Balance Sheets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Share and Repurchase Arrangement</w:t>
      </w:r>
    </w:p>
    <w:p>
      <w:pPr>
        <w:spacing w:after="0" w:line="229"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Company recognizes an accrued contingent liability and contingent payments to customers asset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party will exercise its option to sell back the revenue share and has recognized a liability on the Consolidated Balance Sheets. The Company has also recognized a contingent payment to customers associated with the agreement and will amortize the asset against revenue over the contractual term of the management contract. The amortization is reported in management and advisory fees on the Consolidated Statements of Operations. The Company will reassess at each reporting period. Refer to Note 14 for further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3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Goodwill is initially measured as the excess of the cost of the acquired business over the sum of the amounts assigned to identifiable assets acquired, less the liabilities assumed. As of September 30, 2023, goodwill recorded on our Consolidated Balance Sheets relates to the acquisitions of RCP 2, RCP 3, Five Points, TrueBridge, Enhanced, Bonaccord, Hark, and WTI. As of September 30, 2023, the intangible assets are comprised of indefinite-lived intangible assets and finite-lived intangible assets related to the acquisitions of RCP 2, RCP 3, Five Points, TrueBridge, Enhanced, Bonaccord, Hark, and WTI.</w:t>
      </w:r>
    </w:p>
    <w:p>
      <w:pPr>
        <w:spacing w:after="0" w:line="18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8"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Goodwill is reviewed for impairment at least annually as of September 30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the respective carrying value. The reporting unit is the reporting level for testing the impairment of goodwill. If it is determined that it is more likely than not that a reporting unit’s fair value is less than its carrying value, then the Company will determine the fair value of the reporting unit and record an impairment charge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difference between fair value and carrying value (not to exceed the carrying amount of goodwill). The Company performed the annual impairment assessment as of September 30, 2023 noting that no goodwill impairment existed.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35" w:lineRule="exact"/>
        <w:rPr>
          <w:sz w:val="20"/>
          <w:szCs w:val="20"/>
          <w:color w:val="auto"/>
        </w:rPr>
      </w:pPr>
    </w:p>
    <w:p>
      <w:pPr>
        <w:ind w:right="320" w:firstLine="509"/>
        <w:spacing w:after="0" w:line="286" w:lineRule="auto"/>
        <w:rPr>
          <w:sz w:val="20"/>
          <w:szCs w:val="20"/>
          <w:color w:val="auto"/>
        </w:rPr>
      </w:pPr>
      <w:r>
        <w:rPr>
          <w:rFonts w:ascii="Arial" w:cs="Arial" w:eastAsia="Arial" w:hAnsi="Arial"/>
          <w:sz w:val="17"/>
          <w:szCs w:val="17"/>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September 30, 2023, contingent consideration recorded relates to the acquisitions of Hark and Bonaccord on the Consolidated Balance Sheets.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Compensation and Benefits</w:t>
      </w:r>
    </w:p>
    <w:p>
      <w:pPr>
        <w:spacing w:after="0" w:line="135" w:lineRule="exact"/>
        <w:rPr>
          <w:sz w:val="20"/>
          <w:szCs w:val="20"/>
          <w:color w:val="auto"/>
        </w:rPr>
      </w:pPr>
    </w:p>
    <w:p>
      <w:pPr>
        <w:ind w:right="280" w:firstLine="509"/>
        <w:spacing w:after="0" w:line="255" w:lineRule="auto"/>
        <w:rPr>
          <w:sz w:val="20"/>
          <w:szCs w:val="20"/>
          <w:color w:val="auto"/>
        </w:rPr>
      </w:pPr>
      <w:r>
        <w:rPr>
          <w:rFonts w:ascii="Arial" w:cs="Arial" w:eastAsia="Arial" w:hAnsi="Arial"/>
          <w:sz w:val="18"/>
          <w:szCs w:val="18"/>
          <w:color w:val="auto"/>
        </w:rPr>
        <w:t>Accrued compensation and benefits consists of employee salaries, bonuses, benefits, severance, and acquisition-related earnouts contingent on employment that has not yet been paid. The acquisition-related earnout contingent on employment is a result of the acquisition of WTI. The sellers and certain employees of WTI are eligible to earn up to $70.0 million contingent upon meeting certain EBITDA related hurdles and continued employment. Upon the achievement of $20.0 million, $22.5 million, and $25.0 million of EBITDA, $35.0 million, $17.5 million, and $17.5 million are earned, respectively. The earnout period is through December 31, 2027 with the potential to extend an additional two years. Refer to Note 14 for further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3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121"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is presented as a separate component in our Consolidated Statements of Income to clearly distinguish between our interests and the economic interest of third parties in those entities. Net (loss)/income attributable to P10, as reported in the Consolidated Statements of Income, is presented net of the portion of net (loss)/income attributable to holders of non-controlling interest. NCI is allocated a share of income or loss in the respective consolidated subsidiaries in proportion to their relative ownership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3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As of September 30, 2023 and December 31, 2022, we used the following valuation techniques to measure fair value for assets and there were no changes to these methodologies during the periods presented:</w:t>
      </w:r>
    </w:p>
    <w:p>
      <w:pPr>
        <w:spacing w:after="0" w:line="62" w:lineRule="exact"/>
        <w:rPr>
          <w:sz w:val="20"/>
          <w:szCs w:val="20"/>
          <w:color w:val="auto"/>
        </w:rPr>
      </w:pPr>
    </w:p>
    <w:p>
      <w:pPr>
        <w:ind w:left="5540" w:right="1620" w:hanging="5016"/>
        <w:spacing w:after="0" w:line="277" w:lineRule="auto"/>
        <w:rPr>
          <w:sz w:val="20"/>
          <w:szCs w:val="20"/>
          <w:color w:val="auto"/>
        </w:rPr>
      </w:pPr>
      <w:r>
        <w:rPr>
          <w:rFonts w:ascii="Arial" w:cs="Arial" w:eastAsia="Arial" w:hAnsi="Arial"/>
          <w:sz w:val="18"/>
          <w:szCs w:val="18"/>
          <w:color w:val="auto"/>
        </w:rPr>
        <w:t>Level 1—Assets were valued using the closing price reported in the active market in which the individual security was traded.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319" w:lineRule="exact"/>
        <w:rPr>
          <w:sz w:val="20"/>
          <w:szCs w:val="20"/>
          <w:color w:val="auto"/>
        </w:rPr>
      </w:pPr>
    </w:p>
    <w:p>
      <w:pPr>
        <w:ind w:left="520" w:right="840"/>
        <w:spacing w:after="0" w:line="277" w:lineRule="auto"/>
        <w:rPr>
          <w:sz w:val="20"/>
          <w:szCs w:val="20"/>
          <w:color w:val="auto"/>
        </w:rPr>
      </w:pPr>
      <w:r>
        <w:rPr>
          <w:rFonts w:ascii="Arial" w:cs="Arial" w:eastAsia="Arial" w:hAnsi="Arial"/>
          <w:sz w:val="18"/>
          <w:szCs w:val="18"/>
          <w:color w:val="auto"/>
        </w:rPr>
        <w:t>Level 2—Assets were valued using quoted prices in markets that are not active, broker dealer quotations, and other methods by which all significant inputs were observable at the measurement date.</w:t>
      </w:r>
    </w:p>
    <w:p>
      <w:pPr>
        <w:spacing w:after="0" w:line="62" w:lineRule="exact"/>
        <w:rPr>
          <w:sz w:val="20"/>
          <w:szCs w:val="20"/>
          <w:color w:val="auto"/>
        </w:rPr>
      </w:pPr>
    </w:p>
    <w:p>
      <w:pPr>
        <w:ind w:left="520" w:right="760"/>
        <w:spacing w:after="0" w:line="277" w:lineRule="auto"/>
        <w:rPr>
          <w:sz w:val="20"/>
          <w:szCs w:val="20"/>
          <w:color w:val="auto"/>
        </w:rPr>
      </w:pPr>
      <w:r>
        <w:rPr>
          <w:rFonts w:ascii="Arial" w:cs="Arial" w:eastAsia="Arial" w:hAnsi="Arial"/>
          <w:sz w:val="18"/>
          <w:szCs w:val="18"/>
          <w:color w:val="auto"/>
        </w:rPr>
        <w:t>Level 3—Assets were valued using unobservable inputs in which little or no market data exists as reported by the respective institutions at the measurement date.</w:t>
      </w:r>
    </w:p>
    <w:p>
      <w:pPr>
        <w:spacing w:after="0" w:line="170"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The carrying values of financial instruments comprising cash and cash equivalents, prepaid assets, accounts payable, accounts receivable and due from related parties approximate fair values due to the short-term maturities of these instruments. The fair value of the credit facilities approximate carrying value based on the interest rates which approximate current market rates. The Company has a contingent consideration liability related to the acquisitions of Hark and Bonaccord that is measured at fair value and is remeasured on a recurring basis. See Note 11 for additional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and Advisory Fees</w:t>
      </w:r>
    </w:p>
    <w:p>
      <w:pPr>
        <w:spacing w:after="0" w:line="131"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8"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Certain management fees are also calculated on capital deployed. Advisory services are generally based upon fixed amounts and billed quarterly. Other advisory services include transaction and management fees associated with managing the origination and ongoing compliance of certain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Other revenue on our Consolidated Statements of Operations primarily consists of subscriptions, consulting agreements, interest income, and referral fees. Interest income is recognized from interest bearing bank accounts and revenue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 xml:space="preserve">Current income tax expense represents our estimated taxes to be paid or refunded for the current period. In accordance with ASC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we recognize deferred tax assets and liabilities for the expected future tax consequences of temporary differences between the financial reporting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stand-alone tax rules as applicable.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12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Basic earnings per share (“EPS”) is calculated by dividing net (loss)/income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17 for additional information.</w:t>
      </w:r>
    </w:p>
    <w:p>
      <w:pPr>
        <w:spacing w:after="0" w:line="157" w:lineRule="exact"/>
        <w:rPr>
          <w:sz w:val="20"/>
          <w:szCs w:val="20"/>
          <w:color w:val="auto"/>
        </w:rPr>
      </w:pPr>
    </w:p>
    <w:p>
      <w:pPr>
        <w:jc w:val="both"/>
        <w:ind w:right="240" w:firstLine="509"/>
        <w:spacing w:after="0" w:line="287" w:lineRule="auto"/>
        <w:rPr>
          <w:sz w:val="20"/>
          <w:szCs w:val="20"/>
          <w:color w:val="auto"/>
        </w:rPr>
      </w:pPr>
      <w:r>
        <w:rPr>
          <w:rFonts w:ascii="Arial" w:cs="Arial" w:eastAsia="Arial" w:hAnsi="Arial"/>
          <w:sz w:val="16"/>
          <w:szCs w:val="16"/>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35"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RSAs and certain RSUs, where vesting occurs after a service period is recorded ratably over the vesting period at the fair market value on the grant date. Certain acquisition-related RSUs vest after meeting certain performance metrics. For these, the Company uses the tranche method for RSU's deemed probable of vesting. The Company evaluates the probability of vesting at each reporting period. Unvested units are remeasured quarterly against performance metrics as a liability on the Consolidated Balance Sheets and expense is recognized over the expected vesting period. Refer to Note 16 for further discussion.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a $0.0325 per share quarterly dividend. Forfeitures are recognized as they occur.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35"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 xml:space="preserve">According to ASC 280,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operating segments are defined as components of an enterprise for which discrete financial information is evaluated regularly by the chief operating decision maker(s) in deciding how to allocate resources and in assessing performance. The Company operates our business as a single operating segment, which is how our chief operating decision makers evaluate financial performance and make decisions regarding the allocation of resources.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13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 xml:space="preserve">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78"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9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8" w:lineRule="exact"/>
        <w:rPr>
          <w:sz w:val="20"/>
          <w:szCs w:val="20"/>
          <w:color w:val="auto"/>
        </w:rPr>
      </w:pPr>
    </w:p>
    <w:p>
      <w:pPr>
        <w:ind w:right="660" w:firstLine="509"/>
        <w:spacing w:after="0" w:line="342" w:lineRule="auto"/>
        <w:rPr>
          <w:sz w:val="20"/>
          <w:szCs w:val="20"/>
          <w:color w:val="auto"/>
        </w:rPr>
      </w:pPr>
      <w:r>
        <w:rPr>
          <w:rFonts w:ascii="Arial" w:cs="Arial" w:eastAsia="Arial" w:hAnsi="Arial"/>
          <w:sz w:val="16"/>
          <w:szCs w:val="16"/>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Dividends are reflected in the consolidated financial statements when declared.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Recently Adopted</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 xml:space="preserve">Effective January 1, 2023,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("ASU 2016-13"). ASU 2016-13 provides amendments to ASC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must be applied using the modified retrospective adoption method on January 1, 2023, with early adoption permitted. The adoption of ASU 2016-13 did not have a material impact on the Company's Consolidated Financial Statements.</w:t>
      </w:r>
    </w:p>
    <w:p>
      <w:pPr>
        <w:spacing w:after="0" w:line="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On October 28, 2021, the FASB issued ASU 2021-08, which amends ASC 805 to “require acquiring entities to apply Topic 606 to recognize and measure contract assets and contract liabilities in a business combination.” Under current GAAP, an acquirer generally recognizes such items at fair value on the acquisition date. The guidance is effective for fiscal years beginning after December 15, 2022. The Company adopted this guidance on January 1, 2023. The guidance had no effect on the Consolidated Financial Statements but will be considered for future acquisitions.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Not Yet Adopted</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On June 30, 2022, the FASB issued ASU No. 2022-03, </w:t>
      </w:r>
      <w:r>
        <w:rPr>
          <w:rFonts w:ascii="Arial" w:cs="Arial" w:eastAsia="Arial" w:hAnsi="Arial"/>
          <w:sz w:val="18"/>
          <w:szCs w:val="18"/>
          <w:i w:val="1"/>
          <w:iCs w:val="1"/>
          <w:color w:val="auto"/>
        </w:rPr>
        <w:t>Fair Value Measurement of Equity Securities Subject to Contractual Sale Restrictions</w:t>
      </w:r>
      <w:r>
        <w:rPr>
          <w:rFonts w:ascii="Arial" w:cs="Arial" w:eastAsia="Arial" w:hAnsi="Arial"/>
          <w:sz w:val="18"/>
          <w:szCs w:val="18"/>
          <w:color w:val="auto"/>
        </w:rPr>
        <w:t xml:space="preserve"> ("ASU 2022-03"). The amendments in this update affect all entities that have investments in 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6"/>
          <w:szCs w:val="16"/>
          <w:color w:val="373739"/>
        </w:rPr>
        <w:t>d</w:t>
      </w:r>
      <w:r>
        <w:rPr>
          <w:rFonts w:ascii="Arial" w:cs="Arial" w:eastAsia="Arial" w:hAnsi="Arial"/>
          <w:sz w:val="18"/>
          <w:szCs w:val="18"/>
          <w:color w:val="auto"/>
        </w:rPr>
        <w:t>ments also clarify that an entity cannot, as a separate unit of account, recognize and measure a contractual sale restriction. The guidance is effective for fiscal years beginning after December 15, 2023. We are evaluating the effects of these amendments on our financial reporting.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WTI</w:t>
      </w:r>
    </w:p>
    <w:p>
      <w:pPr>
        <w:spacing w:after="0" w:line="12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On October 13, 2022, the Company completed the acquisition of all of the issued and outstanding membership interests of WTI for a total consideration of $146.0 million and an aggregate of 3,916,666 membership units of P10 Intermediate which can be exchanged on a one-for-one basis into shares of P10 Class A common stock, subject to certain conditions pursuant to the Exchange Agreement entered into on August 25, 2022. The acquisition was accounted for as a business combination under the acquisition method of accounting pursuant to ASC 805.</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4"/>
                <w:szCs w:val="14"/>
                <w:color w:val="auto"/>
              </w:rPr>
            </w:pPr>
          </w:p>
        </w:tc>
      </w:tr>
      <w:tr>
        <w:trPr>
          <w:trHeight w:val="155"/>
        </w:trPr>
        <w:tc>
          <w:tcPr>
            <w:tcW w:w="9220" w:type="dxa"/>
            <w:vAlign w:val="bottom"/>
          </w:tcPr>
          <w:p>
            <w:pPr>
              <w:ind w:left="20"/>
              <w:spacing w:after="0"/>
              <w:rPr>
                <w:sz w:val="20"/>
                <w:szCs w:val="20"/>
                <w:color w:val="auto"/>
              </w:rPr>
            </w:pPr>
            <w:r>
              <w:rPr>
                <w:rFonts w:ascii="Arial" w:cs="Arial" w:eastAsia="Arial" w:hAnsi="Arial"/>
                <w:sz w:val="13"/>
                <w:szCs w:val="13"/>
                <w:color w:val="auto"/>
              </w:rPr>
              <w:t>Cash</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105,262</w:t>
            </w:r>
          </w:p>
        </w:tc>
        <w:tc>
          <w:tcPr>
            <w:tcW w:w="100" w:type="dxa"/>
            <w:vAlign w:val="bottom"/>
          </w:tcPr>
          <w:p>
            <w:pPr>
              <w:spacing w:after="0"/>
              <w:rPr>
                <w:sz w:val="13"/>
                <w:szCs w:val="13"/>
                <w:color w:val="auto"/>
              </w:rPr>
            </w:pPr>
          </w:p>
        </w:tc>
      </w:tr>
      <w:tr>
        <w:trPr>
          <w:trHeight w:val="162"/>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Fair value of equity consideration</w:t>
            </w:r>
          </w:p>
        </w:tc>
        <w:tc>
          <w:tcPr>
            <w:tcW w:w="38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40,733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9220" w:type="dxa"/>
            <w:vAlign w:val="bottom"/>
          </w:tcPr>
          <w:p>
            <w:pPr>
              <w:ind w:left="200"/>
              <w:spacing w:after="0"/>
              <w:rPr>
                <w:sz w:val="20"/>
                <w:szCs w:val="20"/>
                <w:color w:val="auto"/>
              </w:rPr>
            </w:pPr>
            <w:r>
              <w:rPr>
                <w:rFonts w:ascii="Arial" w:cs="Arial" w:eastAsia="Arial" w:hAnsi="Arial"/>
                <w:sz w:val="13"/>
                <w:szCs w:val="13"/>
                <w:color w:val="auto"/>
              </w:rPr>
              <w:t>Total purchase consideration</w:t>
            </w: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145,995</w:t>
            </w:r>
          </w:p>
        </w:tc>
        <w:tc>
          <w:tcPr>
            <w:tcW w:w="100" w:type="dxa"/>
            <w:vAlign w:val="bottom"/>
          </w:tcPr>
          <w:p>
            <w:pPr>
              <w:spacing w:after="0"/>
              <w:rPr>
                <w:sz w:val="13"/>
                <w:szCs w:val="13"/>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82"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In connection with the acquisition, the Company incurred a total of $3.2 million of acquisition-related expenses. Total acquisition-related expenses were $0 for the three and nine months ended September 30, 2023 and $1.4 million and $1.5 million for the three and nine months ended September 30, 2022, respectively.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fair value of the net assets acquired as of the acquisition date: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4"/>
                <w:szCs w:val="14"/>
                <w:color w:val="auto"/>
              </w:rPr>
            </w:pPr>
          </w:p>
        </w:tc>
      </w:tr>
      <w:tr>
        <w:trPr>
          <w:trHeight w:val="154"/>
        </w:trPr>
        <w:tc>
          <w:tcPr>
            <w:tcW w:w="922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92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8,807</w:t>
            </w:r>
          </w:p>
        </w:tc>
        <w:tc>
          <w:tcPr>
            <w:tcW w:w="100" w:type="dxa"/>
            <w:vAlign w:val="bottom"/>
            <w:shd w:val="clear" w:color="auto" w:fill="CFF0FC"/>
          </w:tcPr>
          <w:p>
            <w:pPr>
              <w:spacing w:after="0"/>
              <w:rPr>
                <w:sz w:val="14"/>
                <w:szCs w:val="14"/>
                <w:color w:val="auto"/>
              </w:rPr>
            </w:pPr>
          </w:p>
        </w:tc>
      </w:tr>
      <w:tr>
        <w:trPr>
          <w:trHeight w:val="161"/>
        </w:trPr>
        <w:tc>
          <w:tcPr>
            <w:tcW w:w="9220" w:type="dxa"/>
            <w:vAlign w:val="bottom"/>
          </w:tcPr>
          <w:p>
            <w:pPr>
              <w:ind w:left="200"/>
              <w:spacing w:after="0"/>
              <w:rPr>
                <w:sz w:val="20"/>
                <w:szCs w:val="20"/>
                <w:color w:val="auto"/>
              </w:rPr>
            </w:pPr>
            <w:r>
              <w:rPr>
                <w:rFonts w:ascii="Arial" w:cs="Arial" w:eastAsia="Arial" w:hAnsi="Arial"/>
                <w:sz w:val="13"/>
                <w:szCs w:val="13"/>
                <w:color w:val="auto"/>
              </w:rPr>
              <w:t>Accounts receivable</w:t>
            </w:r>
          </w:p>
        </w:tc>
        <w:tc>
          <w:tcPr>
            <w:tcW w:w="3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12,632</w:t>
            </w:r>
          </w:p>
        </w:tc>
        <w:tc>
          <w:tcPr>
            <w:tcW w:w="100" w:type="dxa"/>
            <w:vAlign w:val="bottom"/>
          </w:tcPr>
          <w:p>
            <w:pPr>
              <w:spacing w:after="0"/>
              <w:rPr>
                <w:sz w:val="14"/>
                <w:szCs w:val="14"/>
                <w:color w:val="auto"/>
              </w:rPr>
            </w:pPr>
          </w:p>
        </w:tc>
      </w:tr>
      <w:tr>
        <w:trPr>
          <w:trHeight w:val="163"/>
        </w:trPr>
        <w:tc>
          <w:tcPr>
            <w:tcW w:w="92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Right-of-use assets</w:t>
            </w:r>
          </w:p>
        </w:tc>
        <w:tc>
          <w:tcPr>
            <w:tcW w:w="38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2,904</w:t>
            </w:r>
          </w:p>
        </w:tc>
        <w:tc>
          <w:tcPr>
            <w:tcW w:w="100" w:type="dxa"/>
            <w:vAlign w:val="bottom"/>
            <w:shd w:val="clear" w:color="auto" w:fill="CFF0FC"/>
          </w:tcPr>
          <w:p>
            <w:pPr>
              <w:spacing w:after="0"/>
              <w:rPr>
                <w:sz w:val="14"/>
                <w:szCs w:val="14"/>
                <w:color w:val="auto"/>
              </w:rPr>
            </w:pPr>
          </w:p>
        </w:tc>
      </w:tr>
      <w:tr>
        <w:trPr>
          <w:trHeight w:val="161"/>
        </w:trPr>
        <w:tc>
          <w:tcPr>
            <w:tcW w:w="9220" w:type="dxa"/>
            <w:vAlign w:val="bottom"/>
          </w:tcPr>
          <w:p>
            <w:pPr>
              <w:ind w:left="200"/>
              <w:spacing w:after="0"/>
              <w:rPr>
                <w:sz w:val="20"/>
                <w:szCs w:val="20"/>
                <w:color w:val="auto"/>
              </w:rPr>
            </w:pPr>
            <w:r>
              <w:rPr>
                <w:rFonts w:ascii="Arial" w:cs="Arial" w:eastAsia="Arial" w:hAnsi="Arial"/>
                <w:sz w:val="13"/>
                <w:szCs w:val="13"/>
                <w:color w:val="auto"/>
              </w:rPr>
              <w:t>Prepaid expenses and other assets</w:t>
            </w:r>
          </w:p>
        </w:tc>
        <w:tc>
          <w:tcPr>
            <w:tcW w:w="3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4"/>
                <w:szCs w:val="14"/>
                <w:color w:val="auto"/>
              </w:rPr>
            </w:pPr>
          </w:p>
        </w:tc>
      </w:tr>
      <w:tr>
        <w:trPr>
          <w:trHeight w:val="163"/>
        </w:trPr>
        <w:tc>
          <w:tcPr>
            <w:tcW w:w="92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Property and equipment</w:t>
            </w:r>
          </w:p>
        </w:tc>
        <w:tc>
          <w:tcPr>
            <w:tcW w:w="38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FF0FC"/>
          </w:tcPr>
          <w:p>
            <w:pPr>
              <w:spacing w:after="0"/>
              <w:rPr>
                <w:sz w:val="14"/>
                <w:szCs w:val="14"/>
                <w:color w:val="auto"/>
              </w:rPr>
            </w:pPr>
          </w:p>
        </w:tc>
      </w:tr>
      <w:tr>
        <w:trPr>
          <w:trHeight w:val="161"/>
        </w:trPr>
        <w:tc>
          <w:tcPr>
            <w:tcW w:w="9220" w:type="dxa"/>
            <w:vAlign w:val="bottom"/>
          </w:tcPr>
          <w:p>
            <w:pPr>
              <w:ind w:left="200"/>
              <w:spacing w:after="0"/>
              <w:rPr>
                <w:sz w:val="20"/>
                <w:szCs w:val="20"/>
                <w:color w:val="auto"/>
              </w:rPr>
            </w:pPr>
            <w:r>
              <w:rPr>
                <w:rFonts w:ascii="Arial" w:cs="Arial" w:eastAsia="Arial" w:hAnsi="Arial"/>
                <w:sz w:val="13"/>
                <w:szCs w:val="13"/>
                <w:color w:val="auto"/>
              </w:rPr>
              <w:t>Intangible assets, net</w:t>
            </w: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50,300</w:t>
            </w:r>
          </w:p>
        </w:tc>
        <w:tc>
          <w:tcPr>
            <w:tcW w:w="100" w:type="dxa"/>
            <w:vAlign w:val="bottom"/>
          </w:tcPr>
          <w:p>
            <w:pPr>
              <w:spacing w:after="0"/>
              <w:rPr>
                <w:sz w:val="14"/>
                <w:szCs w:val="14"/>
                <w:color w:val="auto"/>
              </w:rPr>
            </w:pPr>
          </w:p>
        </w:tc>
      </w:tr>
      <w:tr>
        <w:trPr>
          <w:trHeight w:val="196"/>
        </w:trPr>
        <w:tc>
          <w:tcPr>
            <w:tcW w:w="9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Total assets acquired</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75,159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922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LIABILITIES</w:t>
            </w: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92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 and accrued expenses</w:t>
            </w: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13,555</w:t>
            </w:r>
          </w:p>
        </w:tc>
        <w:tc>
          <w:tcPr>
            <w:tcW w:w="100" w:type="dxa"/>
            <w:vAlign w:val="bottom"/>
            <w:shd w:val="clear" w:color="auto" w:fill="CFF0FC"/>
          </w:tcPr>
          <w:p>
            <w:pPr>
              <w:spacing w:after="0"/>
              <w:rPr>
                <w:sz w:val="14"/>
                <w:szCs w:val="14"/>
                <w:color w:val="auto"/>
              </w:rPr>
            </w:pPr>
          </w:p>
        </w:tc>
      </w:tr>
      <w:tr>
        <w:trPr>
          <w:trHeight w:val="161"/>
        </w:trPr>
        <w:tc>
          <w:tcPr>
            <w:tcW w:w="9220" w:type="dxa"/>
            <w:vAlign w:val="bottom"/>
          </w:tcPr>
          <w:p>
            <w:pPr>
              <w:ind w:left="200"/>
              <w:spacing w:after="0"/>
              <w:rPr>
                <w:sz w:val="20"/>
                <w:szCs w:val="20"/>
                <w:color w:val="auto"/>
              </w:rPr>
            </w:pPr>
            <w:r>
              <w:rPr>
                <w:rFonts w:ascii="Arial" w:cs="Arial" w:eastAsia="Arial" w:hAnsi="Arial"/>
                <w:sz w:val="13"/>
                <w:szCs w:val="13"/>
                <w:color w:val="auto"/>
              </w:rPr>
              <w:t>Lease liabilities</w:t>
            </w: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2,957</w:t>
            </w:r>
          </w:p>
        </w:tc>
        <w:tc>
          <w:tcPr>
            <w:tcW w:w="100" w:type="dxa"/>
            <w:vAlign w:val="bottom"/>
          </w:tcPr>
          <w:p>
            <w:pPr>
              <w:spacing w:after="0"/>
              <w:rPr>
                <w:sz w:val="14"/>
                <w:szCs w:val="14"/>
                <w:color w:val="auto"/>
              </w:rPr>
            </w:pPr>
          </w:p>
        </w:tc>
      </w:tr>
      <w:tr>
        <w:trPr>
          <w:trHeight w:val="195"/>
        </w:trPr>
        <w:tc>
          <w:tcPr>
            <w:tcW w:w="9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Total liabilities assumed</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16,512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04"/>
        </w:trPr>
        <w:tc>
          <w:tcPr>
            <w:tcW w:w="9220" w:type="dxa"/>
            <w:vAlign w:val="bottom"/>
          </w:tcPr>
          <w:p>
            <w:pPr>
              <w:ind w:left="200"/>
              <w:spacing w:after="0"/>
              <w:rPr>
                <w:sz w:val="20"/>
                <w:szCs w:val="20"/>
                <w:color w:val="auto"/>
              </w:rPr>
            </w:pPr>
            <w:r>
              <w:rPr>
                <w:rFonts w:ascii="Arial" w:cs="Arial" w:eastAsia="Arial" w:hAnsi="Arial"/>
                <w:sz w:val="13"/>
                <w:szCs w:val="13"/>
                <w:color w:val="auto"/>
              </w:rPr>
              <w:t>Net identifiable assets acquired</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58,647</w:t>
            </w:r>
          </w:p>
        </w:tc>
        <w:tc>
          <w:tcPr>
            <w:tcW w:w="100" w:type="dxa"/>
            <w:vAlign w:val="bottom"/>
          </w:tcPr>
          <w:p>
            <w:pPr>
              <w:spacing w:after="0"/>
              <w:rPr>
                <w:sz w:val="24"/>
                <w:szCs w:val="24"/>
                <w:color w:val="auto"/>
              </w:rPr>
            </w:pPr>
          </w:p>
        </w:tc>
      </w:tr>
      <w:tr>
        <w:trPr>
          <w:trHeight w:val="162"/>
        </w:trPr>
        <w:tc>
          <w:tcPr>
            <w:tcW w:w="9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Goodwill</w:t>
            </w:r>
          </w:p>
        </w:tc>
        <w:tc>
          <w:tcPr>
            <w:tcW w:w="38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87,348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9220" w:type="dxa"/>
            <w:vAlign w:val="bottom"/>
          </w:tcPr>
          <w:p>
            <w:pPr>
              <w:ind w:left="380"/>
              <w:spacing w:after="0"/>
              <w:rPr>
                <w:sz w:val="20"/>
                <w:szCs w:val="20"/>
                <w:color w:val="auto"/>
              </w:rPr>
            </w:pPr>
            <w:r>
              <w:rPr>
                <w:rFonts w:ascii="Arial" w:cs="Arial" w:eastAsia="Arial" w:hAnsi="Arial"/>
                <w:sz w:val="13"/>
                <w:szCs w:val="13"/>
                <w:color w:val="auto"/>
              </w:rPr>
              <w:t>Net assets acquired</w:t>
            </w: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145,995</w:t>
            </w:r>
          </w:p>
        </w:tc>
        <w:tc>
          <w:tcPr>
            <w:tcW w:w="100" w:type="dxa"/>
            <w:vAlign w:val="bottom"/>
          </w:tcPr>
          <w:p>
            <w:pPr>
              <w:spacing w:after="0"/>
              <w:rPr>
                <w:sz w:val="13"/>
                <w:szCs w:val="13"/>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231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3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fair value of the identifiable intangible assets acquired: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w:t>
            </w:r>
          </w:p>
        </w:tc>
      </w:tr>
      <w:tr>
        <w:trPr>
          <w:trHeight w:val="162"/>
        </w:trPr>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1"/>
              </w:rPr>
              <w:t>Average</w:t>
            </w:r>
          </w:p>
        </w:tc>
      </w:tr>
      <w:tr>
        <w:trPr>
          <w:trHeight w:val="162"/>
        </w:trPr>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r>
      <w:tr>
        <w:trPr>
          <w:trHeight w:val="165"/>
        </w:trPr>
        <w:tc>
          <w:tcPr>
            <w:tcW w:w="7720" w:type="dxa"/>
            <w:vAlign w:val="bottom"/>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Period</w:t>
            </w:r>
          </w:p>
        </w:tc>
      </w:tr>
      <w:tr>
        <w:trPr>
          <w:trHeight w:val="15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Value of management and advisory contracts</w:t>
            </w:r>
          </w:p>
        </w:tc>
        <w:tc>
          <w:tcPr>
            <w:tcW w:w="1160" w:type="dxa"/>
            <w:vAlign w:val="bottom"/>
            <w:shd w:val="clear" w:color="auto" w:fill="CFF0FC"/>
          </w:tcPr>
          <w:p>
            <w:pPr>
              <w:jc w:val="right"/>
              <w:ind w:right="101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43,500</w:t>
            </w:r>
          </w:p>
        </w:tc>
        <w:tc>
          <w:tcPr>
            <w:tcW w:w="2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r>
      <w:tr>
        <w:trPr>
          <w:trHeight w:val="162"/>
        </w:trPr>
        <w:tc>
          <w:tcPr>
            <w:tcW w:w="7720" w:type="dxa"/>
            <w:vAlign w:val="bottom"/>
          </w:tcPr>
          <w:p>
            <w:pPr>
              <w:ind w:left="20"/>
              <w:spacing w:after="0"/>
              <w:rPr>
                <w:sz w:val="20"/>
                <w:szCs w:val="20"/>
                <w:color w:val="auto"/>
              </w:rPr>
            </w:pPr>
            <w:r>
              <w:rPr>
                <w:rFonts w:ascii="Arial" w:cs="Arial" w:eastAsia="Arial" w:hAnsi="Arial"/>
                <w:sz w:val="13"/>
                <w:szCs w:val="13"/>
                <w:color w:val="auto"/>
              </w:rPr>
              <w:t>Value of trade name</w:t>
            </w: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6,800</w:t>
            </w:r>
          </w:p>
        </w:tc>
        <w:tc>
          <w:tcPr>
            <w:tcW w:w="194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95"/>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Total identifiable intangible assets</w:t>
            </w:r>
          </w:p>
        </w:tc>
        <w:tc>
          <w:tcPr>
            <w:tcW w:w="1160" w:type="dxa"/>
            <w:vAlign w:val="bottom"/>
            <w:tcBorders>
              <w:bottom w:val="single" w:sz="8" w:color="auto"/>
            </w:tcBorders>
            <w:shd w:val="clear" w:color="auto" w:fill="CFF0FC"/>
          </w:tcPr>
          <w:p>
            <w:pPr>
              <w:jc w:val="right"/>
              <w:ind w:right="101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50,300</w:t>
            </w:r>
          </w:p>
        </w:tc>
        <w:tc>
          <w:tcPr>
            <w:tcW w:w="280" w:type="dxa"/>
            <w:vAlign w:val="bottom"/>
            <w:tcBorders>
              <w:bottom w:val="single" w:sz="8" w:color="CFF0FC"/>
            </w:tcBorders>
            <w:shd w:val="clear" w:color="auto" w:fill="CFF0FC"/>
          </w:tcPr>
          <w:p>
            <w:pPr>
              <w:spacing w:after="0"/>
              <w:rPr>
                <w:sz w:val="16"/>
                <w:szCs w:val="16"/>
                <w:color w:val="auto"/>
              </w:rPr>
            </w:pPr>
          </w:p>
        </w:tc>
        <w:tc>
          <w:tcPr>
            <w:tcW w:w="166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color w:val="auto"/>
        </w:rPr>
        <w:t>The goodwill recorded as part of the acquisition includes the expected benefits that management believes will result from the acquisition, including the Company’s build out of its investment product offering. Approximately $87.3 million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31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goodwill is expected to be deductible for tax purposes. To the extent there are payments on EBITDA-related earnouts as discussed in Note 14, those amounts would be amortizable for tax purposes at such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12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fair value of management and advisory contracts acquired were estimated using the excess earnings method. Significant inputs to the valuation model include existing revenue, estimates of expenses and contributory asset charges, the economic life of the contracts and a discount rate based on a weighted average cost of capital.</w:t>
      </w:r>
    </w:p>
    <w:p>
      <w:pPr>
        <w:spacing w:after="0" w:line="184" w:lineRule="exact"/>
        <w:rPr>
          <w:sz w:val="20"/>
          <w:szCs w:val="20"/>
          <w:color w:val="auto"/>
        </w:rPr>
      </w:pPr>
    </w:p>
    <w:p>
      <w:pPr>
        <w:ind w:right="520" w:firstLine="509"/>
        <w:spacing w:after="0" w:line="342" w:lineRule="auto"/>
        <w:rPr>
          <w:sz w:val="20"/>
          <w:szCs w:val="20"/>
          <w:color w:val="auto"/>
        </w:rPr>
      </w:pPr>
      <w:r>
        <w:rPr>
          <w:rFonts w:ascii="Arial" w:cs="Arial" w:eastAsia="Arial" w:hAnsi="Arial"/>
          <w:sz w:val="16"/>
          <w:szCs w:val="16"/>
          <w:color w:val="auto"/>
        </w:rPr>
        <w:t>The fair value of trade names acquired were estimated using the relief from royalty method. Significant inputs to the valuation model include estimates of existing and future revenue, estimated royalty rate, economic life and a discount rate based on a weighted average cost of capital.</w:t>
      </w:r>
    </w:p>
    <w:p>
      <w:pPr>
        <w:spacing w:after="0" w:line="124"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management and advisory contracts and trade names have a finite useful life. The carrying value of the management fund and advisory contracts and trade names will be amortized in line with the pattern in which the economic benefits arise and are reviewed at least annually for indicators of impairment in value that is other than temporary.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Pro-forma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Year Acquisition: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unaudited pro forma condensed consolidated results of operations of the Company assumes the acquisition of WTI was completed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2022:</w:t>
      </w:r>
    </w:p>
    <w:p>
      <w:pPr>
        <w:spacing w:after="0" w:line="216"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For the Nine Months</w:t>
      </w:r>
    </w:p>
    <w:p>
      <w:pPr>
        <w:spacing w:after="0" w:line="4"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Ended September 30,</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178,667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166,155</w:t>
            </w:r>
          </w:p>
        </w:tc>
        <w:tc>
          <w:tcPr>
            <w:tcW w:w="80" w:type="dxa"/>
            <w:vAlign w:val="bottom"/>
            <w:shd w:val="clear" w:color="auto" w:fill="CFF0FC"/>
          </w:tcPr>
          <w:p>
            <w:pPr>
              <w:spacing w:after="0"/>
              <w:rPr>
                <w:sz w:val="21"/>
                <w:szCs w:val="2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(loss)/income attributable to P10</w:t>
            </w: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(6,048 )</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28,289</w:t>
            </w:r>
          </w:p>
        </w:tc>
        <w:tc>
          <w:tcPr>
            <w:tcW w:w="80" w:type="dxa"/>
            <w:vAlign w:val="bottom"/>
          </w:tcPr>
          <w:p>
            <w:pPr>
              <w:spacing w:after="0"/>
              <w:rPr>
                <w:sz w:val="20"/>
                <w:szCs w:val="20"/>
                <w:color w:val="auto"/>
              </w:rPr>
            </w:pPr>
          </w:p>
        </w:tc>
      </w:tr>
    </w:tbl>
    <w:p>
      <w:pPr>
        <w:spacing w:after="0" w:line="255" w:lineRule="exact"/>
        <w:rPr>
          <w:sz w:val="20"/>
          <w:szCs w:val="20"/>
          <w:color w:val="auto"/>
        </w:rPr>
      </w:pPr>
    </w:p>
    <w:p>
      <w:pPr>
        <w:jc w:val="both"/>
        <w:ind w:right="620" w:firstLine="509"/>
        <w:spacing w:after="0" w:line="263" w:lineRule="auto"/>
        <w:rPr>
          <w:sz w:val="20"/>
          <w:szCs w:val="20"/>
          <w:color w:val="auto"/>
        </w:rPr>
      </w:pPr>
      <w:r>
        <w:rPr>
          <w:rFonts w:ascii="Arial" w:cs="Arial" w:eastAsia="Arial" w:hAnsi="Arial"/>
          <w:sz w:val="18"/>
          <w:szCs w:val="18"/>
          <w:color w:val="auto"/>
        </w:rPr>
        <w:t>Pro-forma adjustments include revenue and net (loss)/income of the acquired business for each period. Other pro forma adjustments include intangible amortization expense, interest expense based on debt issued in connection with the acquisition, and compensation expense contingent on EBITDA (as noted in Note 14) as if the acquisition were completed on January 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revenues disaggregated by product offering: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For the Nine Months</w:t>
            </w:r>
          </w:p>
        </w:tc>
        <w:tc>
          <w:tcPr>
            <w:tcW w:w="100" w:type="dxa"/>
            <w:vAlign w:val="bottom"/>
          </w:tcPr>
          <w:p>
            <w:pPr>
              <w:spacing w:after="0"/>
              <w:rPr>
                <w:sz w:val="14"/>
                <w:szCs w:val="14"/>
                <w:color w:val="auto"/>
              </w:rPr>
            </w:pPr>
          </w:p>
        </w:tc>
      </w:tr>
      <w:tr>
        <w:trPr>
          <w:trHeight w:val="186"/>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6"/>
                <w:szCs w:val="16"/>
                <w:color w:val="auto"/>
              </w:rPr>
            </w:pPr>
          </w:p>
        </w:tc>
      </w:tr>
      <w:tr>
        <w:trPr>
          <w:trHeight w:val="174"/>
        </w:trPr>
        <w:tc>
          <w:tcPr>
            <w:tcW w:w="5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advisory fees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176,322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138,957</w:t>
            </w:r>
          </w:p>
        </w:tc>
        <w:tc>
          <w:tcPr>
            <w:tcW w:w="100" w:type="dxa"/>
            <w:vAlign w:val="bottom"/>
            <w:shd w:val="clear" w:color="auto" w:fill="CFF0FC"/>
          </w:tcPr>
          <w:p>
            <w:pPr>
              <w:spacing w:after="0"/>
              <w:rPr>
                <w:sz w:val="20"/>
                <w:szCs w:val="20"/>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Subscriptions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r>
      <w:tr>
        <w:trPr>
          <w:trHeight w:val="249"/>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58,942</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49,996</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178,667</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140,015</w:t>
            </w:r>
          </w:p>
        </w:tc>
        <w:tc>
          <w:tcPr>
            <w:tcW w:w="100" w:type="dxa"/>
            <w:vAlign w:val="bottom"/>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032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Alliance Expense</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Fund I and subsequent funds, paid quarterly, in exchange for funding certain amounts of capital commitments to the fund. Net management fee earnings the third-party has the right to receive is based on the total capital committed. For the three and nine months ended September 30, 2023, the strategic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3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alliance expense reported was $0.3 million and $1.1 million, respectively. For the three and nine months ended September 30, 2022, the strategic alliance expense reported was $0.1 million and $0.4 million, respectively. This is reported on the Consolidated Statements of Operations as strategic alliance expense in operating expenses. As of September 30, 2023 and December 31, 2022, the associated liability is $0.3 million and $0.2 million, respectively, which is reported in accrued expenses on the Consolidated Balance Sheets.</w:t>
      </w:r>
    </w:p>
    <w:p>
      <w:pPr>
        <w:spacing w:after="0" w:line="187" w:lineRule="exact"/>
        <w:rPr>
          <w:sz w:val="20"/>
          <w:szCs w:val="20"/>
          <w:color w:val="auto"/>
        </w:rPr>
      </w:pPr>
    </w:p>
    <w:p>
      <w:pPr>
        <w:ind w:right="240" w:firstLine="509"/>
        <w:spacing w:after="0" w:line="271" w:lineRule="auto"/>
        <w:rPr>
          <w:sz w:val="20"/>
          <w:szCs w:val="20"/>
          <w:color w:val="auto"/>
        </w:rPr>
      </w:pPr>
      <w:r>
        <w:rPr>
          <w:rFonts w:ascii="Arial" w:cs="Arial" w:eastAsia="Arial" w:hAnsi="Arial"/>
          <w:sz w:val="17"/>
          <w:szCs w:val="17"/>
          <w:color w:val="auto"/>
        </w:rPr>
        <w:t>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In addition, net management fee earnings would increase by the same percentage, retroactive to the date of the first close in Fund II. The maximum commitment requirement has been met as of September 30, 2023. Fund II has not yet reached the final close, but the Company believes it is probable that the third-party will exercise the option to acquire equity in Bonaccord and has begun to accrue an additional 5% of net management fee earnings, which is included in the strategic alliance expense. If executed, the purchase price shall be reduced by the amount of management fee distributions which the third-party would have been paid as of the initial closing of Fund II.</w:t>
      </w:r>
    </w:p>
    <w:p>
      <w:pPr>
        <w:spacing w:after="0" w:line="178"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Similar terms apply for Fund III with the exception that the third-party can acquire 9.8 basis points for every $5.0 million committed up to 4.9%. This commitment has not yet been met as of September 30, 2023 as Fund III has not yet started raising capital.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Notes Receivable</w:t>
      </w:r>
    </w:p>
    <w:p>
      <w:pPr>
        <w:spacing w:after="0" w:line="121"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Company's notes receivable consists of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of which $4.4 million was drawn as of September 30, 2023 with a maturity date of September 30, 2031.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 As of September 30, 2023 and December 31, 2022, the balance was $4.4 million and $4.2 million, respectively. The Company recognized interest income of $0.1 million and $0.2 million for the three and nine months ended September 30, 2023, respectively, and $0.1 million and $0.1 million for the three and nine months ended September 30, 2022,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Variable Interest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consolidates certain VIEs for which it is the primary beneficiary. VIEs consist of certain operating entities not wholly owned by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 and include P10 Intermediate, Holdco, RCP 2, RCP 3, TrueBridge, Hark, Bonaccord, and WTI. The assets of the consolidated VIEs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$553.5 million and $568.0 million as of September 30, 2023 and December 31, 2022, respectively. The liabilities of the consolidated VIEs totaled $377.5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and $96.3 million as of September 30, 2023 and December 31, 2022, respectively. The increase in VIE liabilities throughout 2023 is mainly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debt obligations moving from P10, Inc. to P10 Intermediate. The assets of our consolidated VIE’s are owned by those entities and not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generally available to satisfy P10’s obligations, and the liabilities of our consolidated VIE’s are obligations of those entities and their creditors do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generally have recourse to the assets of P10.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Unconsolidated VIEs</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Unconsolidated Subsidiaries</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Company’s investment in unconsolidated subsidiaries consist of equity method investments primarily related to ECG’s tax credit finance and asset management activities.</w:t>
      </w:r>
    </w:p>
    <w:p>
      <w:pPr>
        <w:spacing w:after="0" w:line="170"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As of September 30, 2023, investment in unconsolidated subsidiaries totaled $1.6 million, of which $1.4 million related to ECG’s asset management businesses and $0.2 million related to ECG’s tax credit finance businesses. As of December 31, 2022, investment in unconsolidated subsidiaries totaled $2.3 million, of which $2.1 million related to ECG’s asset management businesses and $0.2 million related to ECG’s tax credit finance businesses.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ECG manages some of its alternative asset management funds through various unconsolidated subsidiaries and records these investments under the equity method of accounting. ECG recorded its share of loss in the amount of $0.8 million and $0.2 million for the three and nine months ended September 30, 2023, respectively, and recorded its share of income in the amount of $0.2 million and $1.3 million for the three and nine months ended September 30, 2022, respectively. For the three and nine months ended September 30, 2023, ECG made $0 capital contributions and received distributions of $0 million and $0.5 million, respectively. For the three and nine months ended September 30, 2022, ECG made $0 capital contributions and received distributions of $0.3 million and $1.0 million,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Credit Finance</w:t>
      </w:r>
    </w:p>
    <w:p>
      <w:pPr>
        <w:spacing w:after="0" w:line="117"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ECG provides a wide range of tax credit transactions and consulting services through various entities which are wholly owned subsidiaries of Enhanced Tax Credit Finance, LLC (“ETCF”), which is a wholly owned subsidiary of ECG. Some of these subsidiaries own nominal interests, typically under 1.0%, in various VIEs and record these investments under the measurement alternative described in Note 2 above. For the three and nine months ended September 30, 2023 and September 30, 2022, ECG made $0 of capital contributions and received distributions of $0.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1"/>
              </w:rPr>
              <w:t>As of September 30,</w:t>
            </w:r>
          </w:p>
        </w:tc>
        <w:tc>
          <w:tcPr>
            <w:tcW w:w="180" w:type="dxa"/>
            <w:vAlign w:val="bottom"/>
          </w:tcPr>
          <w:p>
            <w:pPr>
              <w:spacing w:after="0"/>
              <w:rPr>
                <w:sz w:val="14"/>
                <w:szCs w:val="14"/>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2"/>
              </w:rPr>
              <w:t>As of December 31,</w:t>
            </w:r>
          </w:p>
        </w:tc>
      </w:tr>
      <w:tr>
        <w:trPr>
          <w:trHeight w:val="325"/>
        </w:trPr>
        <w:tc>
          <w:tcPr>
            <w:tcW w:w="7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4"/>
                <w:szCs w:val="24"/>
                <w:color w:val="auto"/>
              </w:rPr>
            </w:pPr>
          </w:p>
        </w:tc>
      </w:tr>
      <w:tr>
        <w:trPr>
          <w:trHeight w:val="15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Computers and purchased software</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631</w:t>
            </w:r>
          </w:p>
        </w:tc>
        <w:tc>
          <w:tcPr>
            <w:tcW w:w="100" w:type="dxa"/>
            <w:vAlign w:val="bottom"/>
            <w:shd w:val="clear" w:color="auto" w:fill="CFF0FC"/>
          </w:tcPr>
          <w:p>
            <w:pPr>
              <w:spacing w:after="0"/>
              <w:rPr>
                <w:sz w:val="13"/>
                <w:szCs w:val="13"/>
                <w:color w:val="auto"/>
              </w:rPr>
            </w:pPr>
          </w:p>
        </w:tc>
      </w:tr>
      <w:tr>
        <w:trPr>
          <w:trHeight w:val="161"/>
        </w:trPr>
        <w:tc>
          <w:tcPr>
            <w:tcW w:w="7720" w:type="dxa"/>
            <w:vAlign w:val="bottom"/>
          </w:tcPr>
          <w:p>
            <w:pPr>
              <w:ind w:left="20"/>
              <w:spacing w:after="0"/>
              <w:rPr>
                <w:sz w:val="20"/>
                <w:szCs w:val="20"/>
                <w:color w:val="auto"/>
              </w:rPr>
            </w:pPr>
            <w:r>
              <w:rPr>
                <w:rFonts w:ascii="Arial" w:cs="Arial" w:eastAsia="Arial" w:hAnsi="Arial"/>
                <w:sz w:val="13"/>
                <w:szCs w:val="13"/>
                <w:color w:val="auto"/>
              </w:rPr>
              <w:t>Furniture and fixtures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1,660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2,201</w:t>
            </w:r>
          </w:p>
        </w:tc>
        <w:tc>
          <w:tcPr>
            <w:tcW w:w="100" w:type="dxa"/>
            <w:vAlign w:val="bottom"/>
          </w:tcPr>
          <w:p>
            <w:pPr>
              <w:spacing w:after="0"/>
              <w:rPr>
                <w:sz w:val="14"/>
                <w:szCs w:val="14"/>
                <w:color w:val="auto"/>
              </w:rPr>
            </w:pPr>
          </w:p>
        </w:tc>
      </w:tr>
      <w:tr>
        <w:trPr>
          <w:trHeight w:val="162"/>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Leasehold improvements</w:t>
            </w:r>
          </w:p>
        </w:tc>
        <w:tc>
          <w:tcPr>
            <w:tcW w:w="18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2,876</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2,197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5,987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5,029</w:t>
            </w:r>
          </w:p>
        </w:tc>
        <w:tc>
          <w:tcPr>
            <w:tcW w:w="100" w:type="dxa"/>
            <w:vAlign w:val="bottom"/>
          </w:tcPr>
          <w:p>
            <w:pPr>
              <w:spacing w:after="0"/>
              <w:rPr>
                <w:sz w:val="13"/>
                <w:szCs w:val="13"/>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Less: accumulated depreciation</w:t>
            </w:r>
          </w:p>
        </w:tc>
        <w:tc>
          <w:tcPr>
            <w:tcW w:w="18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(2,619 )</w:t>
            </w:r>
          </w:p>
        </w:tc>
        <w:tc>
          <w:tcPr>
            <w:tcW w:w="1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(2,151 )</w:t>
            </w:r>
          </w:p>
        </w:tc>
      </w:tr>
      <w:tr>
        <w:trPr>
          <w:trHeight w:val="155"/>
        </w:trPr>
        <w:tc>
          <w:tcPr>
            <w:tcW w:w="7720" w:type="dxa"/>
            <w:vAlign w:val="bottom"/>
            <w:tcBorders>
              <w:top w:val="single" w:sz="8" w:color="CFF0FC"/>
            </w:tcBorders>
          </w:tcPr>
          <w:p>
            <w:pPr>
              <w:ind w:left="200"/>
              <w:spacing w:after="0"/>
              <w:rPr>
                <w:sz w:val="20"/>
                <w:szCs w:val="20"/>
                <w:color w:val="auto"/>
              </w:rPr>
            </w:pPr>
            <w:r>
              <w:rPr>
                <w:rFonts w:ascii="Arial" w:cs="Arial" w:eastAsia="Arial" w:hAnsi="Arial"/>
                <w:sz w:val="13"/>
                <w:szCs w:val="13"/>
                <w:color w:val="auto"/>
              </w:rPr>
              <w:t>Total property and equipment, net</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3,368</w:t>
            </w: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2,878</w:t>
            </w:r>
          </w:p>
        </w:tc>
        <w:tc>
          <w:tcPr>
            <w:tcW w:w="100" w:type="dxa"/>
            <w:vAlign w:val="bottom"/>
            <w:tcBorders>
              <w:top w:val="single" w:sz="8" w:color="CFF0FC"/>
            </w:tcBorders>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-351155</wp:posOffset>
            </wp:positionV>
            <wp:extent cx="68580" cy="1111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-136525</wp:posOffset>
            </wp:positionV>
            <wp:extent cx="6858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jc w:val="right"/>
              <w:ind w:right="1110"/>
              <w:spacing w:after="0"/>
              <w:rPr>
                <w:sz w:val="20"/>
                <w:szCs w:val="20"/>
                <w:color w:val="auto"/>
              </w:rPr>
            </w:pPr>
            <w:r>
              <w:rPr>
                <w:rFonts w:ascii="Arial" w:cs="Arial" w:eastAsia="Arial" w:hAnsi="Arial"/>
                <w:sz w:val="18"/>
                <w:szCs w:val="18"/>
                <w:color w:val="auto"/>
                <w:w w:val="97"/>
              </w:rPr>
              <w:t>Changes in goodwill for the nine months ended September 30, 2023 are as follows: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2022</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506,638</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Purchase price adjustment</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xml:space="preserve">(600 </w:t>
            </w:r>
            <w:r>
              <w:rPr>
                <w:rFonts w:ascii="Arial" w:cs="Arial" w:eastAsia="Arial" w:hAnsi="Arial"/>
                <w:sz w:val="18"/>
                <w:szCs w:val="18"/>
                <w:color w:val="auto"/>
                <w:highlight w:val="white"/>
              </w:rPr>
              <w:t>)</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from acquisitions</w:t>
            </w:r>
          </w:p>
        </w:tc>
        <w:tc>
          <w:tcPr>
            <w:tcW w:w="3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Balance at September 30, 2023</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506,038</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right"/>
              <w:ind w:right="191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-548005</wp:posOffset>
            </wp:positionV>
            <wp:extent cx="3429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11"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During the period, there was a revision to the provisional fair value of the WTI tradename as a result of obtaining new information that was not available at acquisition. This revision resulted in a purchase price adjustment. This resulted in a $0.6 million adjustment to goodwill and intangible assets.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Intangibles consists of the following:</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4"/>
              </w:rPr>
              <w:t>As of September 30, 2023</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370"/>
              <w:spacing w:after="0" w:line="133" w:lineRule="exact"/>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1"/>
                <w:szCs w:val="11"/>
                <w:color w:val="auto"/>
              </w:rPr>
            </w:pPr>
          </w:p>
        </w:tc>
        <w:tc>
          <w:tcPr>
            <w:tcW w:w="11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r>
      <w:tr>
        <w:trPr>
          <w:trHeight w:val="185"/>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17,374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17,374</w:t>
            </w:r>
          </w:p>
        </w:tc>
        <w:tc>
          <w:tcPr>
            <w:tcW w:w="80" w:type="dxa"/>
            <w:vAlign w:val="bottom"/>
          </w:tcPr>
          <w:p>
            <w:pPr>
              <w:spacing w:after="0"/>
              <w:rPr>
                <w:sz w:val="21"/>
                <w:szCs w:val="21"/>
                <w:color w:val="auto"/>
              </w:rPr>
            </w:pPr>
          </w:p>
        </w:tc>
      </w:tr>
      <w:tr>
        <w:trPr>
          <w:trHeight w:val="250"/>
        </w:trPr>
        <w:tc>
          <w:tcPr>
            <w:tcW w:w="4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Total indefinite-lived intangible assets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17,404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17,404</w:t>
            </w:r>
          </w:p>
        </w:tc>
        <w:tc>
          <w:tcPr>
            <w:tcW w:w="80" w:type="dxa"/>
            <w:vAlign w:val="bottom"/>
          </w:tcPr>
          <w:p>
            <w:pPr>
              <w:spacing w:after="0"/>
              <w:rPr>
                <w:sz w:val="21"/>
                <w:szCs w:val="21"/>
                <w:color w:val="auto"/>
              </w:rPr>
            </w:pPr>
          </w:p>
        </w:tc>
      </w:tr>
      <w:tr>
        <w:trPr>
          <w:trHeight w:val="26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28,240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(5,210 )</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23,030</w:t>
            </w:r>
          </w:p>
        </w:tc>
        <w:tc>
          <w:tcPr>
            <w:tcW w:w="80" w:type="dxa"/>
            <w:vAlign w:val="bottom"/>
          </w:tcPr>
          <w:p>
            <w:pPr>
              <w:spacing w:after="0"/>
              <w:rPr>
                <w:sz w:val="21"/>
                <w:szCs w:val="21"/>
                <w:color w:val="auto"/>
              </w:rPr>
            </w:pPr>
          </w:p>
        </w:tc>
      </w:tr>
      <w:tr>
        <w:trPr>
          <w:trHeight w:val="263"/>
        </w:trPr>
        <w:tc>
          <w:tcPr>
            <w:tcW w:w="4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Management and advisory contracts</w:t>
            </w: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194,666</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(105,276 )</w:t>
            </w: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89,390</w:t>
            </w:r>
          </w:p>
        </w:tc>
        <w:tc>
          <w:tcPr>
            <w:tcW w:w="80" w:type="dxa"/>
            <w:vAlign w:val="bottom"/>
            <w:shd w:val="clear" w:color="auto" w:fill="CFF0FC"/>
          </w:tcPr>
          <w:p>
            <w:pPr>
              <w:spacing w:after="0"/>
              <w:rPr>
                <w:sz w:val="22"/>
                <w:szCs w:val="22"/>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(1,683 )</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21"/>
                <w:szCs w:val="21"/>
                <w:color w:val="auto"/>
              </w:rPr>
            </w:pPr>
          </w:p>
        </w:tc>
      </w:tr>
      <w:tr>
        <w:trPr>
          <w:trHeight w:val="237"/>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finite-lived intangible assets</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225,287</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(112,169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113,118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242,691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(112,169 </w:t>
            </w:r>
            <w:r>
              <w:rPr>
                <w:rFonts w:ascii="Arial" w:cs="Arial" w:eastAsia="Arial" w:hAnsi="Arial"/>
                <w:sz w:val="18"/>
                <w:szCs w:val="18"/>
                <w:color w:val="auto"/>
                <w:highlight w:val="white"/>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130,522</w:t>
            </w:r>
          </w:p>
        </w:tc>
        <w:tc>
          <w:tcPr>
            <w:tcW w:w="8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5"/>
              </w:rPr>
              <w:t>As of December 31, 2022</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370"/>
              <w:spacing w:after="0" w:line="133" w:lineRule="exact"/>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1"/>
                <w:szCs w:val="11"/>
                <w:color w:val="auto"/>
              </w:rPr>
            </w:pPr>
          </w:p>
        </w:tc>
        <w:tc>
          <w:tcPr>
            <w:tcW w:w="11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r>
      <w:tr>
        <w:trPr>
          <w:trHeight w:val="185"/>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17,350</w:t>
            </w:r>
          </w:p>
        </w:tc>
        <w:tc>
          <w:tcPr>
            <w:tcW w:w="80" w:type="dxa"/>
            <w:vAlign w:val="bottom"/>
          </w:tcPr>
          <w:p>
            <w:pPr>
              <w:spacing w:after="0"/>
              <w:rPr>
                <w:sz w:val="21"/>
                <w:szCs w:val="21"/>
                <w:color w:val="auto"/>
              </w:rPr>
            </w:pPr>
          </w:p>
        </w:tc>
      </w:tr>
      <w:tr>
        <w:trPr>
          <w:trHeight w:val="250"/>
        </w:trPr>
        <w:tc>
          <w:tcPr>
            <w:tcW w:w="4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Total indefinite-lived intangible assets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17,380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17,380</w:t>
            </w:r>
          </w:p>
        </w:tc>
        <w:tc>
          <w:tcPr>
            <w:tcW w:w="80" w:type="dxa"/>
            <w:vAlign w:val="bottom"/>
          </w:tcPr>
          <w:p>
            <w:pPr>
              <w:spacing w:after="0"/>
              <w:rPr>
                <w:sz w:val="21"/>
                <w:szCs w:val="21"/>
                <w:color w:val="auto"/>
              </w:rPr>
            </w:pPr>
          </w:p>
        </w:tc>
      </w:tr>
      <w:tr>
        <w:trPr>
          <w:trHeight w:val="26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28,251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(3,472 )</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24,779</w:t>
            </w:r>
          </w:p>
        </w:tc>
        <w:tc>
          <w:tcPr>
            <w:tcW w:w="80" w:type="dxa"/>
            <w:vAlign w:val="bottom"/>
          </w:tcPr>
          <w:p>
            <w:pPr>
              <w:spacing w:after="0"/>
              <w:rPr>
                <w:sz w:val="21"/>
                <w:szCs w:val="21"/>
                <w:color w:val="auto"/>
              </w:rPr>
            </w:pPr>
          </w:p>
        </w:tc>
      </w:tr>
      <w:tr>
        <w:trPr>
          <w:trHeight w:val="263"/>
        </w:trPr>
        <w:tc>
          <w:tcPr>
            <w:tcW w:w="4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Management and advisory contracts</w:t>
            </w: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194,066</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(85,563 )</w:t>
            </w: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108,503</w:t>
            </w:r>
          </w:p>
        </w:tc>
        <w:tc>
          <w:tcPr>
            <w:tcW w:w="80" w:type="dxa"/>
            <w:vAlign w:val="bottom"/>
            <w:shd w:val="clear" w:color="auto" w:fill="CFF0FC"/>
          </w:tcPr>
          <w:p>
            <w:pPr>
              <w:spacing w:after="0"/>
              <w:rPr>
                <w:sz w:val="22"/>
                <w:szCs w:val="22"/>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(1,241 )</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21"/>
                <w:szCs w:val="21"/>
                <w:color w:val="auto"/>
              </w:rPr>
            </w:pPr>
          </w:p>
        </w:tc>
      </w:tr>
      <w:tr>
        <w:trPr>
          <w:trHeight w:val="237"/>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finite-lived intangible assets</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224,691</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(90,276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134,415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242,071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(90,276 </w:t>
            </w:r>
            <w:r>
              <w:rPr>
                <w:rFonts w:ascii="Arial" w:cs="Arial" w:eastAsia="Arial" w:hAnsi="Arial"/>
                <w:sz w:val="18"/>
                <w:szCs w:val="18"/>
                <w:color w:val="auto"/>
                <w:highlight w:val="white"/>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151,795</w:t>
            </w:r>
          </w:p>
        </w:tc>
        <w:tc>
          <w:tcPr>
            <w:tcW w:w="8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-3282315</wp:posOffset>
            </wp:positionV>
            <wp:extent cx="6032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-3282315</wp:posOffset>
            </wp:positionV>
            <wp:extent cx="5143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-3282315</wp:posOffset>
            </wp:positionV>
            <wp:extent cx="5143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-2305050</wp:posOffset>
            </wp:positionV>
            <wp:extent cx="6032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-2305050</wp:posOffset>
            </wp:positionV>
            <wp:extent cx="5143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-1165225</wp:posOffset>
            </wp:positionV>
            <wp:extent cx="6032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-1165225</wp:posOffset>
            </wp:positionV>
            <wp:extent cx="5143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-187960</wp:posOffset>
            </wp:positionV>
            <wp:extent cx="6032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Management and advisory contracts and finite lived trade names are amortized over 7 - 16 years and are being amortized in line with pattern in which the economic benefits that are expected to occur. Technology is amortized on a straight-line basis over 4 years. The amortization expense for each of the next five years and thereafter are as follows:</w:t>
      </w:r>
    </w:p>
    <w:p>
      <w:pPr>
        <w:spacing w:after="0" w:line="198"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7,324</w:t>
            </w:r>
          </w:p>
        </w:tc>
        <w:tc>
          <w:tcPr>
            <w:tcW w:w="60" w:type="dxa"/>
            <w:vAlign w:val="bottom"/>
            <w:shd w:val="clear" w:color="auto" w:fill="CFF0FC"/>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25,605</w:t>
            </w:r>
          </w:p>
        </w:tc>
        <w:tc>
          <w:tcPr>
            <w:tcW w:w="60" w:type="dxa"/>
            <w:vAlign w:val="bottom"/>
          </w:tcPr>
          <w:p>
            <w:pPr>
              <w:spacing w:after="0"/>
              <w:rPr>
                <w:sz w:val="20"/>
                <w:szCs w:val="20"/>
                <w:color w:val="auto"/>
              </w:rPr>
            </w:pPr>
          </w:p>
        </w:tc>
      </w:tr>
      <w:tr>
        <w:trPr>
          <w:trHeight w:val="24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21,262</w:t>
            </w:r>
          </w:p>
        </w:tc>
        <w:tc>
          <w:tcPr>
            <w:tcW w:w="60" w:type="dxa"/>
            <w:vAlign w:val="bottom"/>
            <w:shd w:val="clear" w:color="auto" w:fill="CFF0FC"/>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16,633</w:t>
            </w:r>
          </w:p>
        </w:tc>
        <w:tc>
          <w:tcPr>
            <w:tcW w:w="60" w:type="dxa"/>
            <w:vAlign w:val="bottom"/>
          </w:tcPr>
          <w:p>
            <w:pPr>
              <w:spacing w:after="0"/>
              <w:rPr>
                <w:sz w:val="20"/>
                <w:szCs w:val="20"/>
                <w:color w:val="auto"/>
              </w:rPr>
            </w:pPr>
          </w:p>
        </w:tc>
      </w:tr>
      <w:tr>
        <w:trPr>
          <w:trHeight w:val="24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13,304</w:t>
            </w:r>
          </w:p>
        </w:tc>
        <w:tc>
          <w:tcPr>
            <w:tcW w:w="60" w:type="dxa"/>
            <w:vAlign w:val="bottom"/>
            <w:shd w:val="clear" w:color="auto" w:fill="CFF0FC"/>
          </w:tcPr>
          <w:p>
            <w:pPr>
              <w:spacing w:after="0"/>
              <w:rPr>
                <w:sz w:val="21"/>
                <w:szCs w:val="2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28,990</w:t>
            </w:r>
          </w:p>
        </w:tc>
        <w:tc>
          <w:tcPr>
            <w:tcW w:w="60" w:type="dxa"/>
            <w:vAlign w:val="bottom"/>
          </w:tcPr>
          <w:p>
            <w:pPr>
              <w:spacing w:after="0"/>
              <w:rPr>
                <w:sz w:val="21"/>
                <w:szCs w:val="21"/>
                <w:color w:val="auto"/>
              </w:rPr>
            </w:pPr>
          </w:p>
        </w:tc>
      </w:tr>
      <w:tr>
        <w:trPr>
          <w:trHeight w:val="250"/>
        </w:trPr>
        <w:tc>
          <w:tcPr>
            <w:tcW w:w="5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3"/>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amortization</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113,118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measures certain liabilities at fair value on a recurring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Earnouts associated with the acquisitions of Bonaccord and Hark</w:t>
      </w:r>
    </w:p>
    <w:p>
      <w:pPr>
        <w:spacing w:after="0" w:line="121"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Included in total consideration of the acquisition of Bonaccord is an earnout payment not to exceed $20 million. The amount ultimately owed to the sellers is based on achieving specific fundraising targets and any amounts paid to the sellers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31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will be paid by October 2027, at which point the earnout expires. Payments are made after each close. As of September 30, 2023, $9.7 million has been paid in total contingent consideration associated with the earnout. It is highly probable that the remainder of the earnout will be acheived. Total remeasurement expense recognized for the three and nine months ended September 30, 2023 was $0.1 million and $0.5 million, respectively. Total remeasurement expense recognized for the three and nine months ended September 30, 2022 was $0.2 million and $0.2 million, respectively. This is included in contingent consideration expense on the Statements of Operations. The Company's contingent consideration is considered to be a Level 3 fair value measurement as the significant inputs are unobservable and require significant judgment or estimation. As of September 30, 2023, the estimated fair value of the remaining contingent consideration totaled $8.2 million. Following September 30, 2023, the Company has paid $1.5 million towards the remaining contingent consideration.</w:t>
      </w:r>
    </w:p>
    <w:p>
      <w:pPr>
        <w:spacing w:after="0" w:line="84"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Included in the total consideration of the acquisition of Hark is an earnout not to exceed $5.4 million. Total remeasurement expense recognized for the three and nine months ended September 30, 2023 totaled $0 and $0.1 million, respectively. Total remeasurement expense recognized for the three and nine months ended September 30, 2022, respectively, totaled $1.2 million and $1.2 million, which was included in contingent consideration expense on the Statements of Operations. The entirety of the Hark contingent consideration was paid during the quarter ended September 30, 2023.</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provide details regarding the classification of these liabilities within the fair value hierarchy as of the dates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September 30, 2023</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160" w:type="dxa"/>
            <w:vAlign w:val="bottom"/>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I</w:t>
            </w:r>
          </w:p>
        </w:tc>
        <w:tc>
          <w:tcPr>
            <w:tcW w:w="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III</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41"/>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Contingent consideration obligation</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8,201</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8,201</w:t>
            </w:r>
          </w:p>
        </w:tc>
        <w:tc>
          <w:tcPr>
            <w:tcW w:w="100" w:type="dxa"/>
            <w:vAlign w:val="bottom"/>
          </w:tcPr>
          <w:p>
            <w:pPr>
              <w:spacing w:after="0"/>
              <w:rPr>
                <w:sz w:val="21"/>
                <w:szCs w:val="21"/>
                <w:color w:val="auto"/>
              </w:rPr>
            </w:pPr>
          </w:p>
        </w:tc>
      </w:tr>
      <w:tr>
        <w:trPr>
          <w:trHeight w:val="277"/>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8,201</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-25400</wp:posOffset>
            </wp:positionV>
            <wp:extent cx="3505835" cy="660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05835" cy="660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As of December 31, 2022</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160" w:type="dxa"/>
            <w:vAlign w:val="bottom"/>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I</w:t>
            </w:r>
          </w:p>
        </w:tc>
        <w:tc>
          <w:tcPr>
            <w:tcW w:w="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III</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41"/>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Contingent consideration obligation</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17,337</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1"/>
                <w:szCs w:val="21"/>
                <w:color w:val="auto"/>
              </w:rPr>
            </w:pPr>
          </w:p>
        </w:tc>
      </w:tr>
      <w:tr>
        <w:trPr>
          <w:trHeight w:val="277"/>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For the liabilities presented in the tables above, there were no changes in fair value hierarchy levels during the periods ended September 30, 2023 and December 31, 2022.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fair value of Level III financial instruments are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60" w:type="dxa"/>
            <w:vAlign w:val="bottom"/>
          </w:tcPr>
          <w:p>
            <w:pPr>
              <w:ind w:left="20"/>
              <w:spacing w:after="0"/>
              <w:rPr>
                <w:sz w:val="20"/>
                <w:szCs w:val="20"/>
                <w:color w:val="auto"/>
              </w:rPr>
            </w:pPr>
            <w:r>
              <w:rPr>
                <w:rFonts w:ascii="Arial" w:cs="Arial" w:eastAsia="Arial" w:hAnsi="Arial"/>
                <w:sz w:val="13"/>
                <w:szCs w:val="13"/>
                <w:b w:val="1"/>
                <w:bCs w:val="1"/>
                <w:color w:val="auto"/>
              </w:rPr>
              <w:t>Contingent Consideration Liability</w:t>
            </w:r>
          </w:p>
        </w:tc>
        <w:tc>
          <w:tcPr>
            <w:tcW w:w="3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3"/>
                <w:szCs w:val="13"/>
                <w:b w:val="1"/>
                <w:bCs w:val="1"/>
                <w:color w:val="auto"/>
                <w:w w:val="96"/>
              </w:rPr>
              <w:t>For the Nine Months Ended September 30,</w:t>
            </w:r>
          </w:p>
        </w:tc>
        <w:tc>
          <w:tcPr>
            <w:tcW w:w="100" w:type="dxa"/>
            <w:vAlign w:val="bottom"/>
          </w:tcPr>
          <w:p>
            <w:pPr>
              <w:spacing w:after="0"/>
              <w:rPr>
                <w:sz w:val="14"/>
                <w:szCs w:val="14"/>
                <w:color w:val="auto"/>
              </w:rPr>
            </w:pPr>
          </w:p>
        </w:tc>
      </w:tr>
      <w:tr>
        <w:trPr>
          <w:trHeight w:val="155"/>
        </w:trPr>
        <w:tc>
          <w:tcPr>
            <w:tcW w:w="77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56"/>
        </w:trPr>
        <w:tc>
          <w:tcPr>
            <w:tcW w:w="77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beginning of year:</w:t>
            </w:r>
          </w:p>
        </w:tc>
        <w:tc>
          <w:tcPr>
            <w:tcW w:w="30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17,337</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22,963</w:t>
            </w:r>
          </w:p>
        </w:tc>
        <w:tc>
          <w:tcPr>
            <w:tcW w:w="100" w:type="dxa"/>
            <w:vAlign w:val="bottom"/>
            <w:shd w:val="clear" w:color="auto" w:fill="CFF0FC"/>
          </w:tcPr>
          <w:p>
            <w:pPr>
              <w:spacing w:after="0"/>
              <w:rPr>
                <w:sz w:val="13"/>
                <w:szCs w:val="13"/>
                <w:color w:val="auto"/>
              </w:rPr>
            </w:pPr>
          </w:p>
        </w:tc>
      </w:tr>
      <w:tr>
        <w:trPr>
          <w:trHeight w:val="161"/>
        </w:trPr>
        <w:tc>
          <w:tcPr>
            <w:tcW w:w="7760" w:type="dxa"/>
            <w:vAlign w:val="bottom"/>
          </w:tcPr>
          <w:p>
            <w:pPr>
              <w:ind w:left="200"/>
              <w:spacing w:after="0"/>
              <w:rPr>
                <w:sz w:val="20"/>
                <w:szCs w:val="20"/>
                <w:color w:val="auto"/>
              </w:rPr>
            </w:pPr>
            <w:r>
              <w:rPr>
                <w:rFonts w:ascii="Arial" w:cs="Arial" w:eastAsia="Arial" w:hAnsi="Arial"/>
                <w:sz w:val="13"/>
                <w:szCs w:val="13"/>
                <w:color w:val="auto"/>
              </w:rPr>
              <w:t>Additions</w:t>
            </w: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163"/>
        </w:trPr>
        <w:tc>
          <w:tcPr>
            <w:tcW w:w="7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 in fair value</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1,367</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00"/>
              <w:spacing w:after="0"/>
              <w:rPr>
                <w:sz w:val="20"/>
                <w:szCs w:val="20"/>
                <w:color w:val="auto"/>
              </w:rPr>
            </w:pPr>
            <w:r>
              <w:rPr>
                <w:rFonts w:ascii="Arial" w:cs="Arial" w:eastAsia="Arial" w:hAnsi="Arial"/>
                <w:sz w:val="13"/>
                <w:szCs w:val="13"/>
                <w:color w:val="auto"/>
              </w:rPr>
              <w:t>Settlements</w:t>
            </w:r>
          </w:p>
        </w:tc>
        <w:tc>
          <w:tcPr>
            <w:tcW w:w="300" w:type="dxa"/>
            <w:vAlign w:val="bottom"/>
          </w:tcPr>
          <w:p>
            <w:pPr>
              <w:spacing w:after="0"/>
              <w:rPr>
                <w:sz w:val="14"/>
                <w:szCs w:val="1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3"/>
                <w:szCs w:val="13"/>
                <w:color w:val="auto"/>
              </w:rPr>
              <w:t>(9,686 )</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195"/>
        </w:trPr>
        <w:tc>
          <w:tcPr>
            <w:tcW w:w="776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end of period:</w:t>
            </w:r>
          </w:p>
        </w:tc>
        <w:tc>
          <w:tcPr>
            <w:tcW w:w="300" w:type="dxa"/>
            <w:vAlign w:val="bottom"/>
            <w:tcBorders>
              <w:top w:val="single" w:sz="8" w:color="auto"/>
              <w:bottom w:val="single" w:sz="8" w:color="auto"/>
            </w:tcBorders>
            <w:shd w:val="clear" w:color="auto" w:fill="CFF0FC"/>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8,201</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24,330</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obligations consists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76"/>
        </w:trPr>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r>
      <w:tr>
        <w:trPr>
          <w:trHeight w:val="237"/>
        </w:trPr>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Revolver facility</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80,900</w:t>
            </w:r>
          </w:p>
        </w:tc>
        <w:tc>
          <w:tcPr>
            <w:tcW w:w="80" w:type="dxa"/>
            <w:vAlign w:val="bottom"/>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(2,083 )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(2,783 )</w:t>
            </w:r>
          </w:p>
        </w:tc>
      </w:tr>
      <w:tr>
        <w:trPr>
          <w:trHeight w:val="236"/>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Revolver facility,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58,417</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78,117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Term Loan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204,531</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212,500</w:t>
            </w:r>
          </w:p>
        </w:tc>
        <w:tc>
          <w:tcPr>
            <w:tcW w:w="80" w:type="dxa"/>
            <w:vAlign w:val="bottom"/>
          </w:tcPr>
          <w:p>
            <w:pPr>
              <w:spacing w:after="0"/>
              <w:rPr>
                <w:sz w:val="20"/>
                <w:szCs w:val="20"/>
                <w:color w:val="auto"/>
              </w:rPr>
            </w:pP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(1,013 )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(1,393 )</w:t>
            </w:r>
          </w:p>
        </w:tc>
      </w:tr>
      <w:tr>
        <w:trPr>
          <w:trHeight w:val="237"/>
        </w:trPr>
        <w:tc>
          <w:tcPr>
            <w:tcW w:w="54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Term loan,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203,518</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211,107</w:t>
            </w:r>
          </w:p>
        </w:tc>
        <w:tc>
          <w:tcPr>
            <w:tcW w:w="80" w:type="dxa"/>
            <w:vAlign w:val="bottom"/>
            <w:tcBorders>
              <w:top w:val="single" w:sz="8" w:color="CFF0FC"/>
            </w:tcBorders>
          </w:tcPr>
          <w:p>
            <w:pPr>
              <w:spacing w:after="0"/>
              <w:rPr>
                <w:sz w:val="20"/>
                <w:szCs w:val="20"/>
                <w:color w:val="auto"/>
              </w:rPr>
            </w:pP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obligations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261,935</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289,224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-668020</wp:posOffset>
            </wp:positionV>
            <wp:extent cx="51435"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-668020</wp:posOffset>
            </wp:positionV>
            <wp:extent cx="431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-350520</wp:posOffset>
            </wp:positionV>
            <wp:extent cx="5143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ind w:left="1360"/>
              <w:spacing w:after="0"/>
              <w:rPr>
                <w:sz w:val="20"/>
                <w:szCs w:val="20"/>
                <w:color w:val="auto"/>
              </w:rPr>
            </w:pPr>
            <w:r>
              <w:rPr>
                <w:rFonts w:ascii="Arial" w:cs="Arial" w:eastAsia="Arial" w:hAnsi="Arial"/>
                <w:sz w:val="13"/>
                <w:szCs w:val="13"/>
                <w:b w:val="1"/>
                <w:bCs w:val="1"/>
                <w:color w:val="auto"/>
                <w:w w:val="87"/>
              </w:rPr>
              <w:t>September 30, 2023</w:t>
            </w: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r>
      <w:tr>
        <w:trPr>
          <w:trHeight w:val="318"/>
        </w:trPr>
        <w:tc>
          <w:tcPr>
            <w:tcW w:w="3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Principal Amount</w:t>
            </w:r>
          </w:p>
        </w:tc>
        <w:tc>
          <w:tcPr>
            <w:tcW w:w="220" w:type="dxa"/>
            <w:vAlign w:val="bottom"/>
          </w:tcPr>
          <w:p>
            <w:pPr>
              <w:spacing w:after="0"/>
              <w:rPr>
                <w:sz w:val="24"/>
                <w:szCs w:val="24"/>
                <w:color w:val="auto"/>
              </w:rPr>
            </w:pPr>
          </w:p>
        </w:tc>
        <w:tc>
          <w:tcPr>
            <w:tcW w:w="172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Base Rate</w:t>
            </w: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SOFR Rate</w:t>
            </w:r>
          </w:p>
        </w:tc>
        <w:tc>
          <w:tcPr>
            <w:tcW w:w="240" w:type="dxa"/>
            <w:vAlign w:val="bottom"/>
          </w:tcPr>
          <w:p>
            <w:pPr>
              <w:spacing w:after="0"/>
              <w:rPr>
                <w:sz w:val="24"/>
                <w:szCs w:val="24"/>
                <w:color w:val="auto"/>
              </w:rPr>
            </w:pPr>
          </w:p>
        </w:tc>
        <w:tc>
          <w:tcPr>
            <w:tcW w:w="1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Rate Expiration Date</w:t>
            </w:r>
          </w:p>
        </w:tc>
      </w:tr>
      <w:tr>
        <w:trPr>
          <w:trHeight w:val="157"/>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440" w:type="dxa"/>
            <w:vAlign w:val="bottom"/>
            <w:gridSpan w:val="2"/>
          </w:tcPr>
          <w:p>
            <w:pPr>
              <w:spacing w:after="0"/>
              <w:rPr>
                <w:sz w:val="13"/>
                <w:szCs w:val="13"/>
                <w:color w:val="auto"/>
              </w:rPr>
            </w:pPr>
          </w:p>
        </w:tc>
        <w:tc>
          <w:tcPr>
            <w:tcW w:w="1800" w:type="dxa"/>
            <w:vAlign w:val="bottom"/>
          </w:tcPr>
          <w:p>
            <w:pPr>
              <w:spacing w:after="0"/>
              <w:rPr>
                <w:sz w:val="13"/>
                <w:szCs w:val="13"/>
                <w:color w:val="auto"/>
              </w:rPr>
            </w:pPr>
          </w:p>
        </w:tc>
      </w:tr>
      <w:tr>
        <w:trPr>
          <w:trHeight w:val="162"/>
        </w:trPr>
        <w:tc>
          <w:tcPr>
            <w:tcW w:w="3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Term Loan</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84,219</w:t>
            </w:r>
          </w:p>
        </w:tc>
        <w:tc>
          <w:tcPr>
            <w:tcW w:w="21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2.10 %</w:t>
            </w:r>
          </w:p>
        </w:tc>
        <w:tc>
          <w:tcPr>
            <w:tcW w:w="5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4.94 %</w:t>
            </w:r>
          </w:p>
        </w:tc>
        <w:tc>
          <w:tcPr>
            <w:tcW w:w="1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10/18/2023</w:t>
            </w:r>
          </w:p>
        </w:tc>
      </w:tr>
      <w:tr>
        <w:trPr>
          <w:trHeight w:val="161"/>
        </w:trPr>
        <w:tc>
          <w:tcPr>
            <w:tcW w:w="3660" w:type="dxa"/>
            <w:vAlign w:val="bottom"/>
          </w:tcPr>
          <w:p>
            <w:pPr>
              <w:ind w:left="20"/>
              <w:spacing w:after="0"/>
              <w:rPr>
                <w:sz w:val="20"/>
                <w:szCs w:val="20"/>
                <w:color w:val="auto"/>
              </w:rPr>
            </w:pPr>
            <w:r>
              <w:rPr>
                <w:rFonts w:ascii="Arial" w:cs="Arial" w:eastAsia="Arial" w:hAnsi="Arial"/>
                <w:sz w:val="13"/>
                <w:szCs w:val="13"/>
                <w:color w:val="auto"/>
              </w:rPr>
              <w:t>Term Loan</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120,312</w:t>
            </w:r>
          </w:p>
        </w:tc>
        <w:tc>
          <w:tcPr>
            <w:tcW w:w="2140" w:type="dxa"/>
            <w:vAlign w:val="bottom"/>
            <w:gridSpan w:val="3"/>
          </w:tcPr>
          <w:p>
            <w:pPr>
              <w:jc w:val="right"/>
              <w:ind w:right="100"/>
              <w:spacing w:after="0"/>
              <w:rPr>
                <w:sz w:val="20"/>
                <w:szCs w:val="20"/>
                <w:color w:val="auto"/>
              </w:rPr>
            </w:pPr>
            <w:r>
              <w:rPr>
                <w:rFonts w:ascii="Arial" w:cs="Arial" w:eastAsia="Arial" w:hAnsi="Arial"/>
                <w:sz w:val="13"/>
                <w:szCs w:val="13"/>
                <w:color w:val="auto"/>
              </w:rPr>
              <w:t>2.10 %</w:t>
            </w:r>
          </w:p>
        </w:tc>
        <w:tc>
          <w:tcPr>
            <w:tcW w:w="52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5.35 %</w:t>
            </w:r>
          </w:p>
        </w:tc>
        <w:tc>
          <w:tcPr>
            <w:tcW w:w="1800" w:type="dxa"/>
            <w:vAlign w:val="bottom"/>
          </w:tcPr>
          <w:p>
            <w:pPr>
              <w:jc w:val="right"/>
              <w:spacing w:after="0"/>
              <w:rPr>
                <w:sz w:val="20"/>
                <w:szCs w:val="20"/>
                <w:color w:val="auto"/>
              </w:rPr>
            </w:pPr>
            <w:r>
              <w:rPr>
                <w:rFonts w:ascii="Arial" w:cs="Arial" w:eastAsia="Arial" w:hAnsi="Arial"/>
                <w:sz w:val="13"/>
                <w:szCs w:val="13"/>
                <w:color w:val="auto"/>
              </w:rPr>
              <w:t>12/29/2023</w:t>
            </w:r>
          </w:p>
        </w:tc>
      </w:tr>
      <w:tr>
        <w:trPr>
          <w:trHeight w:val="163"/>
        </w:trPr>
        <w:tc>
          <w:tcPr>
            <w:tcW w:w="3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w:t>
            </w:r>
          </w:p>
        </w:tc>
        <w:tc>
          <w:tcPr>
            <w:tcW w:w="21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2.10 %</w:t>
            </w:r>
          </w:p>
        </w:tc>
        <w:tc>
          <w:tcPr>
            <w:tcW w:w="5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5.30 %</w:t>
            </w:r>
          </w:p>
        </w:tc>
        <w:tc>
          <w:tcPr>
            <w:tcW w:w="1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10/13/2023</w:t>
            </w:r>
          </w:p>
        </w:tc>
      </w:tr>
      <w:tr>
        <w:trPr>
          <w:trHeight w:val="161"/>
        </w:trPr>
        <w:tc>
          <w:tcPr>
            <w:tcW w:w="3660" w:type="dxa"/>
            <w:vAlign w:val="bottom"/>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6,000</w:t>
            </w:r>
          </w:p>
        </w:tc>
        <w:tc>
          <w:tcPr>
            <w:tcW w:w="2140" w:type="dxa"/>
            <w:vAlign w:val="bottom"/>
            <w:gridSpan w:val="3"/>
          </w:tcPr>
          <w:p>
            <w:pPr>
              <w:jc w:val="right"/>
              <w:ind w:right="100"/>
              <w:spacing w:after="0"/>
              <w:rPr>
                <w:sz w:val="20"/>
                <w:szCs w:val="20"/>
                <w:color w:val="auto"/>
              </w:rPr>
            </w:pPr>
            <w:r>
              <w:rPr>
                <w:rFonts w:ascii="Arial" w:cs="Arial" w:eastAsia="Arial" w:hAnsi="Arial"/>
                <w:sz w:val="13"/>
                <w:szCs w:val="13"/>
                <w:color w:val="auto"/>
              </w:rPr>
              <w:t>2.10 %</w:t>
            </w:r>
          </w:p>
        </w:tc>
        <w:tc>
          <w:tcPr>
            <w:tcW w:w="52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5.33 %</w:t>
            </w:r>
          </w:p>
        </w:tc>
        <w:tc>
          <w:tcPr>
            <w:tcW w:w="1800" w:type="dxa"/>
            <w:vAlign w:val="bottom"/>
          </w:tcPr>
          <w:p>
            <w:pPr>
              <w:jc w:val="right"/>
              <w:spacing w:after="0"/>
              <w:rPr>
                <w:sz w:val="20"/>
                <w:szCs w:val="20"/>
                <w:color w:val="auto"/>
              </w:rPr>
            </w:pPr>
            <w:r>
              <w:rPr>
                <w:rFonts w:ascii="Arial" w:cs="Arial" w:eastAsia="Arial" w:hAnsi="Arial"/>
                <w:sz w:val="13"/>
                <w:szCs w:val="13"/>
                <w:color w:val="auto"/>
              </w:rPr>
              <w:t>10/23/2023</w:t>
            </w:r>
          </w:p>
        </w:tc>
      </w:tr>
      <w:tr>
        <w:trPr>
          <w:trHeight w:val="163"/>
        </w:trPr>
        <w:tc>
          <w:tcPr>
            <w:tcW w:w="3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16,500</w:t>
            </w:r>
          </w:p>
        </w:tc>
        <w:tc>
          <w:tcPr>
            <w:tcW w:w="21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2.10 %</w:t>
            </w:r>
          </w:p>
        </w:tc>
        <w:tc>
          <w:tcPr>
            <w:tcW w:w="5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5.42 %</w:t>
            </w:r>
          </w:p>
        </w:tc>
        <w:tc>
          <w:tcPr>
            <w:tcW w:w="1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11/30/2023</w:t>
            </w:r>
          </w:p>
        </w:tc>
      </w:tr>
      <w:tr>
        <w:trPr>
          <w:trHeight w:val="161"/>
        </w:trPr>
        <w:tc>
          <w:tcPr>
            <w:tcW w:w="3660" w:type="dxa"/>
            <w:vAlign w:val="bottom"/>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12,000</w:t>
            </w:r>
          </w:p>
        </w:tc>
        <w:tc>
          <w:tcPr>
            <w:tcW w:w="2140" w:type="dxa"/>
            <w:vAlign w:val="bottom"/>
            <w:gridSpan w:val="3"/>
          </w:tcPr>
          <w:p>
            <w:pPr>
              <w:jc w:val="right"/>
              <w:ind w:right="100"/>
              <w:spacing w:after="0"/>
              <w:rPr>
                <w:sz w:val="20"/>
                <w:szCs w:val="20"/>
                <w:color w:val="auto"/>
              </w:rPr>
            </w:pPr>
            <w:r>
              <w:rPr>
                <w:rFonts w:ascii="Arial" w:cs="Arial" w:eastAsia="Arial" w:hAnsi="Arial"/>
                <w:sz w:val="13"/>
                <w:szCs w:val="13"/>
                <w:color w:val="auto"/>
              </w:rPr>
              <w:t>2.10 %</w:t>
            </w:r>
          </w:p>
        </w:tc>
        <w:tc>
          <w:tcPr>
            <w:tcW w:w="52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5.41 %</w:t>
            </w:r>
          </w:p>
        </w:tc>
        <w:tc>
          <w:tcPr>
            <w:tcW w:w="1800" w:type="dxa"/>
            <w:vAlign w:val="bottom"/>
          </w:tcPr>
          <w:p>
            <w:pPr>
              <w:jc w:val="right"/>
              <w:spacing w:after="0"/>
              <w:rPr>
                <w:sz w:val="20"/>
                <w:szCs w:val="20"/>
                <w:color w:val="auto"/>
              </w:rPr>
            </w:pPr>
            <w:r>
              <w:rPr>
                <w:rFonts w:ascii="Arial" w:cs="Arial" w:eastAsia="Arial" w:hAnsi="Arial"/>
                <w:sz w:val="13"/>
                <w:szCs w:val="13"/>
                <w:color w:val="auto"/>
              </w:rPr>
              <w:t>12/14/2023</w:t>
            </w:r>
          </w:p>
        </w:tc>
      </w:tr>
      <w:tr>
        <w:trPr>
          <w:trHeight w:val="163"/>
        </w:trPr>
        <w:tc>
          <w:tcPr>
            <w:tcW w:w="3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w:t>
            </w:r>
          </w:p>
        </w:tc>
        <w:tc>
          <w:tcPr>
            <w:tcW w:w="21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2.10 %</w:t>
            </w:r>
          </w:p>
        </w:tc>
        <w:tc>
          <w:tcPr>
            <w:tcW w:w="5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5.39 %</w:t>
            </w:r>
          </w:p>
        </w:tc>
        <w:tc>
          <w:tcPr>
            <w:tcW w:w="1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12/27/2023</w:t>
            </w:r>
          </w:p>
        </w:tc>
      </w:tr>
      <w:tr>
        <w:trPr>
          <w:trHeight w:val="162"/>
        </w:trPr>
        <w:tc>
          <w:tcPr>
            <w:tcW w:w="3660" w:type="dxa"/>
            <w:vAlign w:val="bottom"/>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w:t>
            </w:r>
          </w:p>
        </w:tc>
        <w:tc>
          <w:tcPr>
            <w:tcW w:w="2140" w:type="dxa"/>
            <w:vAlign w:val="bottom"/>
            <w:gridSpan w:val="3"/>
          </w:tcPr>
          <w:p>
            <w:pPr>
              <w:jc w:val="right"/>
              <w:ind w:right="100"/>
              <w:spacing w:after="0"/>
              <w:rPr>
                <w:sz w:val="20"/>
                <w:szCs w:val="20"/>
                <w:color w:val="auto"/>
              </w:rPr>
            </w:pPr>
            <w:r>
              <w:rPr>
                <w:rFonts w:ascii="Arial" w:cs="Arial" w:eastAsia="Arial" w:hAnsi="Arial"/>
                <w:sz w:val="13"/>
                <w:szCs w:val="13"/>
                <w:color w:val="auto"/>
              </w:rPr>
              <w:t>2.10 %</w:t>
            </w:r>
          </w:p>
        </w:tc>
        <w:tc>
          <w:tcPr>
            <w:tcW w:w="52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5.39 %</w:t>
            </w:r>
          </w:p>
        </w:tc>
        <w:tc>
          <w:tcPr>
            <w:tcW w:w="1800" w:type="dxa"/>
            <w:vAlign w:val="bottom"/>
          </w:tcPr>
          <w:p>
            <w:pPr>
              <w:jc w:val="right"/>
              <w:spacing w:after="0"/>
              <w:rPr>
                <w:sz w:val="20"/>
                <w:szCs w:val="20"/>
                <w:color w:val="auto"/>
              </w:rPr>
            </w:pPr>
            <w:r>
              <w:rPr>
                <w:rFonts w:ascii="Arial" w:cs="Arial" w:eastAsia="Arial" w:hAnsi="Arial"/>
                <w:sz w:val="13"/>
                <w:szCs w:val="13"/>
                <w:color w:val="auto"/>
              </w:rPr>
              <w:t>12/28/2023</w:t>
            </w:r>
          </w:p>
        </w:tc>
      </w:tr>
      <w:tr>
        <w:trPr>
          <w:trHeight w:val="195"/>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265,031</w:t>
            </w:r>
          </w:p>
        </w:tc>
        <w:tc>
          <w:tcPr>
            <w:tcW w:w="220" w:type="dxa"/>
            <w:vAlign w:val="bottom"/>
            <w:tcBorders>
              <w:bottom w:val="single" w:sz="8" w:color="CFF0FC"/>
            </w:tcBorders>
            <w:shd w:val="clear" w:color="auto" w:fill="CFF0FC"/>
          </w:tcPr>
          <w:p>
            <w:pPr>
              <w:spacing w:after="0"/>
              <w:rPr>
                <w:sz w:val="16"/>
                <w:szCs w:val="16"/>
                <w:color w:val="auto"/>
              </w:rPr>
            </w:pPr>
          </w:p>
        </w:tc>
        <w:tc>
          <w:tcPr>
            <w:tcW w:w="17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-25400</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and Term Loan</w:t>
      </w:r>
    </w:p>
    <w:p>
      <w:pPr>
        <w:spacing w:after="0" w:line="121"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with the acquisition of WTI at which point it was split into $87.5 million worth of term loan and $37.5 million of revolver.</w:t>
      </w:r>
    </w:p>
    <w:p>
      <w:pPr>
        <w:spacing w:after="0" w:line="192"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 Certain P10 subsidiaries are encumbered by this debt agreement.</w:t>
      </w:r>
    </w:p>
    <w:p>
      <w:pPr>
        <w:spacing w:after="0" w:line="188"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The Credit Agreement contains affirmative and negative covenants typical of such financing transactions, and specific financial covenants which require P10 to maintain a minimum leverage ratio. As of September 30, 2023, P10 was in compliance with its financial covenants required under the facility. As of September 30, 2023, the balance drawn on the revolving credit facility is $60.5 million and on the term loan, the balance is $204.5 million. The balance as of December 31, 2022 was $80.9 million on the revolving credit facility and $212.5 million on the term loan. For the three and nine months ended September 30, 2023, $5.1 million and $15.0 million of interest expense was incurred, respectively. For the three and nine months ended September 30, 2022, $2.1 million and $4.6 million of interest expense was incurred,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Payable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220" w:type="dxa"/>
            <w:vAlign w:val="bottom"/>
            <w:gridSpan w:val="2"/>
          </w:tcPr>
          <w:p>
            <w:pPr>
              <w:jc w:val="right"/>
              <w:ind w:right="690"/>
              <w:spacing w:after="0"/>
              <w:rPr>
                <w:sz w:val="20"/>
                <w:szCs w:val="20"/>
                <w:color w:val="auto"/>
              </w:rPr>
            </w:pPr>
            <w:r>
              <w:rPr>
                <w:rFonts w:ascii="Arial" w:cs="Arial" w:eastAsia="Arial" w:hAnsi="Arial"/>
                <w:sz w:val="18"/>
                <w:szCs w:val="18"/>
                <w:color w:val="auto"/>
                <w:w w:val="90"/>
              </w:rPr>
              <w:t>Future principal maturities of debt as of September 30, 2023 are as follows:</w:t>
            </w:r>
          </w:p>
        </w:tc>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4480" w:type="dxa"/>
            <w:vAlign w:val="bottom"/>
            <w:shd w:val="clear" w:color="auto" w:fill="CFF0FC"/>
          </w:tcPr>
          <w:p>
            <w:pPr>
              <w:jc w:val="right"/>
              <w:ind w:right="4030"/>
              <w:spacing w:after="0"/>
              <w:rPr>
                <w:sz w:val="20"/>
                <w:szCs w:val="20"/>
                <w:color w:val="auto"/>
              </w:rPr>
            </w:pPr>
            <w:r>
              <w:rPr>
                <w:rFonts w:ascii="Arial" w:cs="Arial" w:eastAsia="Arial" w:hAnsi="Arial"/>
                <w:sz w:val="18"/>
                <w:szCs w:val="18"/>
                <w:color w:val="auto"/>
                <w:w w:val="84"/>
              </w:rPr>
              <w:t>2023</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4480" w:type="dxa"/>
            <w:vAlign w:val="bottom"/>
          </w:tcPr>
          <w:p>
            <w:pPr>
              <w:jc w:val="right"/>
              <w:ind w:right="4030"/>
              <w:spacing w:after="0"/>
              <w:rPr>
                <w:sz w:val="20"/>
                <w:szCs w:val="20"/>
                <w:color w:val="auto"/>
              </w:rPr>
            </w:pPr>
            <w:r>
              <w:rPr>
                <w:rFonts w:ascii="Arial" w:cs="Arial" w:eastAsia="Arial" w:hAnsi="Arial"/>
                <w:sz w:val="18"/>
                <w:szCs w:val="18"/>
                <w:color w:val="auto"/>
                <w:w w:val="84"/>
              </w:rPr>
              <w:t>2024</w:t>
            </w:r>
          </w:p>
        </w:tc>
        <w:tc>
          <w:tcPr>
            <w:tcW w:w="8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40" w:type="dxa"/>
            <w:vAlign w:val="bottom"/>
          </w:tcPr>
          <w:p>
            <w:pPr>
              <w:spacing w:after="0"/>
              <w:rPr>
                <w:sz w:val="21"/>
                <w:szCs w:val="21"/>
                <w:color w:val="auto"/>
              </w:rPr>
            </w:pPr>
          </w:p>
        </w:tc>
        <w:tc>
          <w:tcPr>
            <w:tcW w:w="4480" w:type="dxa"/>
            <w:vAlign w:val="bottom"/>
            <w:shd w:val="clear" w:color="auto" w:fill="CFF0FC"/>
          </w:tcPr>
          <w:p>
            <w:pPr>
              <w:jc w:val="right"/>
              <w:ind w:right="4030"/>
              <w:spacing w:after="0"/>
              <w:rPr>
                <w:sz w:val="20"/>
                <w:szCs w:val="20"/>
                <w:color w:val="auto"/>
              </w:rPr>
            </w:pPr>
            <w:r>
              <w:rPr>
                <w:rFonts w:ascii="Arial" w:cs="Arial" w:eastAsia="Arial" w:hAnsi="Arial"/>
                <w:sz w:val="18"/>
                <w:szCs w:val="18"/>
                <w:color w:val="auto"/>
                <w:w w:val="84"/>
              </w:rPr>
              <w:t>2025</w:t>
            </w:r>
          </w:p>
        </w:tc>
        <w:tc>
          <w:tcPr>
            <w:tcW w:w="8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251,750</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Debt issuance costs are offset against the Revolver Facility and Term Loan. Unamortized debt issuance costs for the Revolver Facility and Term Loan as of September 30, 2023 and December 31, 2022 were $3.1 million and $4.2 million, respectively.</w:t>
      </w:r>
    </w:p>
    <w:p>
      <w:pPr>
        <w:spacing w:after="0" w:line="170"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Amortization expense related to debt issuance costs totaled $0.4 million and $1.1 million for the three and nine months ended September 30, 2023, respectively, and $0.2 million and $0.6 million for the three and nine months ended September 30, 2022, respectively. This is reported in interest expense, net on the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2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$0.1 million and $0.2 million in rent to 210 Capital, LLC for the three and nine months ended September 30, 2023, respectively, and $0.1 million and $0.2 million for the three and nine months ended September 30, 2022, respectively.</w:t>
      </w:r>
    </w:p>
    <w:p>
      <w:pPr>
        <w:spacing w:after="0" w:line="188"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September 30, 2023, the total accounts receivable from the Funds totaled $16.8 million, of which $5.7 million related to reimbursable expenses and $11.1 million related to fees earned but not yet received. As of December 31, 2022, the total accounts receivable from the Funds totaled $16.8 million, of which $6.2 million related to reimbursable expenses and $10.6 million related to fees earned but not yet received. Reimbursable expenses and fees earned but not yet received are included in due from related parties and accounts receivable on the Consolidated Balance Sheets, respectively. In certain instances, the Company may incur expenses related to specific products that never materialize.</w:t>
      </w:r>
    </w:p>
    <w:p>
      <w:pPr>
        <w:spacing w:after="0" w:line="195"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and new projects undertaken by Enhanced PC. In exchange for those services, which commenced on January 1, 2021, ECG receives advisory fees from Enhanced PC based on a declining fixed fee schedule,which totals $107.5 million over 7 years. This agreement is subject to customary termination provisions. Since inception, $56.7 million of the total $107.5 million advisory fees have been recognized as revenue. Advisory fees earned or recognized under this agreement were $5.3 million and $15.5 million for the three and nine months ended September 30, 2023, respectively, and $5.5 million and $16.6 million for the three and nine months ended September 30, 2022, respectively, and is reported in management and advisory fees on the Consolidated Statements of Operations. The Company also incurs interest income on the balance outstanding. Revenues from interest were $0.2 million and $0.5 million for the three and nine months ended September 30, 2023, respectively, and $0.1 million and $0.2 million for the three and nine months ended September 30, 2022, respectively, and is reported in management and advisory fees on the Consolidated Statement of Operations. As of September 30, 2023 and December 31, 2022, the balance was $44.0 million and $28.5 million, respectively, and is included in due from related parties on the Consolidated Balance Sheets. Payment is expected to be collected as the permanent capital subsidiaries complete and liquidate projects covered under this agreement.</w:t>
      </w:r>
    </w:p>
    <w:p>
      <w:pPr>
        <w:spacing w:after="0" w:line="174" w:lineRule="exact"/>
        <w:rPr>
          <w:sz w:val="20"/>
          <w:szCs w:val="20"/>
          <w:color w:val="auto"/>
        </w:rPr>
      </w:pPr>
    </w:p>
    <w:p>
      <w:pPr>
        <w:ind w:right="460" w:firstLine="509"/>
        <w:spacing w:after="0" w:line="258" w:lineRule="auto"/>
        <w:rPr>
          <w:sz w:val="20"/>
          <w:szCs w:val="20"/>
          <w:color w:val="auto"/>
        </w:rPr>
      </w:pPr>
      <w:r>
        <w:rPr>
          <w:rFonts w:ascii="Arial" w:cs="Arial" w:eastAsia="Arial" w:hAnsi="Arial"/>
          <w:sz w:val="18"/>
          <w:szCs w:val="18"/>
          <w:color w:val="auto"/>
        </w:rPr>
        <w:t>Upon the closing of the Company’s acquisition of ECG and ECP, the Administrative Services Agreement between ECG and Enhanced Capital Holdings, Inc. (“ECH”), the entity which holds a controlling equity interest in ECP, immediately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became effective. Under this agreement, ECG pays ECH for the use of their employees to provide services to Enhanced PC at the direction of ECG. The Company recognized $3.1 million and $9.3 million for the three and nine months ended September 30, 2023, respectively, and $3.3 million and $7.9 million for the three and nine months ended September 30, 2022, respectively, related to this agreement within compensation and benefits on our Consolidated Statements of Operations. As of September 30, 2023 and December 31, 2022, the balance was $0.8 million and $2.2 million, respectively, and is included in due to related parties on the Consolidated Balance Sheets.</w:t>
      </w:r>
    </w:p>
    <w:p>
      <w:pPr>
        <w:spacing w:after="0" w:line="188"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7"/>
          <w:szCs w:val="17"/>
          <w:color w:val="auto"/>
        </w:rPr>
        <w:t>On September 10, 2021, Enhanced entered into a strategic partnership with Crossroads Impact Corp ("Crossroads"), the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w:t>
      </w:r>
    </w:p>
    <w:p>
      <w:pPr>
        <w:spacing w:after="0" w:line="171" w:lineRule="exact"/>
        <w:rPr>
          <w:sz w:val="20"/>
          <w:szCs w:val="20"/>
          <w:color w:val="auto"/>
        </w:rPr>
      </w:pPr>
    </w:p>
    <w:p>
      <w:pPr>
        <w:ind w:right="220" w:firstLine="509"/>
        <w:spacing w:after="0" w:line="291" w:lineRule="auto"/>
        <w:rPr>
          <w:sz w:val="20"/>
          <w:szCs w:val="20"/>
          <w:color w:val="auto"/>
        </w:rPr>
      </w:pPr>
      <w:r>
        <w:rPr>
          <w:rFonts w:ascii="Arial" w:cs="Arial" w:eastAsia="Arial" w:hAnsi="Arial"/>
          <w:sz w:val="16"/>
          <w:szCs w:val="16"/>
          <w:color w:val="auto"/>
        </w:rPr>
        <w:t>On July 6, 2022, Crossroads entered into the Advisory Agreement (the "Crossroads Advisory Agreement") with ECG. The Crossroads Advisory Agreement provides for ECG to receive a services fee of 1.5% per year of the capital deployed by Crossroads under the Crossroads Advisory Agreement</w:t>
      </w:r>
    </w:p>
    <w:p>
      <w:pPr>
        <w:spacing w:after="0" w:line="253" w:lineRule="auto"/>
        <w:rPr>
          <w:sz w:val="20"/>
          <w:szCs w:val="20"/>
          <w:color w:val="auto"/>
        </w:rPr>
      </w:pPr>
      <w:r>
        <w:rPr>
          <w:rFonts w:ascii="Arial" w:cs="Arial" w:eastAsia="Arial" w:hAnsi="Arial"/>
          <w:sz w:val="18"/>
          <w:szCs w:val="18"/>
          <w:color w:val="auto"/>
        </w:rPr>
        <w:t>(0.375% quarterly), and an incentive fee of 15% over a 7% hurdle rate. In relation to the strategic partnership with Crossroads effective September 10, 2021 and the Crossroads Advisory Agreement, the Company recognized $1.6 million and $6.6 million for the three and nine months ended September 30, 2023, respectively, and $1.2 million and $2.2 million for the three and nine months ended September 30, 2022, respectively, which is included in management and advisory fees on the Consolidated Statements of Operations.</w:t>
      </w:r>
    </w:p>
    <w:p>
      <w:pPr>
        <w:spacing w:after="0" w:line="193"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On July 6, 2022, certain funds managed by the Company purchased 4,646,840 shares of Crossroads common stock at $10.76 per shares, for an aggregate amount of approximately $50 million. On August 1, 2022, an additional purchase of 1,394,052 shares of Crossroads common stock at $10.76 per share occurred. The Co-CEOs of the Company are directors of Crossroads. The Company recognizes an annual fee of $20 thousand of which $5 thousand and $15 thousand has been recognized for the three and nine months ended September 30, 2023, respectively, which is included in management and advisory fees on the Consolidated Statements of Operations. The Company recognized no revenue for the three and nine months ended September 30, 2022, respectively.</w:t>
      </w:r>
    </w:p>
    <w:p>
      <w:pPr>
        <w:spacing w:after="0" w:line="19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Upon the closing of the Bonaccord acquisition on September 30, 2021, an Advance Agreement and Secured Promissory Note was signed with BCP, an entity that was formed by employees of the Company. For details, see Note 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3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$1.0 million and $2.9 million for the three and nine months ended September 30, 2023, respectively, and $0.8 million and $2.4 million for the three and nine months ended September 30, 2022, respectively.</w:t>
      </w:r>
    </w:p>
    <w:p>
      <w:pPr>
        <w:spacing w:after="0" w:line="18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Company leases an insignificant amount of office equipment under a non-cancelable financing lease, with the lease expiring in 2028. The finance lease right-of-use asset is included in Right-of-use assets and the finance lease liability is included in Lease Liabilities in the Consolidated Balance Sheet. Amortization and Interest expense for the finance leased equipment is included in General,administrative and other in the Consolidated Statements of Operations.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information regarding the Company’s operating leases as of September 30,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3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17,319</w:t>
            </w:r>
          </w:p>
        </w:tc>
        <w:tc>
          <w:tcPr>
            <w:tcW w:w="2240" w:type="dxa"/>
            <w:vAlign w:val="bottom"/>
          </w:tcPr>
          <w:p>
            <w:pPr>
              <w:spacing w:after="0"/>
              <w:rPr>
                <w:sz w:val="21"/>
                <w:szCs w:val="21"/>
                <w:color w:val="auto"/>
              </w:rPr>
            </w:pPr>
          </w:p>
        </w:tc>
      </w:tr>
      <w:tr>
        <w:trPr>
          <w:trHeight w:val="237"/>
        </w:trPr>
        <w:tc>
          <w:tcPr>
            <w:tcW w:w="22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20,638</w:t>
            </w:r>
          </w:p>
        </w:tc>
        <w:tc>
          <w:tcPr>
            <w:tcW w:w="2240" w:type="dxa"/>
            <w:vAlign w:val="bottom"/>
          </w:tcPr>
          <w:p>
            <w:pPr>
              <w:spacing w:after="0"/>
              <w:rPr>
                <w:sz w:val="20"/>
                <w:szCs w:val="20"/>
                <w:color w:val="auto"/>
              </w:rPr>
            </w:pPr>
          </w:p>
        </w:tc>
      </w:tr>
      <w:tr>
        <w:trPr>
          <w:trHeight w:val="249"/>
        </w:trPr>
        <w:tc>
          <w:tcPr>
            <w:tcW w:w="226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 liabilities</w:t>
            </w:r>
          </w:p>
        </w:tc>
        <w:tc>
          <w:tcPr>
            <w:tcW w:w="13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2240" w:type="dxa"/>
            <w:vAlign w:val="bottom"/>
          </w:tcPr>
          <w:p>
            <w:pPr>
              <w:spacing w:after="0"/>
              <w:rPr>
                <w:sz w:val="21"/>
                <w:szCs w:val="21"/>
                <w:color w:val="auto"/>
              </w:rPr>
            </w:pPr>
          </w:p>
        </w:tc>
      </w:tr>
      <w:tr>
        <w:trPr>
          <w:trHeight w:val="230"/>
        </w:trPr>
        <w:tc>
          <w:tcPr>
            <w:tcW w:w="22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1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w:t>
            </w:r>
          </w:p>
        </w:tc>
        <w:tc>
          <w:tcPr>
            <w:tcW w:w="2240" w:type="dxa"/>
            <w:vAlign w:val="bottom"/>
          </w:tcPr>
          <w:p>
            <w:pPr>
              <w:spacing w:after="0"/>
              <w:rPr>
                <w:sz w:val="20"/>
                <w:szCs w:val="20"/>
                <w:color w:val="auto"/>
              </w:rPr>
            </w:pPr>
          </w:p>
        </w:tc>
      </w:tr>
      <w:tr>
        <w:trPr>
          <w:trHeight w:val="242"/>
        </w:trPr>
        <w:tc>
          <w:tcPr>
            <w:tcW w:w="2260" w:type="dxa"/>
            <w:vAlign w:val="bottom"/>
          </w:tcPr>
          <w:p>
            <w:pPr>
              <w:spacing w:after="0"/>
              <w:rPr>
                <w:sz w:val="21"/>
                <w:szCs w:val="21"/>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320" w:type="dxa"/>
            <w:vAlign w:val="bottom"/>
          </w:tcPr>
          <w:p>
            <w:pPr>
              <w:spacing w:after="0"/>
              <w:rPr>
                <w:sz w:val="21"/>
                <w:szCs w:val="21"/>
                <w:color w:val="auto"/>
              </w:rPr>
            </w:pPr>
          </w:p>
        </w:tc>
        <w:tc>
          <w:tcPr>
            <w:tcW w:w="3080" w:type="dxa"/>
            <w:vAlign w:val="bottom"/>
            <w:gridSpan w:val="2"/>
          </w:tcPr>
          <w:p>
            <w:pPr>
              <w:jc w:val="right"/>
              <w:ind w:right="2140"/>
              <w:spacing w:after="0"/>
              <w:rPr>
                <w:sz w:val="20"/>
                <w:szCs w:val="20"/>
                <w:color w:val="auto"/>
              </w:rPr>
            </w:pPr>
            <w:r>
              <w:rPr>
                <w:rFonts w:ascii="Arial" w:cs="Arial" w:eastAsia="Arial" w:hAnsi="Arial"/>
                <w:sz w:val="18"/>
                <w:szCs w:val="18"/>
                <w:color w:val="auto"/>
              </w:rPr>
              <w:t>4.37 %</w:t>
            </w:r>
          </w:p>
        </w:tc>
      </w:tr>
      <w:tr>
        <w:trPr>
          <w:trHeight w:val="445"/>
        </w:trPr>
        <w:tc>
          <w:tcPr>
            <w:tcW w:w="2260" w:type="dxa"/>
            <w:vAlign w:val="bottom"/>
          </w:tcPr>
          <w:p>
            <w:pPr>
              <w:spacing w:after="0"/>
              <w:rPr>
                <w:sz w:val="24"/>
                <w:szCs w:val="24"/>
                <w:color w:val="auto"/>
              </w:rPr>
            </w:pPr>
          </w:p>
        </w:tc>
        <w:tc>
          <w:tcPr>
            <w:tcW w:w="4580" w:type="dxa"/>
            <w:vAlign w:val="bottom"/>
          </w:tcPr>
          <w:p>
            <w:pPr>
              <w:ind w:left="3280"/>
              <w:spacing w:after="0"/>
              <w:rPr>
                <w:sz w:val="20"/>
                <w:szCs w:val="20"/>
                <w:color w:val="auto"/>
              </w:rPr>
            </w:pPr>
            <w:r>
              <w:rPr>
                <w:rFonts w:ascii="Arial" w:cs="Arial" w:eastAsia="Arial" w:hAnsi="Arial"/>
                <w:sz w:val="18"/>
                <w:szCs w:val="18"/>
                <w:color w:val="auto"/>
              </w:rPr>
              <w:t>24</w:t>
            </w: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1"/>
        </w:trPr>
        <w:tc>
          <w:tcPr>
            <w:tcW w:w="2260" w:type="dxa"/>
            <w:vAlign w:val="bottom"/>
            <w:tcBorders>
              <w:bottom w:val="single" w:sz="8" w:color="9A9A9A"/>
            </w:tcBorders>
          </w:tcPr>
          <w:p>
            <w:pPr>
              <w:spacing w:after="0"/>
              <w:rPr>
                <w:sz w:val="8"/>
                <w:szCs w:val="8"/>
                <w:color w:val="auto"/>
              </w:rPr>
            </w:pPr>
          </w:p>
        </w:tc>
        <w:tc>
          <w:tcPr>
            <w:tcW w:w="45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-504825</wp:posOffset>
            </wp:positionV>
            <wp:extent cx="427736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The future contractual lease payments as of September 30, 2023 are as follows:</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FF0FC"/>
          </w:tcPr>
          <w:p>
            <w:pPr>
              <w:spacing w:after="0"/>
              <w:rPr>
                <w:sz w:val="22"/>
                <w:szCs w:val="22"/>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400" w:type="dxa"/>
            <w:vAlign w:val="bottom"/>
            <w:shd w:val="clear" w:color="auto" w:fill="CFF0FC"/>
          </w:tcPr>
          <w:p>
            <w:pPr>
              <w:spacing w:after="0"/>
              <w:rPr>
                <w:sz w:val="22"/>
                <w:szCs w:val="22"/>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40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24,208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imputed interest</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4"/>
                <w:szCs w:val="24"/>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20,638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Earnout Payment</w:t>
      </w:r>
    </w:p>
    <w:p>
      <w:pPr>
        <w:spacing w:after="0" w:line="21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 will not exceed $70.0 million and any amounts paid will be paid by October 2027, at which point the earnout expires. The Company will evaluate whether each earn-out hurdle is probable of occurring and recognize an expense over the period the hurdle is expected to be achieved. As of September 30, 2023, the Company has determined that only the first two EBITDA hurdles are probable of being achieved. For the three and nine months ended September 30, 2023, $6.0 million and $17.9 million, respectively, was recognized and for the three and nine months ended September 30, 2022, $0 and $0 was recognized, respectively. As of September 30, 2023 and December 31, 2022, the balance was $23.1 million and $5.2 million, respectively, and is included in accrued compensation and benefits in the Consolidated Balance Sheets. No payments have been made on the earnout.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Payment</w:t>
      </w:r>
    </w:p>
    <w:p>
      <w:pPr>
        <w:spacing w:after="0" w:line="229"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three and nine months ended September 30, 2023, $0.5 million and $1.5 million, respectively, of expense was recognized and for the three and nine months ended September 30, 2022, no expense was recognized. Recognized expense is included in compensation and benefits on the Consolidated Statement of Operations. As of September 30, 2023 and December 31, 2022, the balance was $1.9 million and $0.4 million, respectively, and is included in accrued compensation and benefits on the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Share Arrangement</w:t>
      </w:r>
    </w:p>
    <w:p>
      <w:pPr>
        <w:spacing w:after="0" w:line="229"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The Company recognizes accrued contingent liabilities and contingent payments to customers asset in our Consolidated Balance Sheets for an agreement that exists between ECG and third parties. The agreements require ECG to share in certain revenues earned with the third parties and also includes an option for the third parties to sell back the revenue share to ECG at a set multiple.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revenue share agreement. As of September 30, 2023, the Company has determined that the put options are probable and have accrued estimated contingent liabilities and contingent payments to customers. As of September 30, 2023 and December 31, 2022, the balance was $14.3 million and $14.3 million, respectively, and is included in accrued contingent liabilities on the Consolidated Balance Sheets. The associated contingent payments to customers asset balance was $12.5 million and $13.6 million as of September 30, 2023 and December 31, 2022, respectively. The Company recognized $0.4 million and $1.1 million of amortization of contingent payments to customers for the three and nine months ended September 30, 2023, respectively, and $0 and $0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amortization of contingent payments to customers for the three and nine months ended September 30, 2022, respectively, which is included in management and advisory fees on the Consolidated Statements of Operations. The Company will reassess each period and recognize all changes as if they occurred at inception.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Transition Agreement</w:t>
      </w:r>
    </w:p>
    <w:p>
      <w:pPr>
        <w:spacing w:after="0" w:line="22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As described in Note 18, subsequent to the end of the quarter, the Company's Co-CEOs transitioned into Board of Directors roles and were succeeded by a newly hired CEO. Associated with their transition, the Co-CEOs received severance payments and accelerated bonus payments. For the three and nine months ended September 30, 2023, the Company recognized $4.9 million of expense related to the executive transition agreement which is included in compensation and benefits in the Consolidated Statement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35"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We do not believe that any of these matters, individually or in the aggregate, will result in losses that are materially in excess of amounts already recognized, if any.</w:t>
      </w:r>
    </w:p>
    <w:p>
      <w:pPr>
        <w:spacing w:after="0" w:line="15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In 2021, the Civil Enforcement Division of the Oregon Department of Justice (Oregon DOJ) initiated an investigation of certain transactions involving the Oregon Low Income Community Jobs Initiative, also known as the Oregon New Markets Tax Credit (NMTC) program, to which a subsidiary of Enhanced Capital, among others, was a party. The Oregon DOJ contends that the subsidiary of Enhanced Capital omitted from the NMTC application information regarding the application of leveraged financing in the transaction and the sources and uses of funds in the proposed transactions. No formal claims have been filed by the Oregon DOJ. The Company continues to assert that it followed all program requirements and met all disclosure obligations. The subsidiary of Enhanced Capital completed non-binding mediation in July 2023 and a settlement has been negotiated which is pending Board and Oregon DOJ approval. The Company has agreed with the insurance carrier to contribute $1.5 million toward the settlement amount and is exploring additional recoveries. Based on our assessment of the current stage of this investigation and settlement, our financial results for the three and nine months ended September 30, 2023, includes an accrual of the settlement amount of $2.6 million and $3.6 million, respectively, related thereto in accrued expenses on the Consolidated Balance Sheets and other (expense)/income on the Consolidated Statements of Operation. Additionally, following an executed insurance recovery agreement, the Company has recorded a receivable of $1.5 million associated with the insurance recovery in accounts receivable on the Consolidated Balance Sheets and other (expense)/income on the Consolidated Statements of Operation. At this time, we do not believe any outcome in this investigation will have a material adverse effect on our business, operating results, or financial position.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5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8"/>
          <w:szCs w:val="18"/>
          <w:color w:val="auto"/>
        </w:rPr>
        <w:t>Based on these methodologies, the Company’s effective income tax rate was (25.90%) and (91.32%) for the three and nine months ended September 30, 2023, respectively. The effective tax rate differs from the federal statutory rate of 21% due to executive compensation subject to 162(m) limitation, state and local taxes, and a discrete period recognition of shortfall tax adjustments related to options exercised year-to-date. The Company's effective income tax rate for the three and nine months ended September 30, 2022 was 25.77% and 25.90%, respectively. The effective tax rate differs from the federal statutory rate of 21% due primarily to state and local income taxes.</w:t>
      </w:r>
    </w:p>
    <w:p>
      <w:pPr>
        <w:spacing w:after="0" w:line="72"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September 30, 2023, the Company has recorded a $12.8 million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against deferred tax assets, primarily related to a note impairment. There was no change to the valuation allowance during the period.</w:t>
      </w:r>
    </w:p>
    <w:p>
      <w:pPr>
        <w:spacing w:after="0" w:line="140"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Options previously granted under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6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70"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On March 15, 2022, the Board of Directors approved the settlement of 1.1 million options from a grantee with a fair market value option price of $11.83, less a negotiated discount of 2.5%, totaling $12.5 million. This was paid on April 4, 2022.</w:t>
      </w:r>
    </w:p>
    <w:p>
      <w:pPr>
        <w:spacing w:after="0" w:line="17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resulting in a total of 18,300,000 shares available for grant under the Plan and the 2018 Plan. As of September 30, 2023, there are 4,016,477 shares available for grant.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the period ended September 30, 2023 is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75"/>
        </w:trPr>
        <w:tc>
          <w:tcPr>
            <w:tcW w:w="3240" w:type="dxa"/>
            <w:vAlign w:val="bottom"/>
          </w:tcPr>
          <w:p>
            <w:pPr>
              <w:spacing w:after="0"/>
              <w:rPr>
                <w:sz w:val="15"/>
                <w:szCs w:val="15"/>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5"/>
                <w:szCs w:val="15"/>
                <w:color w:val="auto"/>
              </w:rPr>
            </w:pPr>
          </w:p>
        </w:tc>
        <w:tc>
          <w:tcPr>
            <w:tcW w:w="136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Weighted Average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Pr>
          <w:p>
            <w:pPr>
              <w:spacing w:after="0"/>
              <w:rPr>
                <w:sz w:val="15"/>
                <w:szCs w:val="15"/>
                <w:color w:val="auto"/>
              </w:rPr>
            </w:pPr>
          </w:p>
        </w:tc>
      </w:tr>
      <w:tr>
        <w:trPr>
          <w:trHeight w:val="185"/>
        </w:trPr>
        <w:tc>
          <w:tcPr>
            <w:tcW w:w="3240" w:type="dxa"/>
            <w:vAlign w:val="bottom"/>
          </w:tcPr>
          <w:p>
            <w:pPr>
              <w:spacing w:after="0"/>
              <w:rPr>
                <w:sz w:val="16"/>
                <w:szCs w:val="16"/>
                <w:color w:val="auto"/>
              </w:rPr>
            </w:pPr>
          </w:p>
        </w:tc>
        <w:tc>
          <w:tcPr>
            <w:tcW w:w="15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9"/>
              </w:rPr>
              <w:t>(whole dollars)</w:t>
            </w:r>
          </w:p>
        </w:tc>
        <w:tc>
          <w:tcPr>
            <w:tcW w:w="100" w:type="dxa"/>
            <w:vAlign w:val="bottom"/>
          </w:tcPr>
          <w:p>
            <w:pPr>
              <w:spacing w:after="0"/>
              <w:rPr>
                <w:sz w:val="16"/>
                <w:szCs w:val="16"/>
                <w:color w:val="auto"/>
              </w:rPr>
            </w:pPr>
          </w:p>
        </w:tc>
      </w:tr>
      <w:tr>
        <w:trPr>
          <w:trHeight w:val="250"/>
        </w:trPr>
        <w:tc>
          <w:tcPr>
            <w:tcW w:w="3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2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2022</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10,612,231</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39,004,141</w:t>
            </w:r>
          </w:p>
        </w:tc>
        <w:tc>
          <w:tcPr>
            <w:tcW w:w="100" w:type="dxa"/>
            <w:vAlign w:val="bottom"/>
            <w:shd w:val="clear" w:color="auto" w:fill="CFF0FC"/>
          </w:tcPr>
          <w:p>
            <w:pPr>
              <w:spacing w:after="0"/>
              <w:rPr>
                <w:sz w:val="22"/>
                <w:szCs w:val="22"/>
                <w:color w:val="auto"/>
              </w:rPr>
            </w:pPr>
          </w:p>
        </w:tc>
      </w:tr>
      <w:tr>
        <w:trPr>
          <w:trHeight w:val="250"/>
        </w:trPr>
        <w:tc>
          <w:tcPr>
            <w:tcW w:w="32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3,307,974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(721,222 )</w:t>
            </w: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240" w:type="dxa"/>
            <w:vAlign w:val="bottom"/>
          </w:tcPr>
          <w:p>
            <w:pPr>
              <w:ind w:left="180"/>
              <w:spacing w:after="0"/>
              <w:rPr>
                <w:sz w:val="20"/>
                <w:szCs w:val="20"/>
                <w:color w:val="auto"/>
              </w:rPr>
            </w:pPr>
            <w:r>
              <w:rPr>
                <w:rFonts w:ascii="Arial" w:cs="Arial" w:eastAsia="Arial" w:hAnsi="Arial"/>
                <w:sz w:val="18"/>
                <w:szCs w:val="18"/>
                <w:color w:val="auto"/>
              </w:rPr>
              <w:t>Settled</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Expired/Forfeited</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(990,970 )</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2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as of September 30, 2023</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12,208,013</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Borders>
              <w:top w:val="single" w:sz="8" w:color="CFF0FC"/>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44,851,840</w:t>
            </w:r>
          </w:p>
        </w:tc>
        <w:tc>
          <w:tcPr>
            <w:tcW w:w="100" w:type="dxa"/>
            <w:vAlign w:val="bottom"/>
            <w:tcBorders>
              <w:top w:val="single" w:sz="8" w:color="CFF0FC"/>
            </w:tcBorders>
          </w:tcPr>
          <w:p>
            <w:pPr>
              <w:spacing w:after="0"/>
              <w:rPr>
                <w:sz w:val="20"/>
                <w:szCs w:val="20"/>
                <w:color w:val="auto"/>
              </w:rPr>
            </w:pPr>
          </w:p>
        </w:tc>
      </w:tr>
      <w:tr>
        <w:trPr>
          <w:trHeight w:val="20"/>
        </w:trPr>
        <w:tc>
          <w:tcPr>
            <w:tcW w:w="3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September 30, 2023</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843,545</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7,396,972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-367665</wp:posOffset>
            </wp:positionV>
            <wp:extent cx="6858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-367665</wp:posOffset>
            </wp:positionV>
            <wp:extent cx="6032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-367665</wp:posOffset>
            </wp:positionV>
            <wp:extent cx="60325"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-367665</wp:posOffset>
            </wp:positionV>
            <wp:extent cx="6032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2" w:lineRule="exact"/>
        <w:rPr>
          <w:sz w:val="20"/>
          <w:szCs w:val="20"/>
          <w:color w:val="auto"/>
        </w:rPr>
      </w:pPr>
    </w:p>
    <w:p>
      <w:pPr>
        <w:jc w:val="both"/>
        <w:ind w:right="100" w:firstLine="509"/>
        <w:spacing w:after="0" w:line="255" w:lineRule="auto"/>
        <w:rPr>
          <w:sz w:val="20"/>
          <w:szCs w:val="20"/>
          <w:color w:val="auto"/>
        </w:rPr>
      </w:pPr>
      <w:r>
        <w:rPr>
          <w:rFonts w:ascii="Arial" w:cs="Arial" w:eastAsia="Arial" w:hAnsi="Arial"/>
          <w:sz w:val="18"/>
          <w:szCs w:val="18"/>
          <w:color w:val="auto"/>
        </w:rPr>
        <w:t>Compensation expense equal to the grant date fair value is recognized for these awards over the vesting period and is included in compensation and benefits on our Consolidated Statements of Operations. The stock-based compensation expense for stock options was $1.9 million and $5.3 million for the three and nine months ended September 30, 2023,</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5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respectively, and $0.1 million and $2.4 million for the three and nine months ended September 30, 2022, respectively. Unrecognized stock-based compensation expense related to outstanding unvested stock options as of September 30, 2023 was $7.8 million and is expected to be recognized over a weighted average period of 3.18 years. Any future forfeitures will impact this amount.</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assumptions used in calculating the fair value of stock options granted during the nine months ended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were as follows:</w:t>
      </w:r>
    </w:p>
    <w:p>
      <w:pPr>
        <w:spacing w:after="0" w:line="216"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For the Nine Months Ended</w:t>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1820" w:type="dxa"/>
        <w:tblCellMar>
          <w:top w:w="0" w:type="dxa"/>
          <w:left w:w="0" w:type="dxa"/>
          <w:bottom w:w="0" w:type="dxa"/>
          <w:right w:w="0" w:type="dxa"/>
        </w:tblCellMar>
      </w:tblPr>
      <w:tr>
        <w:trPr>
          <w:trHeight w:val="169"/>
        </w:trPr>
        <w:tc>
          <w:tcPr>
            <w:tcW w:w="52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(yrs)</w:t>
            </w:r>
          </w:p>
        </w:tc>
        <w:tc>
          <w:tcPr>
            <w:tcW w:w="180" w:type="dxa"/>
            <w:vAlign w:val="bottom"/>
            <w:shd w:val="clear" w:color="auto" w:fill="CFF0FC"/>
          </w:tcPr>
          <w:p>
            <w:pPr>
              <w:spacing w:after="0"/>
              <w:rPr>
                <w:sz w:val="20"/>
                <w:szCs w:val="20"/>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 (yrs)</w:t>
            </w:r>
          </w:p>
        </w:tc>
        <w:tc>
          <w:tcPr>
            <w:tcW w:w="100" w:type="dxa"/>
            <w:vAlign w:val="bottom"/>
          </w:tcPr>
          <w:p>
            <w:pPr>
              <w:spacing w:after="0"/>
              <w:rPr>
                <w:sz w:val="20"/>
                <w:szCs w:val="20"/>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38.33 %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35.40 %</w:t>
            </w: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4.09 %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1.98 %</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-299720</wp:posOffset>
            </wp:positionV>
            <wp:extent cx="4843145"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843145" cy="154305"/>
                    </a:xfrm>
                    <a:prstGeom prst="rect">
                      <a:avLst/>
                    </a:prstGeom>
                    <a:noFill/>
                  </pic:spPr>
                </pic:pic>
              </a:graphicData>
            </a:graphic>
          </wp:anchor>
        </w:drawing>
      </w:r>
    </w:p>
    <w:p>
      <w:pPr>
        <w:spacing w:after="0" w:line="19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Company has granted restricted stock awards ("RSAs") to certain employees. Holders of RSAs have no voting rights and accrue dividends until vesting with payment being made once they vest. All of the shares currently vest one year from the grant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1880" w:type="dxa"/>
            <w:vAlign w:val="bottom"/>
          </w:tcPr>
          <w:p>
            <w:pPr>
              <w:jc w:val="center"/>
              <w:ind w:left="708"/>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jc w:val="right"/>
              <w:ind w:right="435"/>
              <w:spacing w:after="0"/>
              <w:rPr>
                <w:sz w:val="20"/>
                <w:szCs w:val="20"/>
                <w:color w:val="auto"/>
              </w:rPr>
            </w:pPr>
            <w:r>
              <w:rPr>
                <w:rFonts w:ascii="Arial" w:cs="Arial" w:eastAsia="Arial" w:hAnsi="Arial"/>
                <w:sz w:val="14"/>
                <w:szCs w:val="14"/>
                <w:b w:val="1"/>
                <w:bCs w:val="1"/>
                <w:color w:val="auto"/>
              </w:rPr>
              <w:t>Weighted-Average Grant</w:t>
            </w:r>
          </w:p>
        </w:tc>
        <w:tc>
          <w:tcPr>
            <w:tcW w:w="100" w:type="dxa"/>
            <w:vAlign w:val="bottom"/>
          </w:tcPr>
          <w:p>
            <w:pPr>
              <w:spacing w:after="0"/>
              <w:rPr>
                <w:sz w:val="15"/>
                <w:szCs w:val="15"/>
                <w:color w:val="auto"/>
              </w:rPr>
            </w:pPr>
          </w:p>
        </w:tc>
      </w:tr>
      <w:tr>
        <w:trPr>
          <w:trHeight w:val="185"/>
        </w:trPr>
        <w:tc>
          <w:tcPr>
            <w:tcW w:w="5540" w:type="dxa"/>
            <w:vAlign w:val="bottom"/>
          </w:tcPr>
          <w:p>
            <w:pPr>
              <w:spacing w:after="0"/>
              <w:rPr>
                <w:sz w:val="16"/>
                <w:szCs w:val="16"/>
                <w:color w:val="auto"/>
              </w:rPr>
            </w:pPr>
          </w:p>
        </w:tc>
        <w:tc>
          <w:tcPr>
            <w:tcW w:w="188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w w:val="90"/>
              </w:rPr>
              <w:t>RSAs</w:t>
            </w:r>
          </w:p>
        </w:tc>
        <w:tc>
          <w:tcPr>
            <w:tcW w:w="7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Date Fair Value Per RSA</w:t>
            </w:r>
          </w:p>
        </w:tc>
        <w:tc>
          <w:tcPr>
            <w:tcW w:w="100" w:type="dxa"/>
            <w:vAlign w:val="bottom"/>
          </w:tcPr>
          <w:p>
            <w:pPr>
              <w:spacing w:after="0"/>
              <w:rPr>
                <w:sz w:val="16"/>
                <w:szCs w:val="16"/>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Outstanding as of December 31, 2022</w:t>
            </w:r>
          </w:p>
        </w:tc>
        <w:tc>
          <w:tcPr>
            <w:tcW w:w="18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33,346</w:t>
            </w:r>
          </w:p>
        </w:tc>
        <w:tc>
          <w:tcPr>
            <w:tcW w:w="3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0"/>
                <w:szCs w:val="20"/>
                <w:color w:val="auto"/>
              </w:rPr>
            </w:pPr>
          </w:p>
        </w:tc>
      </w:tr>
      <w:tr>
        <w:trPr>
          <w:trHeight w:val="249"/>
        </w:trPr>
        <w:tc>
          <w:tcPr>
            <w:tcW w:w="74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32,722</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FF0FC"/>
          </w:tcPr>
          <w:p>
            <w:pPr>
              <w:spacing w:after="0"/>
              <w:rPr>
                <w:sz w:val="21"/>
                <w:szCs w:val="21"/>
                <w:color w:val="auto"/>
              </w:rPr>
            </w:pPr>
          </w:p>
        </w:tc>
      </w:tr>
      <w:tr>
        <w:trPr>
          <w:trHeight w:val="237"/>
        </w:trPr>
        <w:tc>
          <w:tcPr>
            <w:tcW w:w="7420" w:type="dxa"/>
            <w:vAlign w:val="bottom"/>
            <w:gridSpan w:val="2"/>
          </w:tcPr>
          <w:p>
            <w:pPr>
              <w:ind w:left="200"/>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(33,346 )</w:t>
            </w:r>
          </w:p>
        </w:tc>
        <w:tc>
          <w:tcPr>
            <w:tcW w:w="3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0"/>
                <w:szCs w:val="20"/>
                <w:color w:val="auto"/>
              </w:rPr>
            </w:pPr>
          </w:p>
        </w:tc>
      </w:tr>
      <w:tr>
        <w:trPr>
          <w:trHeight w:val="249"/>
        </w:trPr>
        <w:tc>
          <w:tcPr>
            <w:tcW w:w="5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8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Outstanding as of September 30, 2023</w:t>
            </w:r>
          </w:p>
        </w:tc>
        <w:tc>
          <w:tcPr>
            <w:tcW w:w="760" w:type="dxa"/>
            <w:vAlign w:val="bottom"/>
          </w:tcPr>
          <w:p>
            <w:pPr>
              <w:jc w:val="right"/>
              <w:spacing w:after="0"/>
              <w:rPr>
                <w:sz w:val="20"/>
                <w:szCs w:val="20"/>
                <w:color w:val="auto"/>
              </w:rPr>
            </w:pPr>
            <w:r>
              <w:rPr>
                <w:rFonts w:ascii="Arial" w:cs="Arial" w:eastAsia="Arial" w:hAnsi="Arial"/>
                <w:sz w:val="18"/>
                <w:szCs w:val="18"/>
                <w:color w:val="auto"/>
              </w:rPr>
              <w:t>32,722</w:t>
            </w:r>
          </w:p>
        </w:tc>
        <w:tc>
          <w:tcPr>
            <w:tcW w:w="3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685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The Company has granted restricted stock units ("RSUs") to certain employees. Holders of RSUs have no voting rights and are not eligible to receive dividends or other distributions paid with respect to any RSUs that have not vested. All of the shares currently vest one year from the grant date excluding the restricted stock units at Hark and Bonaccord which are discussed in more detail below.</w:t>
      </w:r>
    </w:p>
    <w:p>
      <w:pPr>
        <w:spacing w:after="0" w:line="184"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pursuant to which an aggregate a value of $17.5 million of units may vest at each future achievement of performance metrics. As of September 30, 2023, certain performance metrics have been met and specific employees have earned $7.8 million in value of which $6.6 million was issued in shares and $1.2 million was issued in cash. The Company evaluates whether it is probable that the Bonaccord Units will vest and applies the tranche method to determine the amount of expense to recognized during the period. Future vested tranches will be settled in cash. An expense of $0.4 million and $5.6 million has been recorded for the three and nine months ended September 30, 2023, respectively, and $3.9 million for the three and nine months ended September 30, 2022 on the Consolidated Statements of Operations. The unrecognized expense associated with the Bonaccord Units was $4.9 million as of September 30, 2023.</w:t>
      </w:r>
    </w:p>
    <w:p>
      <w:pPr>
        <w:spacing w:after="0" w:line="185"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As of September 30, 2023, all Hark Units have vested and been issued. An expense of $0 and $0.3 million has been recorded for the three and nine months ended September 30, 2023, respectively, and $0.6 million for the three and nine months ended September 30, 2022 on the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below table does not include Bonaccord or Hark Units that were issued outside of the Plan, that have not vested and are recorded as a liability or vested and settled in cash.</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78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jc w:val="right"/>
              <w:ind w:right="435"/>
              <w:spacing w:after="0"/>
              <w:rPr>
                <w:sz w:val="20"/>
                <w:szCs w:val="20"/>
                <w:color w:val="auto"/>
              </w:rPr>
            </w:pPr>
            <w:r>
              <w:rPr>
                <w:rFonts w:ascii="Arial" w:cs="Arial" w:eastAsia="Arial" w:hAnsi="Arial"/>
                <w:sz w:val="14"/>
                <w:szCs w:val="14"/>
                <w:b w:val="1"/>
                <w:bCs w:val="1"/>
                <w:color w:val="auto"/>
              </w:rPr>
              <w:t>Weighted-Average Grant</w:t>
            </w:r>
          </w:p>
        </w:tc>
        <w:tc>
          <w:tcPr>
            <w:tcW w:w="100" w:type="dxa"/>
            <w:vAlign w:val="bottom"/>
          </w:tcPr>
          <w:p>
            <w:pPr>
              <w:spacing w:after="0"/>
              <w:rPr>
                <w:sz w:val="15"/>
                <w:szCs w:val="15"/>
                <w:color w:val="auto"/>
              </w:rPr>
            </w:pPr>
          </w:p>
        </w:tc>
      </w:tr>
      <w:tr>
        <w:trPr>
          <w:trHeight w:val="185"/>
        </w:trPr>
        <w:tc>
          <w:tcPr>
            <w:tcW w:w="5540" w:type="dxa"/>
            <w:vAlign w:val="bottom"/>
          </w:tcPr>
          <w:p>
            <w:pPr>
              <w:spacing w:after="0"/>
              <w:rPr>
                <w:sz w:val="16"/>
                <w:szCs w:val="16"/>
                <w:color w:val="auto"/>
              </w:rPr>
            </w:pPr>
          </w:p>
        </w:tc>
        <w:tc>
          <w:tcPr>
            <w:tcW w:w="178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b w:val="1"/>
                <w:bCs w:val="1"/>
                <w:color w:val="auto"/>
                <w:w w:val="90"/>
              </w:rPr>
              <w:t>RSUs</w:t>
            </w:r>
          </w:p>
        </w:tc>
        <w:tc>
          <w:tcPr>
            <w:tcW w:w="8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Date Fair Value Per RSU</w:t>
            </w:r>
          </w:p>
        </w:tc>
        <w:tc>
          <w:tcPr>
            <w:tcW w:w="100" w:type="dxa"/>
            <w:vAlign w:val="bottom"/>
          </w:tcPr>
          <w:p>
            <w:pPr>
              <w:spacing w:after="0"/>
              <w:rPr>
                <w:sz w:val="16"/>
                <w:szCs w:val="16"/>
                <w:color w:val="auto"/>
              </w:rPr>
            </w:pPr>
          </w:p>
        </w:tc>
      </w:tr>
      <w:tr>
        <w:trPr>
          <w:trHeight w:val="236"/>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7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508,135</w:t>
            </w: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FF0FC"/>
          </w:tcPr>
          <w:p>
            <w:pPr>
              <w:spacing w:after="0"/>
              <w:rPr>
                <w:sz w:val="20"/>
                <w:szCs w:val="20"/>
                <w:color w:val="auto"/>
              </w:rPr>
            </w:pPr>
          </w:p>
        </w:tc>
      </w:tr>
      <w:tr>
        <w:trPr>
          <w:trHeight w:val="237"/>
        </w:trPr>
        <w:tc>
          <w:tcPr>
            <w:tcW w:w="732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1,273,209</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0"/>
                <w:szCs w:val="20"/>
                <w:color w:val="auto"/>
              </w:rPr>
            </w:pPr>
          </w:p>
        </w:tc>
      </w:tr>
      <w:tr>
        <w:trPr>
          <w:trHeight w:val="249"/>
        </w:trPr>
        <w:tc>
          <w:tcPr>
            <w:tcW w:w="7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(875,001 )</w:t>
            </w:r>
          </w:p>
        </w:tc>
        <w:tc>
          <w:tcPr>
            <w:tcW w:w="32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FF0FC"/>
          </w:tcPr>
          <w:p>
            <w:pPr>
              <w:spacing w:after="0"/>
              <w:rPr>
                <w:sz w:val="21"/>
                <w:szCs w:val="21"/>
                <w:color w:val="auto"/>
              </w:rPr>
            </w:pPr>
          </w:p>
        </w:tc>
      </w:tr>
      <w:tr>
        <w:trPr>
          <w:trHeight w:val="243"/>
        </w:trPr>
        <w:tc>
          <w:tcPr>
            <w:tcW w:w="55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7"/>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2023</w:t>
            </w:r>
          </w:p>
        </w:tc>
        <w:tc>
          <w:tcPr>
            <w:tcW w:w="178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906,343</w:t>
            </w:r>
          </w:p>
        </w:tc>
        <w:tc>
          <w:tcPr>
            <w:tcW w:w="3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21"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The Company presents basic EPS and diluted EPS for our common stock. Basic EPS excludes potential dilution and is computed by dividing net (loss)/income by the weighted-average number of common shares outstanding for the period. Diluted EPS reflects the potential dilution that could occur if shares of common stock were issued pursuant to our stock-based compensation awards. For the three and nine months ended September 30, 2023, diluted EPS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the numerators and denominators used in the computation of basic and diluted EPS:</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For the Nine Months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Ended September 30,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100"/>
              <w:spacing w:after="0"/>
              <w:rPr>
                <w:sz w:val="20"/>
                <w:szCs w:val="20"/>
                <w:color w:val="auto"/>
              </w:rPr>
            </w:pPr>
            <w:r>
              <w:rPr>
                <w:rFonts w:ascii="Arial" w:cs="Arial" w:eastAsia="Arial" w:hAnsi="Arial"/>
                <w:sz w:val="18"/>
                <w:szCs w:val="18"/>
                <w:color w:val="auto"/>
              </w:rPr>
              <w:t>Numerator for basic calculation—Net (loss)/income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Numerator for basic calculation—Net (loss)/income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attributable to P10</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(8,416 )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5,617</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(6,048 )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color w:val="auto"/>
              </w:rPr>
              <w:t>Adjustment for:</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(loss)/income attributable to noncontrolling interests in P10</w:t>
            </w:r>
          </w:p>
        </w:tc>
        <w:tc>
          <w:tcPr>
            <w:tcW w:w="260" w:type="dxa"/>
            <w:vAlign w:val="bottom"/>
            <w:shd w:val="clear" w:color="auto" w:fill="CFF0FC"/>
          </w:tcPr>
          <w:p>
            <w:pPr>
              <w:spacing w:after="0"/>
              <w:rPr>
                <w:sz w:val="19"/>
                <w:szCs w:val="19"/>
                <w:color w:val="auto"/>
              </w:rPr>
            </w:pPr>
          </w:p>
        </w:tc>
        <w:tc>
          <w:tcPr>
            <w:tcW w:w="110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(334 )</w:t>
            </w:r>
          </w:p>
        </w:tc>
        <w:tc>
          <w:tcPr>
            <w:tcW w:w="2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Intermediate</w:t>
            </w:r>
          </w:p>
        </w:tc>
        <w:tc>
          <w:tcPr>
            <w:tcW w:w="26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Numerator for (loss)/earnings per share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Numerator for (loss)/earnings per share assuming</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(8,750 )</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5,617</w:t>
            </w:r>
          </w:p>
        </w:tc>
        <w:tc>
          <w:tcPr>
            <w:tcW w:w="52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FF0FC"/>
          </w:tcPr>
          <w:p>
            <w:pPr>
              <w:jc w:val="right"/>
              <w:ind w:right="61"/>
              <w:spacing w:after="0"/>
              <w:rPr>
                <w:sz w:val="20"/>
                <w:szCs w:val="20"/>
                <w:color w:val="auto"/>
              </w:rPr>
            </w:pPr>
            <w:r>
              <w:rPr>
                <w:rFonts w:ascii="Arial" w:cs="Arial" w:eastAsia="Arial" w:hAnsi="Arial"/>
                <w:sz w:val="18"/>
                <w:szCs w:val="18"/>
                <w:color w:val="auto"/>
              </w:rPr>
              <w:t>(5,879 )</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24,563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FF0FC"/>
          </w:tcPr>
          <w:p>
            <w:pPr>
              <w:ind w:left="320"/>
              <w:spacing w:after="0" w:line="203" w:lineRule="exact"/>
              <w:rPr>
                <w:sz w:val="20"/>
                <w:szCs w:val="20"/>
                <w:color w:val="auto"/>
              </w:rPr>
            </w:pPr>
            <w:r>
              <w:rPr>
                <w:rFonts w:ascii="Arial" w:cs="Arial" w:eastAsia="Arial" w:hAnsi="Arial"/>
                <w:sz w:val="18"/>
                <w:szCs w:val="18"/>
                <w:color w:val="auto"/>
              </w:rPr>
              <w:t>dilution</w:t>
            </w:r>
          </w:p>
        </w:tc>
        <w:tc>
          <w:tcPr>
            <w:tcW w:w="260" w:type="dxa"/>
            <w:vAlign w:val="bottom"/>
            <w:vMerge w:val="continue"/>
            <w:shd w:val="clear" w:color="auto" w:fill="CFF0FC"/>
          </w:tcPr>
          <w:p>
            <w:pPr>
              <w:spacing w:after="0"/>
              <w:rPr>
                <w:sz w:val="21"/>
                <w:szCs w:val="21"/>
                <w:color w:val="auto"/>
              </w:rPr>
            </w:pPr>
          </w:p>
        </w:tc>
        <w:tc>
          <w:tcPr>
            <w:tcW w:w="1100" w:type="dxa"/>
            <w:vAlign w:val="bottom"/>
            <w:gridSpan w:val="2"/>
            <w:vMerge w:val="continue"/>
            <w:shd w:val="clear" w:color="auto" w:fill="CFF0FC"/>
          </w:tcPr>
          <w:p>
            <w:pPr>
              <w:spacing w:after="0"/>
              <w:rPr>
                <w:sz w:val="21"/>
                <w:szCs w:val="21"/>
                <w:color w:val="auto"/>
              </w:rPr>
            </w:pPr>
          </w:p>
        </w:tc>
        <w:tc>
          <w:tcPr>
            <w:tcW w:w="260" w:type="dxa"/>
            <w:vAlign w:val="bottom"/>
            <w:vMerge w:val="continue"/>
            <w:shd w:val="clear" w:color="auto" w:fill="CFF0FC"/>
          </w:tcPr>
          <w:p>
            <w:pPr>
              <w:spacing w:after="0"/>
              <w:rPr>
                <w:sz w:val="21"/>
                <w:szCs w:val="21"/>
                <w:color w:val="auto"/>
              </w:rPr>
            </w:pPr>
          </w:p>
        </w:tc>
        <w:tc>
          <w:tcPr>
            <w:tcW w:w="860" w:type="dxa"/>
            <w:vAlign w:val="bottom"/>
            <w:vMerge w:val="continue"/>
            <w:shd w:val="clear" w:color="auto" w:fill="CFF0FC"/>
          </w:tcPr>
          <w:p>
            <w:pPr>
              <w:spacing w:after="0"/>
              <w:rPr>
                <w:sz w:val="21"/>
                <w:szCs w:val="21"/>
                <w:color w:val="auto"/>
              </w:rPr>
            </w:pPr>
          </w:p>
        </w:tc>
        <w:tc>
          <w:tcPr>
            <w:tcW w:w="520" w:type="dxa"/>
            <w:vAlign w:val="bottom"/>
            <w:gridSpan w:val="2"/>
            <w:vMerge w:val="continue"/>
            <w:shd w:val="clear" w:color="auto" w:fill="CFF0FC"/>
          </w:tcPr>
          <w:p>
            <w:pPr>
              <w:spacing w:after="0"/>
              <w:rPr>
                <w:sz w:val="21"/>
                <w:szCs w:val="21"/>
                <w:color w:val="auto"/>
              </w:rPr>
            </w:pPr>
          </w:p>
        </w:tc>
        <w:tc>
          <w:tcPr>
            <w:tcW w:w="1060" w:type="dxa"/>
            <w:vAlign w:val="bottom"/>
            <w:gridSpan w:val="2"/>
            <w:vMerge w:val="continue"/>
            <w:shd w:val="clear" w:color="auto" w:fill="CFF0FC"/>
          </w:tcPr>
          <w:p>
            <w:pPr>
              <w:spacing w:after="0"/>
              <w:rPr>
                <w:sz w:val="21"/>
                <w:szCs w:val="21"/>
                <w:color w:val="auto"/>
              </w:rPr>
            </w:pPr>
          </w:p>
        </w:tc>
        <w:tc>
          <w:tcPr>
            <w:tcW w:w="260" w:type="dxa"/>
            <w:vAlign w:val="bottom"/>
            <w:vMerge w:val="continue"/>
            <w:shd w:val="clear" w:color="auto" w:fill="CFF0FC"/>
          </w:tcPr>
          <w:p>
            <w:pPr>
              <w:spacing w:after="0"/>
              <w:rPr>
                <w:sz w:val="21"/>
                <w:szCs w:val="21"/>
                <w:color w:val="auto"/>
              </w:rPr>
            </w:pPr>
          </w:p>
        </w:tc>
        <w:tc>
          <w:tcPr>
            <w:tcW w:w="84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4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Denominator for basic calculation—Weighted-</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average shares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116,235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117,210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116,134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color w:val="auto"/>
              </w:rPr>
              <w:t>Weighted shares assumed upon exercise of partnership units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Weighted shares assumed upon exercise of stock</w:t>
            </w:r>
          </w:p>
        </w:tc>
        <w:tc>
          <w:tcPr>
            <w:tcW w:w="2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4,322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options</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Denominator for (loss)/earnings per share assuming dilution</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121,532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116,134</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(Loss)/earnings per share—basic</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(Loss)/earnings per share—diluted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(0.07 )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(0.05 )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-1825625</wp:posOffset>
            </wp:positionV>
            <wp:extent cx="6858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-1825625</wp:posOffset>
            </wp:positionV>
            <wp:extent cx="68580"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-1825625</wp:posOffset>
            </wp:positionV>
            <wp:extent cx="60325"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-1825625</wp:posOffset>
            </wp:positionV>
            <wp:extent cx="60325"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-1397000</wp:posOffset>
            </wp:positionV>
            <wp:extent cx="2623185"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23185" cy="18034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-488315</wp:posOffset>
            </wp:positionV>
            <wp:extent cx="6858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-488315</wp:posOffset>
            </wp:positionV>
            <wp:extent cx="6858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-488315</wp:posOffset>
            </wp:positionV>
            <wp:extent cx="60325"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-488315</wp:posOffset>
            </wp:positionV>
            <wp:extent cx="60325"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94"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If the Company was in a net income position, the computations of diluted earnings per share on a weighted average basis would exclude 1.8 million and 3.2 million options for the three and nine months ended September 30, 2023, respectively, because the options were anti-dilutive. The computations of diluted earnings per share on a weighted average basis exclude 1.0 million and 1.0 million options for the three and nine months ended September 30, 2022, respectively, because the options were anti-dilutive.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The Board of the Company appointed Luke A. Sarsfield III as Chief Executive Officer (“CEO”) of the Company, effective as of October 23, 2023. In connection with his appointment as CEO, the Company entered into an employment agreement with Mr. Sarsfield (the “Employment Agreement”) setting forth the terms of his employment and compensation. The initial term of the Employment Agreement is for a five-year period and will automatically renew for additional one-year periods unless either party delivers written notice of non-renewal at least 90 days prior to the expiration of the then-current term. Pursuant to the Employment Agreement, Mr. Sarsfield will be entitled to receive: (i) an annual base salary of $1 million; (ii) a target annual cash bonus of $1.5 million based on certain performance criteria and benchmarks to be set each year by the Board or the Compensation Committee thereof; (iii) a target annual incentive bonus of $5 million based on certain performance criteria and benchmarks to be set each year by the Board or the Compensation Committee thereof, of which (a) 70% will be awarded in the form of carried interest in certain investment vehicles controlled by the Company, (b) 20% will be awarded in the form of restricted stock units granted under the Company’s 2021 Incentive Plan (the “Plan”), and (c) 10% will be awarded in the form of stock options granted under the Plan; (iv) an initial signing bonus of $1 million, which the Company intends to pay in the form of fully vested shares of common stock under the Plan in lieu of cash; (v) an initial grant of restricted stock units with an aggregate value of $6 million, which will vest ratably over the first three anniversaries of the Effective Date; (vi) reimbursement of up to $85,000 for legal expenses incurred in connection with the negotiation of the Employment Agreement; and (vii) reimbursements for reasonable out-of-pocket expenses during the term of employment. In addition, Mr. Sarsfield will be entitled to receive up to $40 million in the aggregate of additional grants of restricted stock units, comprised of up to five grants of $8 million each, upon achieving certain stock price performance hurdles. The Employment Agreement also provides that if the Company terminates the employment of Mr. Sarsfield without cause, or if Mr. Sarsfield resigns for good reason, then Mr. Sarsfield will be entitled to receive, in addition to any accrued and unpaid benefits: (i) a lump sum payment equal to one and one half (1.5) times his then-current base salary; (ii) a lump sum payment equal to one and one half (1.5) times his then-current annual cash bonus; and (iii) immediate vesting of any and all outstanding equity awards and all carried interests in certain investment vehicles controlled by the Company. The foregoing severance payments would be conditioned upon Mr. Sarsfield’s execution, non-revocation and delivery of a general release of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Each Transition Agreement provides for certain transition and severance related payments. Pursuant to his Transition Agreement, Mr. Alpert will be entitled to receive a salary of $0.1 million and a transition award having an aggregate gross value of $0.1 million in the form of restricted stock units, which will vest on the first anniversary. Pursuant to his Transition Agreement, Mr. Webb will be entitled to receive a salary of $0.1 million and a transition award having an aggregate gross value of $4 million in the form of restricted stock units, which will be granted in four equal quarterly installments with the first grant occurring on the effective date, and each grant will vest on the first anniversary of the applicable grant date. The Transition Agreements may be terminated by either party upon 90 days’ prior written notice. Upon any such termination effective prior to the first anniversary, such executive will be entitled to receive: (i) the accrued and unpaid portion of the transition salary; and (ii) accelerated vesting of a portion of the transition restricted stock units, prorated based on the number of days employed during the transition period. In addition, the Transition Agreements each provide that the cessation of their respective roles as Co-Chief Executive Officer was without cause under their existing amended and restated employment agreements with the Company, each dated May 12, 2023 (each, an “Existing Employment Agreement”). Accordingly, Mr. Alpert and Mr. Webb will receive the following severance payments and benefits in accordance with their respective Transition Agreements: (i) a cash transition severance payment of $1.2 million; (ii) a severance payment having an aggregate gross value of $5.65 million, which is the equivalent of the remaining base salary and bonus under their respective Existing Employment Agreements, which payment shall consist of: (a) a cash payment of $1.6 million; (b) an award of $3.4 million, which the Company intends pay in the form of fully vested shares of common stock under the Plan in lieu of cash and (c) an award of stock options having an aggregate value of $650,000, which are fully vested and; and (iii) all unvested options, restricted stock units or other equity awards issued to such executive under the Plan and carried interests in certain investment vehicles controlled by the Company became fully vested and immediately exercisable.</w:t>
      </w:r>
    </w:p>
    <w:p>
      <w:pPr>
        <w:spacing w:after="0" w:line="16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October 13, 2023, the Company extended notes to certain employees of Bonaccord to lend funds to be used to pay general partner commitments to certain funds managed by Bonaccord. The notes provide $1.0 million cash to certain employees and is collateralized by employees' privately owned shares of the Company. The term of the notes is five years, expiring on October 13, 2028. The notes will accrue interest at SOFR plus 2.10% and is payable annually in arrears.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 dollar amounts in tables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Board of Directors of the Company has declared a quarterly cash dividend of $0.0325 per share of Class A and Class B common stock, payable on December 20, 2023, to the holders of record as of the close of business on November 30, 2023.</w:t>
      </w:r>
    </w:p>
    <w:p>
      <w:pPr>
        <w:spacing w:after="0" w:line="17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 xml:space="preserve">In accordance with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evaluated all material events or transactions that occurred after September 30, 2023, the Consolidated Balance Sheet date, through the date the Consolidated Financial Statements were issued, and determined there have been no additional events or transactions that would materially impact the Consolidated Financial Statements.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due to the effects of acquisitions which occurred during the year ended December 31, 2022, but may not have had a material impact on our statements of operations due to the limited period of time which they were included in our consolidated results.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2022, particularly in "Risk Factors" and the "Forward-Looking Information." Unless otherwise indicated, references in this Quarterly Report on Form 10-Q to fiscal 2023 and 2022 are to our fiscal years ended December 31, 2023 and 2022, respectively.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95"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On October 13, 2022, we completed the acquisition of WTI that again further expanded on solutions available to our investors by entering into the venture debt space. The effect of this acquisition is reflected in our Consolidated Balance Sheet at December 31, 2022 and Consolidated Statement of Operations beginning with the period from October 13, 2022 to December 31, 2022 and forward. The acquisition was accounted for as a business combination and WTI is reported as a consolidated subsidiary of P10.</w:t>
      </w:r>
    </w:p>
    <w:p>
      <w:pPr>
        <w:spacing w:after="0" w:line="187"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During 2022, the Board approved a program to repurchase up to $40.0 million of outstanding shares of our Class A and Class B common stock.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September 30, 2023, $21.1 million has been used to buy back shares under this program.</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our private market solutions were comprised of the following:</w:t>
      </w:r>
    </w:p>
    <w:p>
      <w:pPr>
        <w:spacing w:after="0" w:line="117" w:lineRule="exact"/>
        <w:rPr>
          <w:sz w:val="20"/>
          <w:szCs w:val="20"/>
          <w:color w:val="auto"/>
        </w:rPr>
      </w:pPr>
    </w:p>
    <w:p>
      <w:pPr>
        <w:ind w:left="1020" w:right="20" w:hanging="503"/>
        <w:spacing w:after="0" w:line="28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Private Equity Solutions (PES)</w:t>
      </w:r>
      <w:r>
        <w:rPr>
          <w:rFonts w:ascii="Arial" w:cs="Arial" w:eastAsia="Arial" w:hAnsi="Arial"/>
          <w:sz w:val="16"/>
          <w:szCs w:val="16"/>
          <w:color w:val="auto"/>
        </w:rPr>
        <w:t>. Under PES, we make direct and indirect investments in middle and lower- middle market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across North America. PES also makes minority equity investments in a diversified portfolio of mid-sized managers across private equity, private credit, real estate and real assets. The PES investment team, which is comprised of 42 investment professionals with an average of 25+ years of experience, has deep and long-standing investor and fund manager relationships in the middle and lower-middle market which it has cultivated over the past 20 years, including over 1,900+ investors, 300+ fund managers, 750+ private market funds and 2,000+ portfolio companies. We have 55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4,900 investment firms, 9,800 funds, 44,000 individual transactions, 29,000 private companies and 276,000 financial metrics. As of September 30, 2023, PES managed $12.0 billion of FPAUM.</w:t>
      </w:r>
    </w:p>
    <w:p>
      <w:pPr>
        <w:spacing w:after="0" w:line="60" w:lineRule="exact"/>
        <w:rPr>
          <w:rFonts w:ascii="Arial" w:cs="Arial" w:eastAsia="Arial" w:hAnsi="Arial"/>
          <w:sz w:val="16"/>
          <w:szCs w:val="16"/>
          <w:color w:val="auto"/>
        </w:rPr>
      </w:pPr>
    </w:p>
    <w:p>
      <w:pPr>
        <w:ind w:left="1020" w:right="20" w:hanging="503"/>
        <w:spacing w:after="0" w:line="29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Venture Capital Solutions (VCS). </w:t>
      </w:r>
      <w:r>
        <w:rPr>
          <w:rFonts w:ascii="Arial" w:cs="Arial" w:eastAsia="Arial" w:hAnsi="Arial"/>
          <w:sz w:val="16"/>
          <w:szCs w:val="16"/>
          <w:color w:val="auto"/>
        </w:rPr>
        <w:t>Under VCS, we make investments in venture capital funds across North America and specialize in targeting</w:t>
      </w:r>
      <w:r>
        <w:rPr>
          <w:rFonts w:ascii="Arial" w:cs="Arial" w:eastAsia="Arial" w:hAnsi="Arial"/>
          <w:sz w:val="16"/>
          <w:szCs w:val="16"/>
          <w:i w:val="1"/>
          <w:iCs w:val="1"/>
          <w:color w:val="auto"/>
        </w:rPr>
        <w:t xml:space="preserve"> </w:t>
      </w:r>
      <w:r>
        <w:rPr>
          <w:rFonts w:ascii="Arial" w:cs="Arial" w:eastAsia="Arial" w:hAnsi="Arial"/>
          <w:sz w:val="16"/>
          <w:szCs w:val="16"/>
          <w:color w:val="auto"/>
        </w:rPr>
        <w:t>high-performing, access-constrained opportunities. The VCS investment team, which is comprised of 13 investment professionals with an</w:t>
      </w:r>
    </w:p>
    <w:p>
      <w:pPr>
        <w:ind w:left="1020"/>
        <w:spacing w:after="0"/>
        <w:rPr>
          <w:sz w:val="20"/>
          <w:szCs w:val="20"/>
          <w:color w:val="auto"/>
        </w:rPr>
      </w:pPr>
      <w:r>
        <w:rPr>
          <w:rFonts w:ascii="Arial" w:cs="Arial" w:eastAsia="Arial" w:hAnsi="Arial"/>
          <w:sz w:val="18"/>
          <w:szCs w:val="18"/>
          <w:color w:val="auto"/>
        </w:rPr>
        <w:t>average of 23+ years of experience, has deep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1020" w:right="60"/>
        <w:spacing w:after="0" w:line="255" w:lineRule="auto"/>
        <w:rPr>
          <w:sz w:val="20"/>
          <w:szCs w:val="20"/>
          <w:color w:val="auto"/>
        </w:rPr>
      </w:pPr>
      <w:r>
        <w:rPr>
          <w:rFonts w:ascii="Arial" w:cs="Arial" w:eastAsia="Arial" w:hAnsi="Arial"/>
          <w:sz w:val="18"/>
          <w:szCs w:val="18"/>
          <w:color w:val="auto"/>
        </w:rPr>
        <w:t>and long-standing investor and fund manager relationships in the venture market which it has cultivated over the past 14+ years, including over 1,800+ investors, 80+ fund managers, 81 direct investments, 340+ private market funds and 12,000+ portfolio companies. We have 19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September 30, 2023, VCS managed $6.0 billion of FPAUM.</w:t>
      </w:r>
    </w:p>
    <w:p>
      <w:pPr>
        <w:spacing w:after="0" w:line="84" w:lineRule="exact"/>
        <w:rPr>
          <w:sz w:val="20"/>
          <w:szCs w:val="20"/>
          <w:color w:val="auto"/>
        </w:rPr>
      </w:pPr>
    </w:p>
    <w:p>
      <w:pPr>
        <w:ind w:left="1020" w:hanging="503"/>
        <w:spacing w:after="0" w:line="269"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Impact Investing Solutions (IIS). </w:t>
      </w:r>
      <w:r>
        <w:rPr>
          <w:rFonts w:ascii="Arial" w:cs="Arial" w:eastAsia="Arial" w:hAnsi="Arial"/>
          <w:sz w:val="17"/>
          <w:szCs w:val="17"/>
          <w:color w:val="auto"/>
        </w:rPr>
        <w:t>Under IIS, we make equity, tax equity, and debt investments in impact initiatives across North America. IIS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targets investments in renewable energy development and historic building renovation projects, as well as providing capital to small businesses that are women or minority owned or operating in underserved communities. The IIS investment team, which is comprised of 15 investment professionals with an average of 23+ years of experience, has deep and long-standing relationships in the impact market which it has cultivated over the past 20 years, including deploying capital on behalf of over 110 investors. We currently have 34 active investment vehicles. We are differentiated in both the breadth of impact areas served, the type of capital deployed and the duration of our track record. From inception in 1999 through September 30, 2023, inclusive of proprietary assets and assets managed by affiliates, Enhanced Capital has raised a total of $5.8 billion. Of the total AUM, impact assets represent $3.6 billion invested in over 1,000 projects and businesses across 39 states, Washington DC, and Puerto Rico and does not include investments made by non-impact affiliates. Investments in solar assets have generated over 1.6 billion KWh of renewable energy from inception to December 31, 2022. As of September 30, 2023, IIS managed $2.0 billion of FPAUM</w:t>
      </w:r>
      <w:r>
        <w:rPr>
          <w:rFonts w:ascii="Arial" w:cs="Arial" w:eastAsia="Arial" w:hAnsi="Arial"/>
          <w:sz w:val="17"/>
          <w:szCs w:val="17"/>
          <w:i w:val="1"/>
          <w:iCs w:val="1"/>
          <w:color w:val="auto"/>
        </w:rPr>
        <w:t>.</w:t>
      </w:r>
    </w:p>
    <w:p>
      <w:pPr>
        <w:spacing w:after="0" w:line="73" w:lineRule="exact"/>
        <w:rPr>
          <w:rFonts w:ascii="Arial" w:cs="Arial" w:eastAsia="Arial" w:hAnsi="Arial"/>
          <w:sz w:val="17"/>
          <w:szCs w:val="17"/>
          <w:color w:val="auto"/>
        </w:rPr>
      </w:pPr>
    </w:p>
    <w:p>
      <w:pPr>
        <w:ind w:left="1020" w:right="220" w:hanging="503"/>
        <w:spacing w:after="0" w:line="269"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Private Credit Solutions (PCS).</w:t>
      </w:r>
      <w:r>
        <w:rPr>
          <w:rFonts w:ascii="Arial" w:cs="Arial" w:eastAsia="Arial" w:hAnsi="Arial"/>
          <w:sz w:val="17"/>
          <w:szCs w:val="17"/>
          <w:color w:val="auto"/>
        </w:rPr>
        <w:t>Under PCS, we primarily make debt investments across North America, targeting lower middle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40 investment professionals with an average of 24+ years of experience, has deep and long-standing relationships in the private credit market which it has cultivated over the past 22 years, including 300+ investors across 11 active investment vehicles and 1,600+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690 credit opportunities annually. We currently maintain 50+ active sponsor relationships and have 45+ platform investments. As of September 30, 2023, PCS managed approximately $2.7 billion of FPAUM.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Sources of Revenue</w:t>
      </w:r>
    </w:p>
    <w:p>
      <w:pPr>
        <w:spacing w:after="0" w:line="229"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76" w:lineRule="exact"/>
        <w:rPr>
          <w:sz w:val="20"/>
          <w:szCs w:val="20"/>
          <w:color w:val="auto"/>
        </w:rPr>
      </w:pPr>
    </w:p>
    <w:p>
      <w:pPr>
        <w:ind w:left="1020" w:right="140" w:hanging="503"/>
        <w:spacing w:after="0" w:line="290"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Primary Investment Funds. </w:t>
      </w:r>
      <w:r>
        <w:rPr>
          <w:rFonts w:ascii="Arial" w:cs="Arial" w:eastAsia="Arial" w:hAnsi="Arial"/>
          <w:sz w:val="16"/>
          <w:szCs w:val="16"/>
          <w:color w:val="auto"/>
        </w:rPr>
        <w:t>Primary investment funds refer to investment vehicles which target investments in new private markets funds,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$13.2 billion of our FPAUM as of September 30, 2023.</w:t>
      </w:r>
    </w:p>
    <w:p>
      <w:pPr>
        <w:spacing w:after="0" w:line="57" w:lineRule="exact"/>
        <w:rPr>
          <w:rFonts w:ascii="Arial" w:cs="Arial" w:eastAsia="Arial" w:hAnsi="Arial"/>
          <w:sz w:val="16"/>
          <w:szCs w:val="16"/>
          <w:color w:val="auto"/>
        </w:rPr>
      </w:pPr>
    </w:p>
    <w:p>
      <w:pPr>
        <w:ind w:left="1020" w:right="120" w:hanging="503"/>
        <w:spacing w:after="0" w:line="28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Direct and Co-Investment Funds. </w:t>
      </w:r>
      <w:r>
        <w:rPr>
          <w:rFonts w:ascii="Arial" w:cs="Arial" w:eastAsia="Arial" w:hAnsi="Arial"/>
          <w:sz w:val="16"/>
          <w:szCs w:val="16"/>
          <w:color w:val="auto"/>
        </w:rPr>
        <w:t>Direct and co-investments involve acquiring an equity interest in or making a loan to an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w:t>
      </w:r>
    </w:p>
    <w:p>
      <w:pPr>
        <w:spacing w:after="0" w:line="2" w:lineRule="exact"/>
        <w:rPr>
          <w:sz w:val="20"/>
          <w:szCs w:val="20"/>
          <w:color w:val="auto"/>
        </w:rPr>
      </w:pPr>
    </w:p>
    <w:p>
      <w:pPr>
        <w:ind w:left="1020" w:right="480"/>
        <w:spacing w:after="0" w:line="250" w:lineRule="auto"/>
        <w:rPr>
          <w:sz w:val="20"/>
          <w:szCs w:val="20"/>
          <w:color w:val="auto"/>
        </w:rPr>
      </w:pPr>
      <w:r>
        <w:rPr>
          <w:rFonts w:ascii="Arial" w:cs="Arial" w:eastAsia="Arial" w:hAnsi="Arial"/>
          <w:sz w:val="18"/>
          <w:szCs w:val="18"/>
          <w:color w:val="auto"/>
        </w:rPr>
        <w:t>from investors based upon committed capital, with some funds receiving fees based on invested capital; capital commitments, typically average ten to fifteen years, though they may vary by fund. We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ind w:left="1020" w:right="200"/>
        <w:spacing w:after="0" w:line="263" w:lineRule="auto"/>
        <w:rPr>
          <w:sz w:val="20"/>
          <w:szCs w:val="20"/>
          <w:color w:val="auto"/>
        </w:rPr>
      </w:pPr>
      <w:r>
        <w:rPr>
          <w:rFonts w:ascii="Arial" w:cs="Arial" w:eastAsia="Arial" w:hAnsi="Arial"/>
          <w:sz w:val="18"/>
          <w:szCs w:val="18"/>
          <w:color w:val="auto"/>
        </w:rPr>
        <w:t>offer direct and co-investment funds across our private equity, venture capital, impact investing and private credit solutions. Often, the fees are structured such that they step down, or decrease, over the life of the fund. Our direct investing platform comprises approximately $8.0 billion of our FPAUM as of September 30, 2023.</w:t>
      </w:r>
    </w:p>
    <w:p>
      <w:pPr>
        <w:spacing w:after="0" w:line="76" w:lineRule="exact"/>
        <w:rPr>
          <w:sz w:val="20"/>
          <w:szCs w:val="20"/>
          <w:color w:val="auto"/>
        </w:rPr>
      </w:pPr>
    </w:p>
    <w:p>
      <w:pPr>
        <w:ind w:left="1020" w:right="60" w:hanging="503"/>
        <w:spacing w:after="0" w:line="29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Secondaries. </w:t>
      </w:r>
      <w:r>
        <w:rPr>
          <w:rFonts w:ascii="Arial" w:cs="Arial" w:eastAsia="Arial" w:hAnsi="Arial"/>
          <w:sz w:val="16"/>
          <w:szCs w:val="16"/>
          <w:color w:val="auto"/>
        </w:rPr>
        <w:t>Secondaries refer to investments in existing private markets funds through the acquisition of an existing interest in a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$1.5 billion of our FPAUM as of September 30, 2023.</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operate our business as a single operating segment, which is how our chief operating decision makers evaluate financial performance and make decisions regarding the allocation of resources.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Affecting Our Business</w:t>
      </w:r>
    </w:p>
    <w:p>
      <w:pPr>
        <w:spacing w:after="0" w:line="22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rising interest rates and the global economy outlook remaining uncertain, we continue to see investors turning towards alternative investments to achieve consistent and higher yields with our contractually guaranteed fee rate.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continued growth of our business may be influenced by several factors, including the following market trends:</w:t>
      </w:r>
    </w:p>
    <w:p>
      <w:pPr>
        <w:spacing w:after="0" w:line="117" w:lineRule="exact"/>
        <w:rPr>
          <w:sz w:val="20"/>
          <w:szCs w:val="20"/>
          <w:color w:val="auto"/>
        </w:rPr>
      </w:pPr>
    </w:p>
    <w:p>
      <w:pPr>
        <w:ind w:left="1020" w:hanging="503"/>
        <w:spacing w:after="0" w:line="284"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Accelerating demand for private markets solutions. </w:t>
      </w:r>
      <w:r>
        <w:rPr>
          <w:rFonts w:ascii="Arial" w:cs="Arial" w:eastAsia="Arial" w:hAnsi="Arial"/>
          <w:sz w:val="16"/>
          <w:szCs w:val="16"/>
          <w:color w:val="auto"/>
        </w:rPr>
        <w:t>Our ability to attract new capital is dependent on investor demand for private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w:t>
      </w:r>
    </w:p>
    <w:p>
      <w:pPr>
        <w:spacing w:after="0" w:line="4" w:lineRule="exact"/>
        <w:rPr>
          <w:rFonts w:ascii="Arial" w:cs="Arial" w:eastAsia="Arial" w:hAnsi="Arial"/>
          <w:sz w:val="16"/>
          <w:szCs w:val="16"/>
          <w:color w:val="auto"/>
        </w:rPr>
      </w:pPr>
    </w:p>
    <w:p>
      <w:pPr>
        <w:ind w:left="1020" w:right="200"/>
        <w:spacing w:after="0" w:line="255" w:lineRule="auto"/>
        <w:rPr>
          <w:rFonts w:ascii="Arial" w:cs="Arial" w:eastAsia="Arial" w:hAnsi="Arial"/>
          <w:sz w:val="16"/>
          <w:szCs w:val="16"/>
          <w:color w:val="auto"/>
        </w:rPr>
      </w:pPr>
      <w:r>
        <w:rPr>
          <w:rFonts w:ascii="Arial" w:cs="Arial" w:eastAsia="Arial" w:hAnsi="Arial"/>
          <w:sz w:val="18"/>
          <w:szCs w:val="18"/>
          <w:color w:val="auto"/>
        </w:rPr>
        <w:t>(a)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w:t>
      </w:r>
    </w:p>
    <w:p>
      <w:pPr>
        <w:spacing w:after="0" w:line="81" w:lineRule="exact"/>
        <w:rPr>
          <w:rFonts w:ascii="Arial" w:cs="Arial" w:eastAsia="Arial" w:hAnsi="Arial"/>
          <w:sz w:val="16"/>
          <w:szCs w:val="16"/>
          <w:color w:val="auto"/>
        </w:rPr>
      </w:pPr>
    </w:p>
    <w:p>
      <w:pPr>
        <w:ind w:left="1020" w:right="40" w:hanging="503"/>
        <w:spacing w:after="0" w:line="269"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Favorable lower and lower-middle market dynamics, and data driven sourcing. </w:t>
      </w:r>
      <w:r>
        <w:rPr>
          <w:rFonts w:ascii="Arial" w:cs="Arial" w:eastAsia="Arial" w:hAnsi="Arial"/>
          <w:sz w:val="17"/>
          <w:szCs w:val="17"/>
          <w:color w:val="auto"/>
        </w:rPr>
        <w:t>We attribute our strong investment performance track record</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70" w:lineRule="exact"/>
        <w:rPr>
          <w:rFonts w:ascii="Arial" w:cs="Arial" w:eastAsia="Arial" w:hAnsi="Arial"/>
          <w:sz w:val="17"/>
          <w:szCs w:val="17"/>
          <w:color w:val="auto"/>
        </w:rPr>
      </w:pPr>
    </w:p>
    <w:p>
      <w:pPr>
        <w:ind w:left="1020" w:right="100" w:hanging="503"/>
        <w:spacing w:after="0" w:line="29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Expanding asset class solutions, broaden geographic reach and grow private markets network effect. </w:t>
      </w:r>
      <w:r>
        <w:rPr>
          <w:rFonts w:ascii="Arial" w:cs="Arial" w:eastAsia="Arial" w:hAnsi="Arial"/>
          <w:sz w:val="16"/>
          <w:szCs w:val="16"/>
          <w:color w:val="auto"/>
        </w:rPr>
        <w:t>Our ability to continue growing is</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our scalability and ability to maximize investor relationships. The purview of private markets has meaningfully broadened over</w:t>
      </w:r>
    </w:p>
    <w:p>
      <w:pPr>
        <w:ind w:left="1020"/>
        <w:spacing w:after="0"/>
        <w:rPr>
          <w:sz w:val="20"/>
          <w:szCs w:val="20"/>
          <w:color w:val="auto"/>
        </w:rPr>
      </w:pPr>
      <w:r>
        <w:rPr>
          <w:rFonts w:ascii="Arial" w:cs="Arial" w:eastAsia="Arial" w:hAnsi="Arial"/>
          <w:sz w:val="18"/>
          <w:szCs w:val="18"/>
          <w:color w:val="auto"/>
        </w:rPr>
        <w:t>the last decade. As investors increase their allocations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left="503" w:right="80"/>
        <w:spacing w:after="0" w:line="269" w:lineRule="auto"/>
        <w:rPr>
          <w:sz w:val="20"/>
          <w:szCs w:val="20"/>
          <w:color w:val="auto"/>
        </w:rPr>
      </w:pPr>
      <w:r>
        <w:rPr>
          <w:rFonts w:ascii="Arial" w:cs="Arial" w:eastAsia="Arial" w:hAnsi="Arial"/>
          <w:sz w:val="17"/>
          <w:szCs w:val="17"/>
          <w:color w:val="auto"/>
        </w:rPr>
        <w:t>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77" w:lineRule="exact"/>
        <w:rPr>
          <w:sz w:val="20"/>
          <w:szCs w:val="20"/>
          <w:color w:val="auto"/>
        </w:rPr>
      </w:pPr>
    </w:p>
    <w:p>
      <w:pPr>
        <w:ind w:left="503" w:right="100" w:hanging="503"/>
        <w:spacing w:after="0" w:line="291" w:lineRule="auto"/>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Increasing regulatory requirements and political uncertainty. </w:t>
      </w:r>
      <w:r>
        <w:rPr>
          <w:rFonts w:ascii="Arial" w:cs="Arial" w:eastAsia="Arial" w:hAnsi="Arial"/>
          <w:sz w:val="16"/>
          <w:szCs w:val="16"/>
          <w:color w:val="auto"/>
        </w:rPr>
        <w:t>The complex regulatory and tax environment could restrict our operations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us to increased compliance costs and administrative burdens, as well as restrictions on our business activities. The SEC recently adopted new rules and rule amendments to enhance the regulation of private fund advisers and update the existing compliance rule that applies to all investment advisers. Compliance with these new rules are expected to increase our compliance costs and further restrict certain business activities. In addition, the SEC recently adopted significant new compliance requirements for investment advisers related to cybersecurity matters that are expected to increase compliance costs. There is additional uncertainty around potential legal, regulatory, and tax changes, which may impact our profitability or impact our ability to operate and grow our business.</w:t>
      </w:r>
    </w:p>
    <w:p>
      <w:pPr>
        <w:spacing w:after="0" w:line="58" w:lineRule="exact"/>
        <w:rPr>
          <w:rFonts w:ascii="Arial" w:cs="Arial" w:eastAsia="Arial" w:hAnsi="Arial"/>
          <w:sz w:val="16"/>
          <w:szCs w:val="16"/>
          <w:color w:val="auto"/>
        </w:rPr>
      </w:pPr>
    </w:p>
    <w:p>
      <w:pPr>
        <w:ind w:left="503" w:right="100" w:hanging="503"/>
        <w:spacing w:after="0" w:line="254"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raise capital in order to fund acquisitions and strategic growth initiatives. </w:t>
      </w:r>
      <w:r>
        <w:rPr>
          <w:rFonts w:ascii="Arial" w:cs="Arial" w:eastAsia="Arial" w:hAnsi="Arial"/>
          <w:sz w:val="18"/>
          <w:szCs w:val="18"/>
          <w:color w:val="auto"/>
        </w:rPr>
        <w:t>In addition to organic growth of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86" w:lineRule="exact"/>
        <w:rPr>
          <w:rFonts w:ascii="Arial" w:cs="Arial" w:eastAsia="Arial" w:hAnsi="Arial"/>
          <w:sz w:val="18"/>
          <w:szCs w:val="18"/>
          <w:color w:val="auto"/>
        </w:rPr>
      </w:pPr>
    </w:p>
    <w:p>
      <w:pPr>
        <w:ind w:left="503" w:right="60" w:hanging="503"/>
        <w:spacing w:after="0" w:line="296" w:lineRule="auto"/>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Increased competition to work with top private equity fund managers. </w:t>
      </w:r>
      <w:r>
        <w:rPr>
          <w:rFonts w:ascii="Arial" w:cs="Arial" w:eastAsia="Arial" w:hAnsi="Arial"/>
          <w:sz w:val="16"/>
          <w:szCs w:val="16"/>
          <w:color w:val="auto"/>
        </w:rPr>
        <w:t>There has been a trend amongst larger private markets investors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53" w:lineRule="exact"/>
        <w:rPr>
          <w:rFonts w:ascii="Arial" w:cs="Arial" w:eastAsia="Arial" w:hAnsi="Arial"/>
          <w:sz w:val="16"/>
          <w:szCs w:val="16"/>
          <w:color w:val="auto"/>
        </w:rPr>
      </w:pPr>
    </w:p>
    <w:p>
      <w:pPr>
        <w:ind w:left="503" w:right="40" w:hanging="503"/>
        <w:spacing w:after="0" w:line="254"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Data advantage relative to competitors. </w:t>
      </w:r>
      <w:r>
        <w:rPr>
          <w:rFonts w:ascii="Arial" w:cs="Arial" w:eastAsia="Arial" w:hAnsi="Arial"/>
          <w:sz w:val="18"/>
          <w:szCs w:val="18"/>
          <w:color w:val="auto"/>
        </w:rPr>
        <w:t>We believe that the general trend towards transparency and consistency in private markets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86" w:lineRule="exact"/>
        <w:rPr>
          <w:rFonts w:ascii="Arial" w:cs="Arial" w:eastAsia="Arial" w:hAnsi="Arial"/>
          <w:sz w:val="18"/>
          <w:szCs w:val="18"/>
          <w:color w:val="auto"/>
        </w:rPr>
      </w:pPr>
    </w:p>
    <w:p>
      <w:pPr>
        <w:ind w:left="503" w:hanging="503"/>
        <w:spacing w:after="0" w:line="255"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Consolidation of Manager relationships and flight to quality. </w:t>
      </w:r>
      <w:r>
        <w:rPr>
          <w:rFonts w:ascii="Arial" w:cs="Arial" w:eastAsia="Arial" w:hAnsi="Arial"/>
          <w:sz w:val="18"/>
          <w:szCs w:val="18"/>
          <w:color w:val="auto"/>
        </w:rPr>
        <w:t>As global financial markets continue to remain uncertain and private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84" w:lineRule="exact"/>
        <w:rPr>
          <w:rFonts w:ascii="Arial" w:cs="Arial" w:eastAsia="Arial" w:hAnsi="Arial"/>
          <w:sz w:val="18"/>
          <w:szCs w:val="18"/>
          <w:color w:val="auto"/>
        </w:rPr>
      </w:pPr>
    </w:p>
    <w:p>
      <w:pPr>
        <w:jc w:val="both"/>
        <w:ind w:left="503" w:right="40" w:hanging="503"/>
        <w:spacing w:after="0" w:line="291" w:lineRule="auto"/>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Counter-cyclical strategies can thrive in a higher-rate environment. </w:t>
      </w:r>
      <w:r>
        <w:rPr>
          <w:rFonts w:ascii="Arial" w:cs="Arial" w:eastAsia="Arial" w:hAnsi="Arial"/>
          <w:sz w:val="16"/>
          <w:szCs w:val="16"/>
          <w:color w:val="auto"/>
        </w:rPr>
        <w:t>Some strategies are counter-cyclical in nature and can take advantage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a higher rate environment. Specifically, private credit products, including our NAV lending strategy, with floating rate terms, benefit from the</w:t>
      </w:r>
    </w:p>
    <w:p>
      <w:pPr>
        <w:ind w:left="503"/>
        <w:spacing w:after="0"/>
        <w:rPr>
          <w:sz w:val="20"/>
          <w:szCs w:val="20"/>
          <w:color w:val="auto"/>
        </w:rPr>
      </w:pPr>
      <w:r>
        <w:rPr>
          <w:rFonts w:ascii="Arial" w:cs="Arial" w:eastAsia="Arial" w:hAnsi="Arial"/>
          <w:sz w:val="18"/>
          <w:szCs w:val="18"/>
          <w:color w:val="auto"/>
        </w:rPr>
        <w:t>current environment, with floating rates and</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37" w:name="page38"/>
    <w:bookmarkEnd w:id="37"/>
    <w:p>
      <w:pPr>
        <w:jc w:val="center"/>
        <w:ind w:left="600" w:right="740"/>
        <w:spacing w:after="0" w:line="477" w:lineRule="auto"/>
        <w:rPr>
          <w:sz w:val="20"/>
          <w:szCs w:val="20"/>
          <w:color w:val="auto"/>
        </w:rPr>
      </w:pPr>
      <w:r>
        <w:rPr>
          <w:rFonts w:ascii="Arial" w:cs="Arial" w:eastAsia="Arial" w:hAnsi="Arial"/>
          <w:sz w:val="18"/>
          <w:szCs w:val="18"/>
          <w:color w:val="auto"/>
        </w:rPr>
        <w:t xml:space="preserve">longer duration. The higher rate environment also benefits our venture debt strategy as rates float throughout the investment period. </w:t>
      </w:r>
      <w:r>
        <w:rPr>
          <w:rFonts w:ascii="Arial" w:cs="Arial" w:eastAsia="Arial" w:hAnsi="Arial"/>
          <w:sz w:val="18"/>
          <w:szCs w:val="18"/>
          <w:b w:val="1"/>
          <w:bCs w:val="1"/>
          <w:color w:val="auto"/>
        </w:rPr>
        <w:t>Key Financial &amp; Operating Metrics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84"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 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6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192"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The Company recognizes an accrued contingent liability and contingent payments to customers in our Consolidated Balance Sheets for agreements between ECG and third parties. The agreements require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not exercisable until a certain period of time has lapsed per the agreements. The Company believes it is probable that the third parties will exercise their options to sell back the revenue share and has recognized a liability on the Consolidated Balance Sheets. The Company has also recognized a contingent payments to customers asset associated with the agreement and will amortize the asset against revenue over the length of the management contracts. The amortization is reported in management and advisory fees on the Consolidated Statements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Compensation and benefits are our largest expense and consists of salaries, bonuses,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w:t>
      </w:r>
    </w:p>
    <w:p>
      <w:pPr>
        <w:spacing w:after="0" w:line="178" w:lineRule="exact"/>
        <w:rPr>
          <w:sz w:val="20"/>
          <w:szCs w:val="20"/>
          <w:color w:val="auto"/>
        </w:rPr>
      </w:pPr>
    </w:p>
    <w:p>
      <w:pPr>
        <w:jc w:val="both"/>
        <w:ind w:right="500" w:firstLine="509"/>
        <w:spacing w:after="0" w:line="255" w:lineRule="auto"/>
        <w:rPr>
          <w:sz w:val="20"/>
          <w:szCs w:val="20"/>
          <w:color w:val="auto"/>
        </w:rPr>
      </w:pPr>
      <w:r>
        <w:rPr>
          <w:rFonts w:ascii="Arial" w:cs="Arial" w:eastAsia="Arial" w:hAnsi="Arial"/>
          <w:sz w:val="18"/>
          <w:szCs w:val="18"/>
          <w:color w:val="auto"/>
        </w:rPr>
        <w:t>Professional fees primarily consist of legal, advisory, accounting and tax fees which may include services related to our strategic development opportunities such as due diligence performed in connection with potential acquisitions. Our professional fees will fluctuate commensurate with our strategic objectives and potential acquisitions, and certain recurring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220"/>
        <w:spacing w:after="0" w:line="277" w:lineRule="auto"/>
        <w:rPr>
          <w:sz w:val="20"/>
          <w:szCs w:val="20"/>
          <w:color w:val="auto"/>
        </w:rPr>
      </w:pPr>
      <w:r>
        <w:rPr>
          <w:rFonts w:ascii="Arial" w:cs="Arial" w:eastAsia="Arial" w:hAnsi="Arial"/>
          <w:sz w:val="18"/>
          <w:szCs w:val="18"/>
          <w:color w:val="auto"/>
        </w:rPr>
        <w:t>accounting advisory, audit and tax expenses are expected to increase as our Company has become an SEC registrant and we must comply with additional regulatory requirements.</w:t>
      </w:r>
    </w:p>
    <w:p>
      <w:pPr>
        <w:spacing w:after="0" w:line="170"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General, administrative and other includes rent, travel and entertainment, technology, insurance and other general costs associated with operating our business.</w:t>
      </w:r>
    </w:p>
    <w:p>
      <w:pPr>
        <w:spacing w:after="0" w:line="170"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Strategic alliance expense is included in operating expenses. This expense is driven by the SAA that Bonaccord entered into with an investor at the time Bonaccord was acquired in exchange for a portion of net management fee earnings at the time of acquisition.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780" w:firstLine="509"/>
        <w:spacing w:after="0" w:line="308" w:lineRule="auto"/>
        <w:rPr>
          <w:sz w:val="20"/>
          <w:szCs w:val="20"/>
          <w:color w:val="auto"/>
        </w:rPr>
      </w:pPr>
      <w:r>
        <w:rPr>
          <w:rFonts w:ascii="Arial" w:cs="Arial" w:eastAsia="Arial" w:hAnsi="Arial"/>
          <w:sz w:val="17"/>
          <w:szCs w:val="17"/>
          <w:color w:val="auto"/>
        </w:rPr>
        <w:t>Interest expense includes interest paid and accrued on our outstanding debt, along with the amortization of deferred financing costs. Other income/(expense) includes the accrued expenses related to litigation and regulatory activity as discussed in Note 14.</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Income tax benefit (expense) is comprised of current and deferred tax benefit (expense). Current income tax benefit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Fee-Paying Assets Under Management, or FPAUM</w:t>
      </w:r>
    </w:p>
    <w:p>
      <w:pPr>
        <w:spacing w:after="0" w:line="117"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13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and nine months ended September 30, 2023 and September 30,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5"/>
          </w:tcPr>
          <w:p>
            <w:pPr>
              <w:jc w:val="right"/>
              <w:ind w:right="497"/>
              <w:spacing w:after="0"/>
              <w:rPr>
                <w:sz w:val="20"/>
                <w:szCs w:val="20"/>
                <w:color w:val="auto"/>
              </w:rPr>
            </w:pPr>
            <w:r>
              <w:rPr>
                <w:rFonts w:ascii="Arial" w:cs="Arial" w:eastAsia="Arial" w:hAnsi="Arial"/>
                <w:sz w:val="13"/>
                <w:szCs w:val="13"/>
                <w:b w:val="1"/>
                <w:bCs w:val="1"/>
                <w:color w:val="auto"/>
              </w:rPr>
              <w:t>For the three months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5"/>
          </w:tcPr>
          <w:p>
            <w:pPr>
              <w:jc w:val="right"/>
              <w:ind w:right="478"/>
              <w:spacing w:after="0"/>
              <w:rPr>
                <w:sz w:val="20"/>
                <w:szCs w:val="20"/>
                <w:color w:val="auto"/>
              </w:rPr>
            </w:pPr>
            <w:r>
              <w:rPr>
                <w:rFonts w:ascii="Arial" w:cs="Arial" w:eastAsia="Arial" w:hAnsi="Arial"/>
                <w:sz w:val="13"/>
                <w:szCs w:val="13"/>
                <w:b w:val="1"/>
                <w:bCs w:val="1"/>
                <w:color w:val="auto"/>
              </w:rPr>
              <w:t>For the nine months</w:t>
            </w:r>
          </w:p>
        </w:tc>
        <w:tc>
          <w:tcPr>
            <w:tcW w:w="940" w:type="dxa"/>
            <w:vAlign w:val="bottom"/>
          </w:tcPr>
          <w:p>
            <w:pPr>
              <w:spacing w:after="0"/>
              <w:rPr>
                <w:sz w:val="12"/>
                <w:szCs w:val="12"/>
                <w:color w:val="auto"/>
              </w:rPr>
            </w:pPr>
          </w:p>
        </w:tc>
      </w:tr>
      <w:tr>
        <w:trPr>
          <w:trHeight w:val="164"/>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517"/>
              <w:spacing w:after="0"/>
              <w:rPr>
                <w:sz w:val="20"/>
                <w:szCs w:val="20"/>
                <w:color w:val="auto"/>
              </w:rPr>
            </w:pPr>
            <w:r>
              <w:rPr>
                <w:rFonts w:ascii="Arial" w:cs="Arial" w:eastAsia="Arial" w:hAnsi="Arial"/>
                <w:sz w:val="13"/>
                <w:szCs w:val="13"/>
                <w:b w:val="1"/>
                <w:bCs w:val="1"/>
                <w:color w:val="auto"/>
                <w:w w:val="99"/>
              </w:rPr>
              <w:t>ended September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right"/>
              <w:ind w:right="458"/>
              <w:spacing w:after="0"/>
              <w:rPr>
                <w:sz w:val="20"/>
                <w:szCs w:val="20"/>
                <w:color w:val="auto"/>
              </w:rPr>
            </w:pPr>
            <w:r>
              <w:rPr>
                <w:rFonts w:ascii="Arial" w:cs="Arial" w:eastAsia="Arial" w:hAnsi="Arial"/>
                <w:sz w:val="13"/>
                <w:szCs w:val="13"/>
                <w:b w:val="1"/>
                <w:bCs w:val="1"/>
                <w:color w:val="auto"/>
              </w:rPr>
              <w:t>ended September 30,</w:t>
            </w:r>
          </w:p>
        </w:tc>
        <w:tc>
          <w:tcPr>
            <w:tcW w:w="940" w:type="dxa"/>
            <w:vAlign w:val="bottom"/>
          </w:tcPr>
          <w:p>
            <w:pPr>
              <w:spacing w:after="0"/>
              <w:rPr>
                <w:sz w:val="14"/>
                <w:szCs w:val="14"/>
                <w:color w:val="auto"/>
              </w:rPr>
            </w:pPr>
          </w:p>
        </w:tc>
      </w:tr>
      <w:tr>
        <w:trPr>
          <w:trHeight w:val="165"/>
        </w:trPr>
        <w:tc>
          <w:tcPr>
            <w:tcW w:w="3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5"/>
        </w:trPr>
        <w:tc>
          <w:tcPr>
            <w:tcW w:w="3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8"/>
              </w:rPr>
              <w:t>$ Change</w:t>
            </w:r>
          </w:p>
        </w:tc>
        <w:tc>
          <w:tcPr>
            <w:tcW w:w="220" w:type="dxa"/>
            <w:vAlign w:val="bottom"/>
          </w:tcPr>
          <w:p>
            <w:pPr>
              <w:spacing w:after="0"/>
              <w:rPr>
                <w:sz w:val="13"/>
                <w:szCs w:val="13"/>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2"/>
              </w:rPr>
              <w:t>$ Change</w:t>
            </w:r>
          </w:p>
        </w:tc>
        <w:tc>
          <w:tcPr>
            <w:tcW w:w="200" w:type="dxa"/>
            <w:vAlign w:val="bottom"/>
          </w:tcPr>
          <w:p>
            <w:pPr>
              <w:spacing w:after="0"/>
              <w:rPr>
                <w:sz w:val="13"/>
                <w:szCs w:val="13"/>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 Change</w:t>
            </w:r>
          </w:p>
        </w:tc>
      </w:tr>
      <w:tr>
        <w:trPr>
          <w:trHeight w:val="155"/>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REVENUES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w w:val="87"/>
              </w:rPr>
              <w:t>(in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rPr>
              <w:t>(in</w:t>
            </w:r>
          </w:p>
        </w:tc>
        <w:tc>
          <w:tcPr>
            <w:tcW w:w="1020" w:type="dxa"/>
            <w:vAlign w:val="bottom"/>
            <w:gridSpan w:val="3"/>
          </w:tcPr>
          <w:p>
            <w:pPr>
              <w:jc w:val="center"/>
              <w:ind w:right="457"/>
              <w:spacing w:after="0"/>
              <w:rPr>
                <w:sz w:val="20"/>
                <w:szCs w:val="20"/>
                <w:color w:val="auto"/>
              </w:rPr>
            </w:pPr>
            <w:r>
              <w:rPr>
                <w:rFonts w:ascii="Arial" w:cs="Arial" w:eastAsia="Arial" w:hAnsi="Arial"/>
                <w:sz w:val="13"/>
                <w:szCs w:val="13"/>
                <w:b w:val="1"/>
                <w:bCs w:val="1"/>
                <w:color w:val="auto"/>
                <w:w w:val="71"/>
              </w:rPr>
              <w:t>thousands)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Management and advisory fees</w:t>
            </w: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58,078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49,479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8,599</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17%</w:t>
            </w:r>
          </w:p>
        </w:tc>
        <w:tc>
          <w:tcPr>
            <w:tcW w:w="2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176,322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center"/>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138,957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37,365</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27%</w:t>
            </w:r>
          </w:p>
        </w:tc>
      </w:tr>
      <w:tr>
        <w:trPr>
          <w:trHeight w:val="162"/>
        </w:trPr>
        <w:tc>
          <w:tcPr>
            <w:tcW w:w="3120" w:type="dxa"/>
            <w:vAlign w:val="bottom"/>
          </w:tcPr>
          <w:p>
            <w:pPr>
              <w:ind w:left="160"/>
              <w:spacing w:after="0"/>
              <w:rPr>
                <w:sz w:val="20"/>
                <w:szCs w:val="20"/>
                <w:color w:val="auto"/>
              </w:rPr>
            </w:pPr>
            <w:r>
              <w:rPr>
                <w:rFonts w:ascii="Arial" w:cs="Arial" w:eastAsia="Arial" w:hAnsi="Arial"/>
                <w:sz w:val="13"/>
                <w:szCs w:val="13"/>
                <w:color w:val="auto"/>
              </w:rPr>
              <w:t>Other revenue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864</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67%</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1,287</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122%</w:t>
            </w:r>
          </w:p>
        </w:tc>
      </w:tr>
      <w:tr>
        <w:trPr>
          <w:trHeight w:val="156"/>
        </w:trPr>
        <w:tc>
          <w:tcPr>
            <w:tcW w:w="31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Total revenues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58,942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49,996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8,946</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18%</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178,667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140,015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38,652</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28%</w:t>
            </w:r>
          </w:p>
        </w:tc>
      </w:tr>
      <w:tr>
        <w:trPr>
          <w:trHeight w:val="162"/>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Compensation and benefits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42,175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23,984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18,191</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76%</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114,128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60,293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53,835</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89%</w:t>
            </w:r>
          </w:p>
        </w:tc>
      </w:tr>
      <w:tr>
        <w:trPr>
          <w:trHeight w:val="161"/>
        </w:trPr>
        <w:tc>
          <w:tcPr>
            <w:tcW w:w="3120" w:type="dxa"/>
            <w:vAlign w:val="bottom"/>
          </w:tcPr>
          <w:p>
            <w:pPr>
              <w:ind w:left="160"/>
              <w:spacing w:after="0"/>
              <w:rPr>
                <w:sz w:val="20"/>
                <w:szCs w:val="20"/>
                <w:color w:val="auto"/>
              </w:rPr>
            </w:pPr>
            <w:r>
              <w:rPr>
                <w:rFonts w:ascii="Arial" w:cs="Arial" w:eastAsia="Arial" w:hAnsi="Arial"/>
                <w:sz w:val="13"/>
                <w:szCs w:val="13"/>
                <w:color w:val="auto"/>
              </w:rPr>
              <w:t>Professional fees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3,357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4,064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97"/>
              <w:spacing w:after="0"/>
              <w:rPr>
                <w:sz w:val="20"/>
                <w:szCs w:val="20"/>
                <w:color w:val="auto"/>
              </w:rPr>
            </w:pPr>
            <w:r>
              <w:rPr>
                <w:rFonts w:ascii="Arial" w:cs="Arial" w:eastAsia="Arial" w:hAnsi="Arial"/>
                <w:sz w:val="13"/>
                <w:szCs w:val="13"/>
                <w:color w:val="auto"/>
              </w:rPr>
              <w:t>(707 )</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10,191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775</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84"/>
              </w:rPr>
              <w:t>8%</w:t>
            </w:r>
          </w:p>
        </w:tc>
      </w:tr>
      <w:tr>
        <w:trPr>
          <w:trHeight w:val="163"/>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General, administrative and other</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1,284</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32%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15,209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12,393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2,816</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23%</w:t>
            </w:r>
          </w:p>
        </w:tc>
      </w:tr>
      <w:tr>
        <w:trPr>
          <w:trHeight w:val="161"/>
        </w:trPr>
        <w:tc>
          <w:tcPr>
            <w:tcW w:w="3120" w:type="dxa"/>
            <w:vAlign w:val="bottom"/>
          </w:tcPr>
          <w:p>
            <w:pPr>
              <w:ind w:left="160"/>
              <w:spacing w:after="0"/>
              <w:rPr>
                <w:sz w:val="20"/>
                <w:szCs w:val="20"/>
                <w:color w:val="auto"/>
              </w:rPr>
            </w:pPr>
            <w:r>
              <w:rPr>
                <w:rFonts w:ascii="Arial" w:cs="Arial" w:eastAsia="Arial" w:hAnsi="Arial"/>
                <w:sz w:val="13"/>
                <w:szCs w:val="13"/>
                <w:color w:val="auto"/>
              </w:rPr>
              <w:t>Contingent consideration expense</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97"/>
              <w:spacing w:after="0"/>
              <w:rPr>
                <w:sz w:val="20"/>
                <w:szCs w:val="20"/>
                <w:color w:val="auto"/>
              </w:rPr>
            </w:pPr>
            <w:r>
              <w:rPr>
                <w:rFonts w:ascii="Arial" w:cs="Arial" w:eastAsia="Arial" w:hAnsi="Arial"/>
                <w:sz w:val="13"/>
                <w:szCs w:val="13"/>
                <w:color w:val="auto"/>
              </w:rPr>
              <w:t>(1,300 )</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1,367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18"/>
              <w:spacing w:after="0"/>
              <w:rPr>
                <w:sz w:val="20"/>
                <w:szCs w:val="20"/>
                <w:color w:val="auto"/>
              </w:rPr>
            </w:pPr>
            <w:r>
              <w:rPr>
                <w:rFonts w:ascii="Arial" w:cs="Arial" w:eastAsia="Arial" w:hAnsi="Arial"/>
                <w:sz w:val="13"/>
                <w:szCs w:val="13"/>
                <w:color w:val="auto"/>
              </w:rPr>
              <w:t>(817 )</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(60)%</w:t>
            </w:r>
          </w:p>
        </w:tc>
      </w:tr>
      <w:tr>
        <w:trPr>
          <w:trHeight w:val="163"/>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Amortization of intangibles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7,319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1,166</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21,893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18,487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3,406</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18%</w:t>
            </w:r>
          </w:p>
        </w:tc>
      </w:tr>
      <w:tr>
        <w:trPr>
          <w:trHeight w:val="162"/>
        </w:trPr>
        <w:tc>
          <w:tcPr>
            <w:tcW w:w="3120" w:type="dxa"/>
            <w:vAlign w:val="bottom"/>
          </w:tcPr>
          <w:p>
            <w:pPr>
              <w:ind w:left="160"/>
              <w:spacing w:after="0"/>
              <w:rPr>
                <w:sz w:val="20"/>
                <w:szCs w:val="20"/>
                <w:color w:val="auto"/>
              </w:rPr>
            </w:pPr>
            <w:r>
              <w:rPr>
                <w:rFonts w:ascii="Arial" w:cs="Arial" w:eastAsia="Arial" w:hAnsi="Arial"/>
                <w:sz w:val="13"/>
                <w:szCs w:val="13"/>
                <w:color w:val="auto"/>
              </w:rPr>
              <w:t>Strategic alliance expense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84"/>
              </w:rPr>
              <w:t>152%</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1,118</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689</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161%</w:t>
            </w:r>
          </w:p>
        </w:tc>
      </w:tr>
      <w:tr>
        <w:trPr>
          <w:trHeight w:val="155"/>
        </w:trPr>
        <w:tc>
          <w:tcPr>
            <w:tcW w:w="3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Total operating expenses</w:t>
            </w: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58,559</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39,736</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18,823</w:t>
            </w: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2"/>
              </w:rPr>
              <w:t>47%</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163,089</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102,385</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60,704</w:t>
            </w: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84"/>
              </w:rPr>
              <w:t>59%</w:t>
            </w:r>
          </w:p>
        </w:tc>
      </w:tr>
      <w:tr>
        <w:trPr>
          <w:trHeight w:val="315"/>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10,260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97"/>
              <w:spacing w:after="0"/>
              <w:rPr>
                <w:sz w:val="20"/>
                <w:szCs w:val="20"/>
                <w:color w:val="auto"/>
              </w:rPr>
            </w:pPr>
            <w:r>
              <w:rPr>
                <w:rFonts w:ascii="Arial" w:cs="Arial" w:eastAsia="Arial" w:hAnsi="Arial"/>
                <w:sz w:val="13"/>
                <w:szCs w:val="13"/>
                <w:color w:val="auto"/>
              </w:rPr>
              <w:t>(9,877 )</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15,578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37,630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18"/>
              <w:spacing w:after="0"/>
              <w:rPr>
                <w:sz w:val="20"/>
                <w:szCs w:val="20"/>
                <w:color w:val="auto"/>
              </w:rPr>
            </w:pPr>
            <w:r>
              <w:rPr>
                <w:rFonts w:ascii="Arial" w:cs="Arial" w:eastAsia="Arial" w:hAnsi="Arial"/>
                <w:sz w:val="13"/>
                <w:szCs w:val="13"/>
                <w:color w:val="auto"/>
              </w:rPr>
              <w:t>(22,052 )</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(59)%</w:t>
            </w:r>
          </w:p>
        </w:tc>
      </w:tr>
      <w:tr>
        <w:trPr>
          <w:trHeight w:val="165"/>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OTHER (EXPENSE)/INCOME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323"/>
        </w:trPr>
        <w:tc>
          <w:tcPr>
            <w:tcW w:w="3120" w:type="dxa"/>
            <w:vAlign w:val="bottom"/>
          </w:tcPr>
          <w:p>
            <w:pPr>
              <w:ind w:left="160"/>
              <w:spacing w:after="0"/>
              <w:rPr>
                <w:sz w:val="20"/>
                <w:szCs w:val="20"/>
                <w:color w:val="auto"/>
              </w:rPr>
            </w:pPr>
            <w:r>
              <w:rPr>
                <w:rFonts w:ascii="Arial" w:cs="Arial" w:eastAsia="Arial" w:hAnsi="Arial"/>
                <w:sz w:val="13"/>
                <w:szCs w:val="13"/>
                <w:color w:val="auto"/>
              </w:rPr>
              <w:t>Interest expense, net</w:t>
            </w:r>
          </w:p>
        </w:tc>
        <w:tc>
          <w:tcPr>
            <w:tcW w:w="180" w:type="dxa"/>
            <w:vAlign w:val="bottom"/>
          </w:tcPr>
          <w:p>
            <w:pPr>
              <w:spacing w:after="0"/>
              <w:rPr>
                <w:sz w:val="24"/>
                <w:szCs w:val="24"/>
                <w:color w:val="auto"/>
              </w:rPr>
            </w:pPr>
          </w:p>
        </w:tc>
        <w:tc>
          <w:tcPr>
            <w:tcW w:w="880" w:type="dxa"/>
            <w:vAlign w:val="bottom"/>
            <w:gridSpan w:val="2"/>
          </w:tcPr>
          <w:p>
            <w:pPr>
              <w:jc w:val="right"/>
              <w:ind w:right="117"/>
              <w:spacing w:after="0"/>
              <w:rPr>
                <w:sz w:val="20"/>
                <w:szCs w:val="20"/>
                <w:color w:val="auto"/>
              </w:rPr>
            </w:pPr>
            <w:r>
              <w:rPr>
                <w:rFonts w:ascii="Arial" w:cs="Arial" w:eastAsia="Arial" w:hAnsi="Arial"/>
                <w:sz w:val="13"/>
                <w:szCs w:val="13"/>
                <w:color w:val="auto"/>
              </w:rPr>
              <w:t>(5,482 )</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(2,358 )</w:t>
            </w:r>
          </w:p>
        </w:tc>
        <w:tc>
          <w:tcPr>
            <w:tcW w:w="120" w:type="dxa"/>
            <w:vAlign w:val="bottom"/>
          </w:tcPr>
          <w:p>
            <w:pPr>
              <w:spacing w:after="0"/>
              <w:rPr>
                <w:sz w:val="24"/>
                <w:szCs w:val="24"/>
                <w:color w:val="auto"/>
              </w:rPr>
            </w:pPr>
          </w:p>
        </w:tc>
        <w:tc>
          <w:tcPr>
            <w:tcW w:w="920" w:type="dxa"/>
            <w:vAlign w:val="bottom"/>
            <w:gridSpan w:val="2"/>
          </w:tcPr>
          <w:p>
            <w:pPr>
              <w:jc w:val="right"/>
              <w:ind w:right="97"/>
              <w:spacing w:after="0"/>
              <w:rPr>
                <w:sz w:val="20"/>
                <w:szCs w:val="20"/>
                <w:color w:val="auto"/>
              </w:rPr>
            </w:pPr>
            <w:r>
              <w:rPr>
                <w:rFonts w:ascii="Arial" w:cs="Arial" w:eastAsia="Arial" w:hAnsi="Arial"/>
                <w:sz w:val="13"/>
                <w:szCs w:val="13"/>
                <w:color w:val="auto"/>
              </w:rPr>
              <w:t>(3,124 )</w:t>
            </w:r>
          </w:p>
        </w:tc>
        <w:tc>
          <w:tcPr>
            <w:tcW w:w="880" w:type="dxa"/>
            <w:vAlign w:val="bottom"/>
          </w:tcPr>
          <w:p>
            <w:pPr>
              <w:jc w:val="center"/>
              <w:spacing w:after="0"/>
              <w:rPr>
                <w:sz w:val="20"/>
                <w:szCs w:val="20"/>
                <w:color w:val="auto"/>
              </w:rPr>
            </w:pPr>
            <w:r>
              <w:rPr>
                <w:rFonts w:ascii="Arial" w:cs="Arial" w:eastAsia="Arial" w:hAnsi="Arial"/>
                <w:sz w:val="13"/>
                <w:szCs w:val="13"/>
                <w:color w:val="auto"/>
                <w:w w:val="84"/>
              </w:rPr>
              <w:t>132%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rPr>
              <w:t>(16,080 )</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(5,268 )</w:t>
            </w:r>
          </w:p>
        </w:tc>
        <w:tc>
          <w:tcPr>
            <w:tcW w:w="120" w:type="dxa"/>
            <w:vAlign w:val="bottom"/>
          </w:tcPr>
          <w:p>
            <w:pPr>
              <w:spacing w:after="0"/>
              <w:rPr>
                <w:sz w:val="24"/>
                <w:szCs w:val="24"/>
                <w:color w:val="auto"/>
              </w:rPr>
            </w:pPr>
          </w:p>
        </w:tc>
        <w:tc>
          <w:tcPr>
            <w:tcW w:w="920" w:type="dxa"/>
            <w:vAlign w:val="bottom"/>
            <w:gridSpan w:val="2"/>
          </w:tcPr>
          <w:p>
            <w:pPr>
              <w:jc w:val="right"/>
              <w:ind w:right="118"/>
              <w:spacing w:after="0"/>
              <w:rPr>
                <w:sz w:val="20"/>
                <w:szCs w:val="20"/>
                <w:color w:val="auto"/>
              </w:rPr>
            </w:pPr>
            <w:r>
              <w:rPr>
                <w:rFonts w:ascii="Arial" w:cs="Arial" w:eastAsia="Arial" w:hAnsi="Arial"/>
                <w:sz w:val="13"/>
                <w:szCs w:val="13"/>
                <w:color w:val="auto"/>
              </w:rPr>
              <w:t>(10,812 )</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205%</w:t>
            </w:r>
          </w:p>
        </w:tc>
      </w:tr>
      <w:tr>
        <w:trPr>
          <w:trHeight w:val="163"/>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Other (expense)/income</w:t>
            </w: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(1,851 )</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(2,034 )</w:t>
            </w: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7"/>
              </w:rPr>
              <w:t>(1,111)%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(2,570 )</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(3,873 )</w:t>
            </w: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(297)%</w:t>
            </w:r>
          </w:p>
        </w:tc>
      </w:tr>
      <w:tr>
        <w:trPr>
          <w:trHeight w:val="20"/>
        </w:trPr>
        <w:tc>
          <w:tcPr>
            <w:tcW w:w="3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r>
      <w:tr>
        <w:trPr>
          <w:trHeight w:val="155"/>
        </w:trPr>
        <w:tc>
          <w:tcPr>
            <w:tcW w:w="3120" w:type="dxa"/>
            <w:vAlign w:val="bottom"/>
          </w:tcPr>
          <w:p>
            <w:pPr>
              <w:ind w:left="300"/>
              <w:spacing w:after="0"/>
              <w:rPr>
                <w:sz w:val="20"/>
                <w:szCs w:val="20"/>
                <w:color w:val="auto"/>
              </w:rPr>
            </w:pPr>
            <w:r>
              <w:rPr>
                <w:rFonts w:ascii="Arial" w:cs="Arial" w:eastAsia="Arial" w:hAnsi="Arial"/>
                <w:sz w:val="13"/>
                <w:szCs w:val="13"/>
                <w:color w:val="auto"/>
              </w:rPr>
              <w:t>Total other (expense)</w:t>
            </w:r>
          </w:p>
        </w:tc>
        <w:tc>
          <w:tcPr>
            <w:tcW w:w="180" w:type="dxa"/>
            <w:vAlign w:val="bottom"/>
          </w:tcPr>
          <w:p>
            <w:pPr>
              <w:spacing w:after="0"/>
              <w:rPr>
                <w:sz w:val="13"/>
                <w:szCs w:val="13"/>
                <w:color w:val="auto"/>
              </w:rPr>
            </w:pPr>
          </w:p>
        </w:tc>
        <w:tc>
          <w:tcPr>
            <w:tcW w:w="880" w:type="dxa"/>
            <w:vAlign w:val="bottom"/>
            <w:gridSpan w:val="2"/>
          </w:tcPr>
          <w:p>
            <w:pPr>
              <w:jc w:val="right"/>
              <w:ind w:right="117"/>
              <w:spacing w:after="0"/>
              <w:rPr>
                <w:sz w:val="20"/>
                <w:szCs w:val="20"/>
                <w:color w:val="auto"/>
              </w:rPr>
            </w:pPr>
            <w:r>
              <w:rPr>
                <w:rFonts w:ascii="Arial" w:cs="Arial" w:eastAsia="Arial" w:hAnsi="Arial"/>
                <w:sz w:val="13"/>
                <w:szCs w:val="13"/>
                <w:color w:val="auto"/>
              </w:rPr>
              <w:t>(7,333 )</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(2,175 )</w:t>
            </w:r>
          </w:p>
        </w:tc>
        <w:tc>
          <w:tcPr>
            <w:tcW w:w="120" w:type="dxa"/>
            <w:vAlign w:val="bottom"/>
          </w:tcPr>
          <w:p>
            <w:pPr>
              <w:spacing w:after="0"/>
              <w:rPr>
                <w:sz w:val="13"/>
                <w:szCs w:val="13"/>
                <w:color w:val="auto"/>
              </w:rPr>
            </w:pPr>
          </w:p>
        </w:tc>
        <w:tc>
          <w:tcPr>
            <w:tcW w:w="920" w:type="dxa"/>
            <w:vAlign w:val="bottom"/>
            <w:gridSpan w:val="2"/>
          </w:tcPr>
          <w:p>
            <w:pPr>
              <w:jc w:val="right"/>
              <w:ind w:right="97"/>
              <w:spacing w:after="0"/>
              <w:rPr>
                <w:sz w:val="20"/>
                <w:szCs w:val="20"/>
                <w:color w:val="auto"/>
              </w:rPr>
            </w:pPr>
            <w:r>
              <w:rPr>
                <w:rFonts w:ascii="Arial" w:cs="Arial" w:eastAsia="Arial" w:hAnsi="Arial"/>
                <w:sz w:val="13"/>
                <w:szCs w:val="13"/>
                <w:color w:val="auto"/>
              </w:rPr>
              <w:t>(5,158 )</w:t>
            </w:r>
          </w:p>
        </w:tc>
        <w:tc>
          <w:tcPr>
            <w:tcW w:w="880" w:type="dxa"/>
            <w:vAlign w:val="bottom"/>
          </w:tcPr>
          <w:p>
            <w:pPr>
              <w:jc w:val="center"/>
              <w:spacing w:after="0"/>
              <w:rPr>
                <w:sz w:val="20"/>
                <w:szCs w:val="20"/>
                <w:color w:val="auto"/>
              </w:rPr>
            </w:pPr>
            <w:r>
              <w:rPr>
                <w:rFonts w:ascii="Arial" w:cs="Arial" w:eastAsia="Arial" w:hAnsi="Arial"/>
                <w:sz w:val="13"/>
                <w:szCs w:val="13"/>
                <w:color w:val="auto"/>
                <w:w w:val="84"/>
              </w:rPr>
              <w:t>237%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rPr>
              <w:t>(18,650 )</w:t>
            </w: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(3,965 )</w:t>
            </w:r>
          </w:p>
        </w:tc>
        <w:tc>
          <w:tcPr>
            <w:tcW w:w="120" w:type="dxa"/>
            <w:vAlign w:val="bottom"/>
          </w:tcPr>
          <w:p>
            <w:pPr>
              <w:spacing w:after="0"/>
              <w:rPr>
                <w:sz w:val="13"/>
                <w:szCs w:val="13"/>
                <w:color w:val="auto"/>
              </w:rPr>
            </w:pPr>
          </w:p>
        </w:tc>
        <w:tc>
          <w:tcPr>
            <w:tcW w:w="920" w:type="dxa"/>
            <w:vAlign w:val="bottom"/>
            <w:gridSpan w:val="2"/>
          </w:tcPr>
          <w:p>
            <w:pPr>
              <w:jc w:val="right"/>
              <w:ind w:right="118"/>
              <w:spacing w:after="0"/>
              <w:rPr>
                <w:sz w:val="20"/>
                <w:szCs w:val="20"/>
                <w:color w:val="auto"/>
              </w:rPr>
            </w:pPr>
            <w:r>
              <w:rPr>
                <w:rFonts w:ascii="Arial" w:cs="Arial" w:eastAsia="Arial" w:hAnsi="Arial"/>
                <w:sz w:val="13"/>
                <w:szCs w:val="13"/>
                <w:color w:val="auto"/>
              </w:rPr>
              <w:t>(14,685 )</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370%</w:t>
            </w:r>
          </w:p>
        </w:tc>
      </w:tr>
      <w:tr>
        <w:trPr>
          <w:trHeight w:val="155"/>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(loss)/income before income taxes</w:t>
            </w:r>
          </w:p>
        </w:tc>
        <w:tc>
          <w:tcPr>
            <w:tcW w:w="1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(6,950</w:t>
            </w:r>
          </w:p>
        </w:tc>
        <w:tc>
          <w:tcPr>
            <w:tcW w:w="24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8,085</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(15,035</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(186)%</w:t>
            </w:r>
          </w:p>
        </w:tc>
        <w:tc>
          <w:tcPr>
            <w:tcW w:w="1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(3,072</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33,665</w:t>
            </w: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(36,737</w:t>
            </w:r>
          </w:p>
        </w:tc>
        <w:tc>
          <w:tcPr>
            <w:tcW w:w="200" w:type="dxa"/>
            <w:vAlign w:val="bottom"/>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(109)%</w:t>
            </w:r>
          </w:p>
        </w:tc>
      </w:tr>
      <w:tr>
        <w:trPr>
          <w:trHeight w:val="162"/>
        </w:trPr>
        <w:tc>
          <w:tcPr>
            <w:tcW w:w="3120" w:type="dxa"/>
            <w:vAlign w:val="bottom"/>
          </w:tcPr>
          <w:p>
            <w:pPr>
              <w:ind w:left="160"/>
              <w:spacing w:after="0"/>
              <w:rPr>
                <w:sz w:val="20"/>
                <w:szCs w:val="20"/>
                <w:color w:val="auto"/>
              </w:rPr>
            </w:pPr>
            <w:r>
              <w:rPr>
                <w:rFonts w:ascii="Arial" w:cs="Arial" w:eastAsia="Arial" w:hAnsi="Arial"/>
                <w:sz w:val="13"/>
                <w:szCs w:val="13"/>
                <w:color w:val="auto"/>
              </w:rPr>
              <w:t>Income tax (expense)</w:t>
            </w:r>
          </w:p>
        </w:tc>
        <w:tc>
          <w:tcPr>
            <w:tcW w:w="180" w:type="dxa"/>
            <w:vAlign w:val="bottom"/>
          </w:tcPr>
          <w:p>
            <w:pPr>
              <w:spacing w:after="0"/>
              <w:rPr>
                <w:sz w:val="14"/>
                <w:szCs w:val="14"/>
                <w:color w:val="auto"/>
              </w:rPr>
            </w:pPr>
          </w:p>
        </w:tc>
        <w:tc>
          <w:tcPr>
            <w:tcW w:w="880" w:type="dxa"/>
            <w:vAlign w:val="bottom"/>
            <w:gridSpan w:val="2"/>
          </w:tcPr>
          <w:p>
            <w:pPr>
              <w:jc w:val="right"/>
              <w:ind w:right="117"/>
              <w:spacing w:after="0"/>
              <w:rPr>
                <w:sz w:val="20"/>
                <w:szCs w:val="20"/>
                <w:color w:val="auto"/>
              </w:rPr>
            </w:pPr>
            <w:r>
              <w:rPr>
                <w:rFonts w:ascii="Arial" w:cs="Arial" w:eastAsia="Arial" w:hAnsi="Arial"/>
                <w:sz w:val="13"/>
                <w:szCs w:val="13"/>
                <w:color w:val="auto"/>
              </w:rPr>
              <w:t>(1,800 )</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(2,468 )</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668</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rPr>
              <w:t>(2,807 )</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(9,102 )</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6,295</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(69)%</w:t>
            </w:r>
          </w:p>
        </w:tc>
      </w:tr>
      <w:tr>
        <w:trPr>
          <w:trHeight w:val="209"/>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NET (LOSS)/INCOME</w:t>
            </w: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(8,750</w:t>
            </w:r>
          </w:p>
        </w:tc>
        <w:tc>
          <w:tcPr>
            <w:tcW w:w="240" w:type="dxa"/>
            <w:vAlign w:val="bottom"/>
            <w:tcBorders>
              <w:bottom w:val="single" w:sz="8" w:color="CFF0FC"/>
            </w:tcBorders>
            <w:shd w:val="clear" w:color="auto" w:fill="CFF0FC"/>
          </w:tcPr>
          <w:p>
            <w:pPr>
              <w:jc w:val="right"/>
              <w:ind w:right="11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5,617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(14,367</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0"/>
              </w:rPr>
              <w:t>(256)%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(5,879</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bottom w:val="single" w:sz="8" w:color="auto"/>
            </w:tcBorders>
            <w:shd w:val="clear" w:color="auto" w:fill="CFF0FC"/>
          </w:tcPr>
          <w:p>
            <w:pPr>
              <w:jc w:val="center"/>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24,563</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(30,442</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9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0"/>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-1190625</wp:posOffset>
            </wp:positionV>
            <wp:extent cx="76835" cy="3175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31750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-1190625</wp:posOffset>
            </wp:positionV>
            <wp:extent cx="68580" cy="3175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-1190625</wp:posOffset>
            </wp:positionV>
            <wp:extent cx="68580" cy="3175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-1190625</wp:posOffset>
            </wp:positionV>
            <wp:extent cx="68580" cy="3175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-1190625</wp:posOffset>
            </wp:positionV>
            <wp:extent cx="68580" cy="3175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-1190625</wp:posOffset>
            </wp:positionV>
            <wp:extent cx="68580" cy="3175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-462280</wp:posOffset>
            </wp:positionV>
            <wp:extent cx="76835" cy="1200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-462280</wp:posOffset>
            </wp:positionV>
            <wp:extent cx="68580"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-462280</wp:posOffset>
            </wp:positionV>
            <wp:extent cx="68580"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-462280</wp:posOffset>
            </wp:positionV>
            <wp:extent cx="68580" cy="120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-462280</wp:posOffset>
            </wp:positionV>
            <wp:extent cx="68580" cy="120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-462280</wp:posOffset>
            </wp:positionV>
            <wp:extent cx="68580" cy="1200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-25400</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-8255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-25400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-25400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and September 30, 2022</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September 30, 2023 and September 30, 2022. For the three months ended September 30, 2023 compared to the three months ended September 30, 2022, revenues increased by $8.9 million or 18% due to higher management fees from the impact of inorganic growth of $6.6 million driven by the acquisition of WTI and $2.5 million of organic growth across Bonaccord and Truebridge.</w:t>
      </w:r>
    </w:p>
    <w:p>
      <w:pPr>
        <w:spacing w:after="0" w:line="176"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Management and advisory fees increased by $8.6 million, or 17%, to $58.1 million for the three months ended September 30, 2023 as compared to the three months ended September 30, 2022 due to inorganic growth from the acquisition of WTI which brought $6.6 million of revenue in the third quarter of 2023 and organic FPAUM growth at Bonaccord and TrueBridge of $2.5 million. Catch-up fees for the three months ended September 30, 2023 were $2.0 million associated with the fund closings at Bonaccord and TrueBridge.</w:t>
      </w:r>
    </w:p>
    <w:p>
      <w:pPr>
        <w:spacing w:after="0" w:line="187"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color w:val="auto"/>
        </w:rPr>
        <w:t>Other revenues, which represent ancillary elements of our business, increased by $0.3 million or 67% to $0.9 million for the three months ended September 30, 2023 as compared to the three months ended September 30, 2022 driven by an increase of $0.3 million of interest income in other revenue.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and September 30, 2022</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nine months ended September 30, 2023 and September 30, 2022. For the nine months ended September 30, 2023 compared to the nine months ended September 30, 2022, revenues increased by $38.7 million or 28% due to higher management fees from the impact of inorganic growth of $20.7 million driven by the acquisition of WTI and $18.0 million of organic growth across Bonaccord, RCP, and Truebridge.</w:t>
      </w:r>
    </w:p>
    <w:p>
      <w:pPr>
        <w:spacing w:after="0" w:line="176"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Management and advisory fees increased by $37.4 million, or 27%, to $176.3 million for the nine months ended September 30, 2023 as compared to the nine months ended September 30, 2022 due to inorganic growth from the acquisition of WTI which brought $20.6 million of revenue in 2023 and organic FPAUM growth at Bonaccord, RCP, and TrueBridge of $16.7 million. Catch-up fees for the nine months ended September 30, 2023 were $9.9 million associated with the fund closings at Bonaccord, TrueBridge and RCP.</w:t>
      </w:r>
    </w:p>
    <w:p>
      <w:pPr>
        <w:spacing w:after="0" w:line="187" w:lineRule="exact"/>
        <w:rPr>
          <w:sz w:val="20"/>
          <w:szCs w:val="20"/>
          <w:color w:val="auto"/>
        </w:rPr>
      </w:pPr>
    </w:p>
    <w:p>
      <w:pPr>
        <w:ind w:right="300" w:firstLine="509"/>
        <w:spacing w:after="0" w:line="342" w:lineRule="auto"/>
        <w:rPr>
          <w:sz w:val="20"/>
          <w:szCs w:val="20"/>
          <w:color w:val="auto"/>
        </w:rPr>
      </w:pPr>
      <w:r>
        <w:rPr>
          <w:rFonts w:ascii="Arial" w:cs="Arial" w:eastAsia="Arial" w:hAnsi="Arial"/>
          <w:sz w:val="16"/>
          <w:szCs w:val="16"/>
          <w:color w:val="auto"/>
        </w:rPr>
        <w:t>Other revenues, which represent ancillary elements of our business, increased by $1.3 million or 122% to $2.3 million for the nine months ended September 30, 2023 as compared to the nine months ended September 30, 2022 driven by an increase of $1.3 million of interest income in other revenue.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three months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For the nine months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6"/>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ended September 30,</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ended September 30,</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74"/>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9"/>
        </w:trPr>
        <w:tc>
          <w:tcPr>
            <w:tcW w:w="30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r>
      <w:tr>
        <w:trPr>
          <w:trHeight w:val="236"/>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60" w:type="dxa"/>
            <w:vAlign w:val="bottom"/>
          </w:tcPr>
          <w:p>
            <w:pPr>
              <w:spacing w:after="0"/>
              <w:rPr>
                <w:sz w:val="20"/>
                <w:szCs w:val="20"/>
                <w:color w:val="auto"/>
              </w:rPr>
            </w:pPr>
          </w:p>
        </w:tc>
        <w:tc>
          <w:tcPr>
            <w:tcW w:w="1700" w:type="dxa"/>
            <w:vAlign w:val="bottom"/>
            <w:gridSpan w:val="4"/>
          </w:tcPr>
          <w:p>
            <w:pPr>
              <w:jc w:val="right"/>
              <w:ind w:right="422"/>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color w:val="auto"/>
              </w:rPr>
              <w:t>Compensation and benefits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42,175</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23,984</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18,191</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76 %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114,128</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60,293</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53,835</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89 %</w:t>
            </w:r>
          </w:p>
        </w:tc>
      </w:tr>
      <w:tr>
        <w:trPr>
          <w:trHeight w:val="230"/>
        </w:trPr>
        <w:tc>
          <w:tcPr>
            <w:tcW w:w="300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4,064</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(707 )</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(17 )%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775</w:t>
            </w: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8 %</w:t>
            </w:r>
          </w:p>
        </w:tc>
      </w:tr>
      <w:tr>
        <w:trPr>
          <w:trHeight w:val="230"/>
        </w:trPr>
        <w:tc>
          <w:tcPr>
            <w:tcW w:w="3000" w:type="dxa"/>
            <w:vAlign w:val="bottom"/>
          </w:tcPr>
          <w:p>
            <w:pPr>
              <w:ind w:left="20"/>
              <w:spacing w:after="0"/>
              <w:rPr>
                <w:sz w:val="20"/>
                <w:szCs w:val="20"/>
                <w:color w:val="auto"/>
              </w:rPr>
            </w:pPr>
            <w:r>
              <w:rPr>
                <w:rFonts w:ascii="Arial" w:cs="Arial" w:eastAsia="Arial" w:hAnsi="Arial"/>
                <w:sz w:val="16"/>
                <w:szCs w:val="16"/>
                <w:color w:val="auto"/>
              </w:rPr>
              <w:t>General, administrative, and other</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4,031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1,284</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32 %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15,209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2,816</w:t>
            </w: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23 %</w:t>
            </w:r>
          </w:p>
        </w:tc>
      </w:tr>
      <w:tr>
        <w:trPr>
          <w:trHeight w:val="230"/>
        </w:trPr>
        <w:tc>
          <w:tcPr>
            <w:tcW w:w="3000" w:type="dxa"/>
            <w:vAlign w:val="bottom"/>
          </w:tcPr>
          <w:p>
            <w:pPr>
              <w:ind w:left="20"/>
              <w:spacing w:after="0"/>
              <w:rPr>
                <w:sz w:val="20"/>
                <w:szCs w:val="20"/>
                <w:color w:val="auto"/>
              </w:rPr>
            </w:pPr>
            <w:r>
              <w:rPr>
                <w:rFonts w:ascii="Arial" w:cs="Arial" w:eastAsia="Arial" w:hAnsi="Arial"/>
                <w:sz w:val="16"/>
                <w:szCs w:val="16"/>
                <w:color w:val="auto"/>
              </w:rPr>
              <w:t>Contingent consideration expense</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1,380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(1,300 )</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(94 )%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(817 )</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(60 )%</w:t>
            </w:r>
          </w:p>
        </w:tc>
      </w:tr>
      <w:tr>
        <w:trPr>
          <w:trHeight w:val="229"/>
        </w:trPr>
        <w:tc>
          <w:tcPr>
            <w:tcW w:w="3000" w:type="dxa"/>
            <w:vAlign w:val="bottom"/>
          </w:tcPr>
          <w:p>
            <w:pPr>
              <w:ind w:left="20"/>
              <w:spacing w:after="0"/>
              <w:rPr>
                <w:sz w:val="20"/>
                <w:szCs w:val="20"/>
                <w:color w:val="auto"/>
              </w:rPr>
            </w:pPr>
            <w:r>
              <w:rPr>
                <w:rFonts w:ascii="Arial" w:cs="Arial" w:eastAsia="Arial" w:hAnsi="Arial"/>
                <w:sz w:val="16"/>
                <w:szCs w:val="16"/>
                <w:color w:val="auto"/>
              </w:rPr>
              <w:t>Amortization of intangibles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6,153</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1,166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19 %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21,893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18,487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3,406</w:t>
            </w: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18 %</w:t>
            </w:r>
          </w:p>
        </w:tc>
      </w:tr>
      <w:tr>
        <w:trPr>
          <w:trHeight w:val="246"/>
        </w:trPr>
        <w:tc>
          <w:tcPr>
            <w:tcW w:w="3000" w:type="dxa"/>
            <w:vAlign w:val="bottom"/>
          </w:tcPr>
          <w:p>
            <w:pPr>
              <w:ind w:left="20"/>
              <w:spacing w:after="0"/>
              <w:rPr>
                <w:sz w:val="20"/>
                <w:szCs w:val="20"/>
                <w:color w:val="auto"/>
              </w:rPr>
            </w:pPr>
            <w:r>
              <w:rPr>
                <w:rFonts w:ascii="Arial" w:cs="Arial" w:eastAsia="Arial" w:hAnsi="Arial"/>
                <w:sz w:val="16"/>
                <w:szCs w:val="16"/>
                <w:color w:val="auto"/>
              </w:rPr>
              <w:t>Strategic alliance expense</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20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152 %</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20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161 %</w:t>
            </w:r>
          </w:p>
        </w:tc>
      </w:tr>
      <w:tr>
        <w:trPr>
          <w:trHeight w:val="226"/>
        </w:trPr>
        <w:tc>
          <w:tcPr>
            <w:tcW w:w="300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58,559</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39,736</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18,823</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47 %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163,089</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102,385</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60,704</w:t>
            </w: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59 %</w:t>
            </w:r>
          </w:p>
        </w:tc>
      </w:tr>
      <w:tr>
        <w:trPr>
          <w:trHeight w:val="20"/>
        </w:trPr>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9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September 30, 2023 and September 30, 2022</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Total operating expenses increased by $18.8 million, or 47%, to $58.6 million for the three months ended September 30, 2023 compared to the three months ended September 30, 2022. This increase was primarily due to increases in compensation and benefits.</w:t>
      </w:r>
    </w:p>
    <w:p>
      <w:pPr>
        <w:spacing w:after="0" w:line="170"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Compensation and benefits expense increased by $18.2 million, or 76%, to $42.2 million, for the three months ended September 30, 2023 compared to the three months ended September 30, 2022. The acquisition of WTI added $2.9 million of compensation expense in 2023. The earn out and bonus accruals associated with the acquisition of WTI as discussed in Note 14 in the Notes to the Consolidated Financial Statements contributed $6.5 million. An additional $4.4 million of the increase in compensation and benefits expense is attributable to management compensation as a result of amended employment agreements executed during the second quarter of 2023. The compensation expense associated with the CEO transition attributed to $4.9 million of the increase in compensation and benefits expense. The $4.9 million of Co-CEO succession compensation consists of $2.8 million of severance compensation and $2.1 million of accelerated expense associated with bonus payments. These expenses are further discussed in Note 14. Finally, there was a reduction in expense of $0.5 million related to forfeitures of stock options associated with employees who have left the Company prior to vesting.</w:t>
      </w:r>
    </w:p>
    <w:p>
      <w:pPr>
        <w:spacing w:after="0" w:line="165" w:lineRule="exact"/>
        <w:rPr>
          <w:sz w:val="20"/>
          <w:szCs w:val="20"/>
          <w:color w:val="auto"/>
        </w:rPr>
      </w:pPr>
    </w:p>
    <w:p>
      <w:pPr>
        <w:ind w:right="220" w:firstLine="509"/>
        <w:spacing w:after="0" w:line="308" w:lineRule="auto"/>
        <w:rPr>
          <w:sz w:val="20"/>
          <w:szCs w:val="20"/>
          <w:color w:val="auto"/>
        </w:rPr>
      </w:pPr>
      <w:r>
        <w:rPr>
          <w:rFonts w:ascii="Arial" w:cs="Arial" w:eastAsia="Arial" w:hAnsi="Arial"/>
          <w:sz w:val="17"/>
          <w:szCs w:val="17"/>
          <w:color w:val="auto"/>
        </w:rPr>
        <w:t>Professional fees decreased by $0.7 million, or 17%, to $3.4 million. The primary source of the decline in professional fees from the three months ended September 30, 2022 to the three months ended September 30, 2023 is the non-recurring cost of the acquisition of WTI in 2022.</w:t>
      </w:r>
    </w:p>
    <w:p>
      <w:pPr>
        <w:spacing w:after="0" w:line="146"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General, administrative and other increased by $1.3 million, or 32%, to $5.3 million, due primarily to the acquisition of WTI during the fourth quarter of 2022.</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Contingent consideration expense decreased by $1.3 million, to $0.1 million, for the three months ended September 30, 2023 as compared to the three months ended September 30, 2022. This was driven by remeasurement of contingent consideration payable in connection with the acquisition of Hark and Bonaccord The decrease was driven primarily by Hark, which has been fully accrued and paid out as of September 30, 2023. During the three months ended September 30, 2022, the Company recognized a higher expense as a result of changing conditions in the market, as informed by management at Hark at the time of remeasurement, which made it more probable that the contingent consideration would be paid.</w:t>
      </w:r>
    </w:p>
    <w:p>
      <w:pPr>
        <w:spacing w:after="0" w:line="176"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Amortization of intangibles increased by $1.2 million, or 19%, to $7.3 million, for the three months ended September 30, 2023 as compared to the three months ended September 30, 2022. This is due to the acquisition of WTI.</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Nine Months Ended September 30, 2023 and September 30, 2022</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Total operating expenses increased by $60.7 million, or 59%, to $163.1 million for the nine months ended September 30, 2023 compared to the nine months ended September 30, 2022. This increase was primarily due to increases in compensation and benefits as well as amortization expense, general, administrative and other expense, and professional fees.</w:t>
      </w:r>
    </w:p>
    <w:p>
      <w:pPr>
        <w:spacing w:after="0" w:line="184"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Compensation and benefits expense increased by $53.8 million, or 89%, to $114.1 million, for the nine months ended September 30, 2023 compared to the nine months ended September 30, 2022. The increase was driven by a number of factors. The acquisition of WTI added $8.9 million of compensation expense in 2023. There was an increase in stock compensation of $6.0 million of the increase, of which $2.0 million relates to acquisition activity.</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Management compensation contributed to the increase in stock compensation by $6.7 million as a result of amended employment agreements executed during the second quarter of 2023. The compensation expense associated with the CEO transition attributed to $4.9 million of the increase in compensation and benefits expense. The earn out and bonus accruals associated with the acquisition of WTI as discussed in Note 14 in the footnotes to the consolidated financial statements contributed $19.4 million. There was $1.3 million of compensation expense incurred associated with a performance-related bonus. Finally, $6.6 million of the increase was driven by an increase in headcount and associated benefits across all subsidiaries.</w:t>
      </w:r>
    </w:p>
    <w:p>
      <w:pPr>
        <w:spacing w:after="0" w:line="162"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Professional fees increased by $0.8 million, or 8%, to $10.2 million. The primary driver for the increase in professional fees for the nine months ended September 30, 2023 from 2022 is the acquisition of WTI and legal expenses related to the Oregon matter discussed in Note 14 to the Consolidated Financial Statements.</w:t>
      </w:r>
    </w:p>
    <w:p>
      <w:pPr>
        <w:spacing w:after="0" w:line="184" w:lineRule="exact"/>
        <w:rPr>
          <w:sz w:val="20"/>
          <w:szCs w:val="20"/>
          <w:color w:val="auto"/>
        </w:rPr>
      </w:pPr>
    </w:p>
    <w:p>
      <w:pPr>
        <w:ind w:right="140" w:firstLine="509"/>
        <w:spacing w:after="0" w:line="258" w:lineRule="auto"/>
        <w:rPr>
          <w:sz w:val="20"/>
          <w:szCs w:val="20"/>
          <w:color w:val="auto"/>
        </w:rPr>
      </w:pPr>
      <w:r>
        <w:rPr>
          <w:rFonts w:ascii="Arial" w:cs="Arial" w:eastAsia="Arial" w:hAnsi="Arial"/>
          <w:sz w:val="18"/>
          <w:szCs w:val="18"/>
          <w:color w:val="auto"/>
        </w:rPr>
        <w:t>General, administrative and other increased by $2.8 million, or 23%, to $15.2 million, due primarily to the acquisition of WTI as well as additional placement agent fees associated with increased revenues.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1" w:name="page42"/>
    <w:bookmarkEnd w:id="41"/>
    <w:p>
      <w:pPr>
        <w:jc w:val="both"/>
        <w:ind w:right="20" w:firstLine="509"/>
        <w:spacing w:after="0" w:line="263" w:lineRule="auto"/>
        <w:rPr>
          <w:sz w:val="20"/>
          <w:szCs w:val="20"/>
          <w:color w:val="auto"/>
        </w:rPr>
      </w:pPr>
      <w:r>
        <w:rPr>
          <w:rFonts w:ascii="Arial" w:cs="Arial" w:eastAsia="Arial" w:hAnsi="Arial"/>
          <w:sz w:val="18"/>
          <w:szCs w:val="18"/>
          <w:color w:val="auto"/>
        </w:rPr>
        <w:t>Contingent consideration expense decreased by $0.8 million, to $0.6 million, for the nine months ended September 30, 2023 as compared to the nine months ended September 30, 2022. This was driven by remeasurement of contingent consideration payable in connection with the acquisitions of Hark and Bonaccord.</w:t>
      </w:r>
    </w:p>
    <w:p>
      <w:pPr>
        <w:spacing w:after="0" w:line="184"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Amortization of intangibles increased by $3.4 million, or 18%, to $21.9 million, for the nine months ended September 30, 2023 as compared to the nine months ended September 30, 2022. This is due to the acquisition of WTI and offset by declines at ECG and RCP. The decline at ECG is driven by unique syndicate contracts' amortization schedule, which is based on projected revenue at the time of acquisition. The decline at RCP is driven by asset management fee contracts' amortization base, which is based on projected revenue at the time of acquisition and the projected revenues started slowing down in 2022.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September 30, 2023 and September 30, 2022</w:t>
      </w:r>
    </w:p>
    <w:p>
      <w:pPr>
        <w:spacing w:after="0" w:line="11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Other expenses increased by $5.2 million, or 237%, to $7.3 million for the three months ended September 30, 2023 compared to the three months ended September 30, 2022. This increase was driven by a rise in interest expense of $3.1 million. The increase in interest expense correlates to the increase in the principal balance outstanding of our Revolving Credit Facility and Term Loan of $90.3 million from the third quarter of 2022 to the third quarter of 2023 as well as rising interest rates. The increase in principal balances primarily relates to the acquisition of WTI. The remainder of the increase in other expenses is driven by the contingent loss accrual discussed in Note 14 to the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Nine Months Ended September 30, 2023 and September 30, 2022</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Other expenses increased by $14.7 million, or 370%, to $18.7 million for the nine months ended September 30, 2023 compared to the nine months ended September 30, 2022. This increase was driven by a rise in interest expense of $10.8 million. The increase in interest expense correlates to the increase in the principal balance outstanding of our Revolving Credit Facility and Term Loan of $90.3 million from the first nine months of 2022 to the first nine months of 2023 as well as rising interest rates. The increase in principal balances primarily relates to the acquisition of WTI. The remainder of the increase in other expenses is driven by the contingent loss accrual discussed in Note 14 to the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Expense/Benefit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September 30, 2023 and September 30, 2022</w:t>
      </w:r>
    </w:p>
    <w:p>
      <w:pPr>
        <w:spacing w:after="0" w:line="117" w:lineRule="exact"/>
        <w:rPr>
          <w:sz w:val="20"/>
          <w:szCs w:val="20"/>
          <w:color w:val="auto"/>
        </w:rPr>
      </w:pPr>
    </w:p>
    <w:p>
      <w:pPr>
        <w:ind w:right="480" w:firstLine="509"/>
        <w:spacing w:after="0" w:line="308" w:lineRule="auto"/>
        <w:rPr>
          <w:sz w:val="20"/>
          <w:szCs w:val="20"/>
          <w:color w:val="auto"/>
        </w:rPr>
      </w:pPr>
      <w:r>
        <w:rPr>
          <w:rFonts w:ascii="Arial" w:cs="Arial" w:eastAsia="Arial" w:hAnsi="Arial"/>
          <w:sz w:val="17"/>
          <w:szCs w:val="17"/>
          <w:color w:val="auto"/>
        </w:rPr>
        <w:t>Income tax expense decreased by $0.7 million to $1.8 million for the three months ended September 30, 2023 compared to an expense of $2.5 million for the three months ended September 30, 2022. The decrease was due to lower taxable income during the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Nine Months Ended September 30, 2023 and September 30, 2022</w:t>
      </w:r>
    </w:p>
    <w:p>
      <w:pPr>
        <w:spacing w:after="0" w:line="117" w:lineRule="exact"/>
        <w:rPr>
          <w:sz w:val="20"/>
          <w:szCs w:val="20"/>
          <w:color w:val="auto"/>
        </w:rPr>
      </w:pPr>
    </w:p>
    <w:p>
      <w:pPr>
        <w:ind w:right="540" w:firstLine="509"/>
        <w:spacing w:after="0" w:line="274" w:lineRule="auto"/>
        <w:rPr>
          <w:sz w:val="20"/>
          <w:szCs w:val="20"/>
          <w:color w:val="auto"/>
        </w:rPr>
      </w:pPr>
      <w:r>
        <w:rPr>
          <w:rFonts w:ascii="Arial" w:cs="Arial" w:eastAsia="Arial" w:hAnsi="Arial"/>
          <w:sz w:val="17"/>
          <w:szCs w:val="17"/>
          <w:color w:val="auto"/>
        </w:rPr>
        <w:t>Income tax expense decreased by $6.3 million to $2.8 million for the nine months ended September 30, 2023 compared to an expense of $9.1 million for the nine months ended September 30, 2022. The decrease was due to lower taxable income during the period.</w:t>
      </w: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FPAUM</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following table provides a period-to-period roll-forward of our fee paying assets under management on a pro forma basis as if WTI was acquired on January 1, 2022.</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w:t>
            </w: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For the three months</w:t>
            </w:r>
          </w:p>
        </w:tc>
        <w:tc>
          <w:tcPr>
            <w:tcW w:w="10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nine months</w:t>
            </w: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 nine months</w:t>
            </w:r>
          </w:p>
        </w:tc>
      </w:tr>
      <w:tr>
        <w:trPr>
          <w:trHeight w:val="186"/>
        </w:trPr>
        <w:tc>
          <w:tcPr>
            <w:tcW w:w="298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ended September 30,</w:t>
            </w: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ended September 30,</w:t>
            </w:r>
          </w:p>
        </w:tc>
        <w:tc>
          <w:tcPr>
            <w:tcW w:w="10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ended September 30,</w:t>
            </w: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ended September 30,</w:t>
            </w:r>
          </w:p>
        </w:tc>
      </w:tr>
      <w:tr>
        <w:trPr>
          <w:trHeight w:val="350"/>
        </w:trPr>
        <w:tc>
          <w:tcPr>
            <w:tcW w:w="2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24"/>
                <w:szCs w:val="24"/>
                <w:color w:val="auto"/>
              </w:rPr>
            </w:pPr>
          </w:p>
        </w:tc>
      </w:tr>
      <w:tr>
        <w:trPr>
          <w:trHeight w:val="169"/>
        </w:trPr>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4"/>
                <w:szCs w:val="14"/>
                <w:color w:val="auto"/>
              </w:rPr>
            </w:pPr>
          </w:p>
        </w:tc>
      </w:tr>
      <w:tr>
        <w:trPr>
          <w:trHeight w:val="24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20,178</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21,206</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19,031</w:t>
            </w:r>
          </w:p>
        </w:tc>
        <w:tc>
          <w:tcPr>
            <w:tcW w:w="80" w:type="dxa"/>
            <w:vAlign w:val="bottom"/>
            <w:shd w:val="clear" w:color="auto" w:fill="CFF0FC"/>
          </w:tcPr>
          <w:p>
            <w:pPr>
              <w:spacing w:after="0"/>
              <w:rPr>
                <w:sz w:val="21"/>
                <w:szCs w:val="2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980" w:type="dxa"/>
            <w:vAlign w:val="bottom"/>
          </w:tcPr>
          <w:p>
            <w:pPr>
              <w:ind w:left="360"/>
              <w:spacing w:after="0" w:line="243"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2,136</w:t>
            </w:r>
          </w:p>
        </w:tc>
        <w:tc>
          <w:tcPr>
            <w:tcW w:w="80" w:type="dxa"/>
            <w:vAlign w:val="bottom"/>
          </w:tcPr>
          <w:p>
            <w:pPr>
              <w:spacing w:after="0"/>
              <w:rPr>
                <w:sz w:val="21"/>
                <w:szCs w:val="21"/>
                <w:color w:val="auto"/>
              </w:rPr>
            </w:pPr>
          </w:p>
        </w:tc>
      </w:tr>
      <w:tr>
        <w:trPr>
          <w:trHeight w:val="243"/>
        </w:trPr>
        <w:tc>
          <w:tcPr>
            <w:tcW w:w="2980" w:type="dxa"/>
            <w:vAlign w:val="bottom"/>
            <w:shd w:val="clear" w:color="auto" w:fill="CFF0FC"/>
          </w:tcPr>
          <w:p>
            <w:pPr>
              <w:ind w:left="360"/>
              <w:spacing w:after="0" w:line="243"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FF0FC"/>
          </w:tcPr>
          <w:p>
            <w:pPr>
              <w:spacing w:after="0"/>
              <w:rPr>
                <w:sz w:val="21"/>
                <w:szCs w:val="21"/>
                <w:color w:val="auto"/>
              </w:rPr>
            </w:pPr>
          </w:p>
        </w:tc>
      </w:tr>
      <w:tr>
        <w:trPr>
          <w:trHeight w:val="243"/>
        </w:trPr>
        <w:tc>
          <w:tcPr>
            <w:tcW w:w="2980" w:type="dxa"/>
            <w:vAlign w:val="bottom"/>
          </w:tcPr>
          <w:p>
            <w:pPr>
              <w:ind w:left="360"/>
              <w:spacing w:after="0" w:line="243"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20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(70 )</w:t>
            </w:r>
          </w:p>
        </w:tc>
        <w:tc>
          <w:tcPr>
            <w:tcW w:w="22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(117 )</w:t>
            </w:r>
          </w:p>
        </w:tc>
        <w:tc>
          <w:tcPr>
            <w:tcW w:w="12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(152 )</w:t>
            </w:r>
          </w:p>
        </w:tc>
      </w:tr>
      <w:tr>
        <w:trPr>
          <w:trHeight w:val="243"/>
        </w:trPr>
        <w:tc>
          <w:tcPr>
            <w:tcW w:w="2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2980" w:type="dxa"/>
            <w:vAlign w:val="bottom"/>
          </w:tcPr>
          <w:p>
            <w:pPr>
              <w:ind w:left="360"/>
              <w:spacing w:after="0"/>
              <w:rPr>
                <w:sz w:val="20"/>
                <w:szCs w:val="20"/>
                <w:color w:val="auto"/>
              </w:rPr>
            </w:pPr>
            <w:r>
              <w:rPr>
                <w:rFonts w:ascii="Arial" w:cs="Arial" w:eastAsia="Arial" w:hAnsi="Arial"/>
                <w:sz w:val="18"/>
                <w:szCs w:val="18"/>
                <w:color w:val="auto"/>
              </w:rPr>
              <w:t>Scheduled fee base stepdowns</w:t>
            </w:r>
          </w:p>
        </w:tc>
        <w:tc>
          <w:tcPr>
            <w:tcW w:w="2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(37 )</w:t>
            </w:r>
          </w:p>
        </w:tc>
        <w:tc>
          <w:tcPr>
            <w:tcW w:w="2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(361 )</w:t>
            </w:r>
          </w:p>
        </w:tc>
        <w:tc>
          <w:tcPr>
            <w:tcW w:w="10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(321 )</w:t>
            </w:r>
          </w:p>
        </w:tc>
        <w:tc>
          <w:tcPr>
            <w:tcW w:w="12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(492 )</w:t>
            </w:r>
          </w:p>
        </w:tc>
      </w:tr>
      <w:tr>
        <w:trPr>
          <w:trHeight w:val="243"/>
        </w:trPr>
        <w:tc>
          <w:tcPr>
            <w:tcW w:w="2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Expiration of fee period</w:t>
            </w: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(953 )</w:t>
            </w: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(603 )</w:t>
            </w:r>
          </w:p>
        </w:tc>
      </w:tr>
      <w:tr>
        <w:trPr>
          <w:trHeight w:val="236"/>
        </w:trPr>
        <w:tc>
          <w:tcPr>
            <w:tcW w:w="29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22,696</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20,651</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22,696</w:t>
            </w: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20,651</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-170815</wp:posOffset>
            </wp:positionV>
            <wp:extent cx="5969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-170815</wp:posOffset>
            </wp:positionV>
            <wp:extent cx="60325"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5143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-170815</wp:posOffset>
            </wp:positionV>
            <wp:extent cx="51435"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spacing w:after="0" w:line="9" w:lineRule="exact"/>
        <w:rPr>
          <w:rFonts w:ascii="Arial" w:cs="Arial" w:eastAsia="Arial" w:hAnsi="Arial"/>
          <w:sz w:val="18"/>
          <w:szCs w:val="18"/>
          <w:color w:val="auto"/>
        </w:rPr>
      </w:pPr>
    </w:p>
    <w:p>
      <w:pPr>
        <w:ind w:left="520" w:hanging="512"/>
        <w:spacing w:after="0" w:line="26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period-to-period roll-forward of our fee paying assets under management on an actual basis.</w:t>
      </w:r>
    </w:p>
    <w:p>
      <w:pPr>
        <w:spacing w:after="0" w:line="218"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For the three months</w:t>
            </w:r>
          </w:p>
        </w:tc>
        <w:tc>
          <w:tcPr>
            <w:tcW w:w="14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For the three months</w:t>
            </w: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For the nine months</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For the nine months</w:t>
            </w:r>
          </w:p>
        </w:tc>
      </w:tr>
      <w:tr>
        <w:trPr>
          <w:trHeight w:val="186"/>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ended September 30,</w:t>
            </w:r>
          </w:p>
        </w:tc>
        <w:tc>
          <w:tcPr>
            <w:tcW w:w="14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ended September 30,</w:t>
            </w: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ended September 30,</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6"/>
              </w:rPr>
              <w:t>ended September 30,</w:t>
            </w:r>
          </w:p>
        </w:tc>
      </w:tr>
      <w:tr>
        <w:trPr>
          <w:trHeight w:val="350"/>
        </w:trPr>
        <w:tc>
          <w:tcPr>
            <w:tcW w:w="2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r>
      <w:tr>
        <w:trPr>
          <w:trHeight w:val="169"/>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4"/>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r>
      <w:tr>
        <w:trPr>
          <w:trHeight w:val="243"/>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21,206</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17,263</w:t>
            </w:r>
          </w:p>
        </w:tc>
        <w:tc>
          <w:tcPr>
            <w:tcW w:w="80" w:type="dxa"/>
            <w:vAlign w:val="bottom"/>
            <w:shd w:val="clear" w:color="auto" w:fill="CFF0FC"/>
          </w:tcPr>
          <w:p>
            <w:pPr>
              <w:spacing w:after="0"/>
              <w:rPr>
                <w:sz w:val="21"/>
                <w:szCs w:val="21"/>
                <w:color w:val="auto"/>
              </w:rPr>
            </w:pPr>
          </w:p>
        </w:tc>
      </w:tr>
      <w:tr>
        <w:trPr>
          <w:trHeight w:val="237"/>
        </w:trPr>
        <w:tc>
          <w:tcPr>
            <w:tcW w:w="2700" w:type="dxa"/>
            <w:vAlign w:val="bottom"/>
          </w:tcPr>
          <w:p>
            <w:pPr>
              <w:ind w:left="200"/>
              <w:spacing w:after="0"/>
              <w:rPr>
                <w:sz w:val="20"/>
                <w:szCs w:val="20"/>
                <w:color w:val="auto"/>
              </w:rPr>
            </w:pPr>
            <w:r>
              <w:rPr>
                <w:rFonts w:ascii="Arial" w:cs="Arial" w:eastAsia="Arial" w:hAnsi="Arial"/>
                <w:sz w:val="18"/>
                <w:szCs w:val="18"/>
                <w:color w:val="auto"/>
              </w:rPr>
              <w:t>Add:</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2,136</w:t>
            </w:r>
          </w:p>
        </w:tc>
        <w:tc>
          <w:tcPr>
            <w:tcW w:w="80" w:type="dxa"/>
            <w:vAlign w:val="bottom"/>
          </w:tcPr>
          <w:p>
            <w:pPr>
              <w:spacing w:after="0"/>
              <w:rPr>
                <w:sz w:val="21"/>
                <w:szCs w:val="21"/>
                <w:color w:val="auto"/>
              </w:rPr>
            </w:pPr>
          </w:p>
        </w:tc>
      </w:tr>
      <w:tr>
        <w:trPr>
          <w:trHeight w:val="243"/>
        </w:trPr>
        <w:tc>
          <w:tcPr>
            <w:tcW w:w="2700" w:type="dxa"/>
            <w:vAlign w:val="bottom"/>
            <w:shd w:val="clear" w:color="auto" w:fill="CFF0FC"/>
          </w:tcPr>
          <w:p>
            <w:pPr>
              <w:ind w:left="380"/>
              <w:spacing w:after="0" w:line="243"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FF0FC"/>
          </w:tcPr>
          <w:p>
            <w:pPr>
              <w:spacing w:after="0"/>
              <w:rPr>
                <w:sz w:val="21"/>
                <w:szCs w:val="21"/>
                <w:color w:val="auto"/>
              </w:rPr>
            </w:pPr>
          </w:p>
        </w:tc>
      </w:tr>
      <w:tr>
        <w:trPr>
          <w:trHeight w:val="243"/>
        </w:trPr>
        <w:tc>
          <w:tcPr>
            <w:tcW w:w="270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12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(70 )</w:t>
            </w:r>
          </w:p>
        </w:tc>
        <w:tc>
          <w:tcPr>
            <w:tcW w:w="14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(117 )</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r>
      <w:tr>
        <w:trPr>
          <w:trHeight w:val="243"/>
        </w:trPr>
        <w:tc>
          <w:tcPr>
            <w:tcW w:w="2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15"/>
        </w:trPr>
        <w:tc>
          <w:tcPr>
            <w:tcW w:w="2700" w:type="dxa"/>
            <w:vAlign w:val="bottom"/>
          </w:tcPr>
          <w:p>
            <w:pPr>
              <w:ind w:left="380"/>
              <w:spacing w:after="0"/>
              <w:rPr>
                <w:sz w:val="20"/>
                <w:szCs w:val="20"/>
                <w:color w:val="auto"/>
              </w:rPr>
            </w:pPr>
            <w:r>
              <w:rPr>
                <w:rFonts w:ascii="Arial" w:cs="Arial" w:eastAsia="Arial" w:hAnsi="Arial"/>
                <w:sz w:val="18"/>
                <w:szCs w:val="18"/>
                <w:color w:val="auto"/>
              </w:rPr>
              <w:t>Scheduled fee base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2700" w:type="dxa"/>
            <w:vAlign w:val="bottom"/>
          </w:tcPr>
          <w:p>
            <w:pPr>
              <w:ind w:left="380"/>
              <w:spacing w:after="0"/>
              <w:rPr>
                <w:sz w:val="20"/>
                <w:szCs w:val="20"/>
                <w:color w:val="auto"/>
              </w:rPr>
            </w:pPr>
            <w:r>
              <w:rPr>
                <w:rFonts w:ascii="Arial" w:cs="Arial" w:eastAsia="Arial" w:hAnsi="Arial"/>
                <w:sz w:val="18"/>
                <w:szCs w:val="18"/>
                <w:color w:val="auto"/>
              </w:rPr>
              <w:t>stepdowns</w:t>
            </w:r>
          </w:p>
        </w:tc>
        <w:tc>
          <w:tcPr>
            <w:tcW w:w="12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(37 )</w:t>
            </w:r>
          </w:p>
        </w:tc>
        <w:tc>
          <w:tcPr>
            <w:tcW w:w="14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(353 )</w:t>
            </w:r>
          </w:p>
        </w:tc>
        <w:tc>
          <w:tcPr>
            <w:tcW w:w="2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(321 )</w:t>
            </w:r>
          </w:p>
        </w:tc>
        <w:tc>
          <w:tcPr>
            <w:tcW w:w="1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(462 )</w:t>
            </w:r>
          </w:p>
        </w:tc>
      </w:tr>
      <w:tr>
        <w:trPr>
          <w:trHeight w:val="243"/>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Expiration of fee period</w:t>
            </w: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(61 )</w:t>
            </w:r>
          </w:p>
        </w:tc>
        <w:tc>
          <w:tcPr>
            <w:tcW w:w="1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(19 )</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(953 )</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(603 )</w:t>
            </w:r>
          </w:p>
        </w:tc>
      </w:tr>
      <w:tr>
        <w:trPr>
          <w:trHeight w:val="237"/>
        </w:trPr>
        <w:tc>
          <w:tcPr>
            <w:tcW w:w="2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22,696</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22,696</w:t>
            </w:r>
          </w:p>
        </w:tc>
        <w:tc>
          <w:tcPr>
            <w:tcW w:w="1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-170815</wp:posOffset>
            </wp:positionV>
            <wp:extent cx="60325"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5969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5143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51435"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spacing w:after="0" w:line="9"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665" w:right="6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FPAUM as of September 30, 2023</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FPAUM increased by $0.5 billion or 2.4% to $22.7 billion on a pro forma basis and actual basis for the three months ended September 30, 2023, due primarily to an increase in capital raised and deployed from our private equity and venture capital solutions and offset by net asset value change, stepdowns, and expirations. FPAUM increased by $1.5 billion, or 7.0%, to $22.7 billion on a pro forma basis and actual basis for the nine months ended September 30, 2023, due primarily to an increase in capital raised and deployed from our private equity and venture capital solutions and offset by stepdowns and expirations.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57" w:lineRule="exact"/>
        <w:rPr>
          <w:sz w:val="20"/>
          <w:szCs w:val="20"/>
          <w:color w:val="auto"/>
        </w:rPr>
      </w:pPr>
    </w:p>
    <w:p>
      <w:pPr>
        <w:ind w:right="260" w:firstLine="509"/>
        <w:spacing w:after="0" w:line="286" w:lineRule="auto"/>
        <w:rPr>
          <w:sz w:val="20"/>
          <w:szCs w:val="20"/>
          <w:color w:val="auto"/>
        </w:rPr>
      </w:pPr>
      <w:r>
        <w:rPr>
          <w:rFonts w:ascii="Arial" w:cs="Arial" w:eastAsia="Arial" w:hAnsi="Arial"/>
          <w:sz w:val="16"/>
          <w:szCs w:val="16"/>
          <w:color w:val="auto"/>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4" w:name="page45"/>
    <w:bookmarkEnd w:id="44"/>
    <w:p>
      <w:pPr>
        <w:ind w:left="520"/>
        <w:spacing w:after="0"/>
        <w:rPr>
          <w:sz w:val="20"/>
          <w:szCs w:val="20"/>
          <w:color w:val="auto"/>
        </w:rPr>
      </w:pPr>
      <w:r>
        <w:rPr>
          <w:rFonts w:ascii="Arial" w:cs="Arial" w:eastAsia="Arial" w:hAnsi="Arial"/>
          <w:sz w:val="18"/>
          <w:szCs w:val="18"/>
          <w:color w:val="auto"/>
        </w:rPr>
        <w:t>In order to compute Adjusted EBITDA, we adjust our GAAP net (loss)/income for the following items:</w:t>
      </w:r>
    </w:p>
    <w:p>
      <w:pPr>
        <w:spacing w:after="0" w:line="117" w:lineRule="exact"/>
        <w:rPr>
          <w:sz w:val="20"/>
          <w:szCs w:val="20"/>
          <w:color w:val="auto"/>
        </w:rPr>
      </w:pPr>
    </w:p>
    <w:p>
      <w:pPr>
        <w:ind w:left="1020" w:right="5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that typically do not require us to pay them in cash in the current period (such as depreciation, amortization and stock-based compensation);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financing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One-time expenses related to restructuring of the management team including signing bonus, severance, and placement/search fees;</w:t>
      </w:r>
    </w:p>
    <w:p>
      <w:pPr>
        <w:spacing w:after="0" w:line="128" w:lineRule="exact"/>
        <w:rPr>
          <w:rFonts w:ascii="Arial" w:cs="Arial" w:eastAsia="Arial" w:hAnsi="Arial"/>
          <w:sz w:val="17"/>
          <w:szCs w:val="17"/>
          <w:color w:val="auto"/>
        </w:rPr>
      </w:pPr>
    </w:p>
    <w:p>
      <w:pPr>
        <w:ind w:left="1020" w:right="6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acquisition;and</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income taxes.</w:t>
      </w:r>
    </w:p>
    <w:p>
      <w:pPr>
        <w:spacing w:after="0" w:line="22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cash income taxes paid during the periods differ significantly from the net income tax expense, which is primarily comprised of deferred tax expense as described in the results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ind w:left="740"/>
              <w:spacing w:after="0"/>
              <w:rPr>
                <w:sz w:val="20"/>
                <w:szCs w:val="20"/>
                <w:color w:val="auto"/>
              </w:rPr>
            </w:pPr>
            <w:r>
              <w:rPr>
                <w:rFonts w:ascii="Arial" w:cs="Arial" w:eastAsia="Arial" w:hAnsi="Arial"/>
                <w:sz w:val="14"/>
                <w:szCs w:val="14"/>
                <w:b w:val="1"/>
                <w:bCs w:val="1"/>
                <w:color w:val="auto"/>
              </w:rPr>
              <w:t>For the Three</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ind w:left="760"/>
              <w:spacing w:after="0"/>
              <w:rPr>
                <w:sz w:val="20"/>
                <w:szCs w:val="20"/>
                <w:color w:val="auto"/>
              </w:rPr>
            </w:pPr>
            <w:r>
              <w:rPr>
                <w:rFonts w:ascii="Arial" w:cs="Arial" w:eastAsia="Arial" w:hAnsi="Arial"/>
                <w:sz w:val="14"/>
                <w:szCs w:val="14"/>
                <w:b w:val="1"/>
                <w:bCs w:val="1"/>
                <w:color w:val="auto"/>
              </w:rPr>
              <w:t>For the Nine</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ind w:left="720"/>
              <w:spacing w:after="0"/>
              <w:rPr>
                <w:sz w:val="20"/>
                <w:szCs w:val="20"/>
                <w:color w:val="auto"/>
              </w:rPr>
            </w:pPr>
            <w:r>
              <w:rPr>
                <w:rFonts w:ascii="Arial" w:cs="Arial" w:eastAsia="Arial" w:hAnsi="Arial"/>
                <w:sz w:val="14"/>
                <w:szCs w:val="14"/>
                <w:b w:val="1"/>
                <w:bCs w:val="1"/>
                <w:color w:val="auto"/>
              </w:rPr>
              <w:t>Months Ended</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ind w:left="700"/>
              <w:spacing w:after="0"/>
              <w:rPr>
                <w:sz w:val="20"/>
                <w:szCs w:val="20"/>
                <w:color w:val="auto"/>
              </w:rPr>
            </w:pPr>
            <w:r>
              <w:rPr>
                <w:rFonts w:ascii="Arial" w:cs="Arial" w:eastAsia="Arial" w:hAnsi="Arial"/>
                <w:sz w:val="14"/>
                <w:szCs w:val="14"/>
                <w:b w:val="1"/>
                <w:bCs w:val="1"/>
                <w:color w:val="auto"/>
              </w:rPr>
              <w:t>Months Ended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ind w:left="740"/>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74"/>
              </w:rPr>
              <w:t>thousands)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ind w:left="700"/>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71"/>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(loss)/income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(8,750 )</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(5,879 )</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&amp; amortization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5,482</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Non-recurring expenses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5,493</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stock based compensation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7,871</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Non-cash stock based compensation - acquisitions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1,122</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stock based compensation - CEO transition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Earn out related compensation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29,630</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27,772</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92,865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75,972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Less: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interest expense</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(5,048 )</w:t>
            </w:r>
          </w:p>
        </w:tc>
        <w:tc>
          <w:tcPr>
            <w:tcW w:w="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(2,332 )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(15,051 )</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(4,622 )</w:t>
            </w:r>
          </w:p>
        </w:tc>
        <w:tc>
          <w:tcPr>
            <w:tcW w:w="0" w:type="dxa"/>
            <w:vAlign w:val="bottom"/>
          </w:tcPr>
          <w:p>
            <w:pPr>
              <w:spacing w:after="0"/>
              <w:rPr>
                <w:sz w:val="1"/>
                <w:szCs w:val="1"/>
                <w:color w:val="auto"/>
              </w:rPr>
            </w:pPr>
          </w:p>
        </w:tc>
      </w:tr>
      <w:tr>
        <w:trPr>
          <w:trHeight w:val="215"/>
        </w:trPr>
        <w:tc>
          <w:tcPr>
            <w:tcW w:w="4960" w:type="dxa"/>
            <w:vAlign w:val="bottom"/>
          </w:tcPr>
          <w:p>
            <w:pPr>
              <w:ind w:left="200"/>
              <w:spacing w:after="0"/>
              <w:rPr>
                <w:sz w:val="20"/>
                <w:szCs w:val="20"/>
                <w:color w:val="auto"/>
              </w:rPr>
            </w:pPr>
            <w:r>
              <w:rPr>
                <w:rFonts w:ascii="Arial" w:cs="Arial" w:eastAsia="Arial" w:hAnsi="Arial"/>
                <w:sz w:val="18"/>
                <w:szCs w:val="18"/>
                <w:color w:val="auto"/>
              </w:rPr>
              <w:t>Cash income taxes, net of taxes related to</w:t>
            </w:r>
          </w:p>
        </w:tc>
        <w:tc>
          <w:tcPr>
            <w:tcW w:w="320" w:type="dxa"/>
            <w:vAlign w:val="bottom"/>
          </w:tcPr>
          <w:p>
            <w:pPr>
              <w:spacing w:after="0"/>
              <w:rPr>
                <w:sz w:val="18"/>
                <w:szCs w:val="18"/>
                <w:color w:val="auto"/>
              </w:rPr>
            </w:pPr>
          </w:p>
        </w:tc>
        <w:tc>
          <w:tcPr>
            <w:tcW w:w="1320" w:type="dxa"/>
            <w:vAlign w:val="bottom"/>
            <w:gridSpan w:val="2"/>
            <w:vMerge w:val="restart"/>
          </w:tcPr>
          <w:p>
            <w:pPr>
              <w:jc w:val="right"/>
              <w:ind w:right="128"/>
              <w:spacing w:after="0"/>
              <w:rPr>
                <w:sz w:val="20"/>
                <w:szCs w:val="20"/>
                <w:color w:val="auto"/>
              </w:rPr>
            </w:pPr>
            <w:r>
              <w:rPr>
                <w:rFonts w:ascii="Arial" w:cs="Arial" w:eastAsia="Arial" w:hAnsi="Arial"/>
                <w:sz w:val="18"/>
                <w:szCs w:val="18"/>
                <w:color w:val="auto"/>
              </w:rPr>
              <w:t>(245 )</w:t>
            </w:r>
          </w:p>
        </w:tc>
        <w:tc>
          <w:tcPr>
            <w:tcW w:w="420" w:type="dxa"/>
            <w:vAlign w:val="bottom"/>
          </w:tcPr>
          <w:p>
            <w:pPr>
              <w:spacing w:after="0"/>
              <w:rPr>
                <w:sz w:val="18"/>
                <w:szCs w:val="18"/>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(310 )</w:t>
            </w:r>
          </w:p>
        </w:tc>
        <w:tc>
          <w:tcPr>
            <w:tcW w:w="320" w:type="dxa"/>
            <w:vAlign w:val="bottom"/>
          </w:tcPr>
          <w:p>
            <w:pPr>
              <w:spacing w:after="0"/>
              <w:rPr>
                <w:sz w:val="18"/>
                <w:szCs w:val="18"/>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(1,332 )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(738 )</w:t>
            </w:r>
          </w:p>
        </w:tc>
        <w:tc>
          <w:tcPr>
            <w:tcW w:w="0" w:type="dxa"/>
            <w:vAlign w:val="bottom"/>
          </w:tcPr>
          <w:p>
            <w:pPr>
              <w:spacing w:after="0"/>
              <w:rPr>
                <w:sz w:val="1"/>
                <w:szCs w:val="1"/>
                <w:color w:val="auto"/>
              </w:rPr>
            </w:pPr>
          </w:p>
        </w:tc>
      </w:tr>
      <w:tr>
        <w:trPr>
          <w:trHeight w:val="230"/>
        </w:trPr>
        <w:tc>
          <w:tcPr>
            <w:tcW w:w="496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24,337</w:t>
            </w:r>
          </w:p>
        </w:tc>
        <w:tc>
          <w:tcPr>
            <w:tcW w:w="2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25,130</w:t>
            </w:r>
          </w:p>
        </w:tc>
        <w:tc>
          <w:tcPr>
            <w:tcW w:w="2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76,482</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70,612</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-788035</wp:posOffset>
            </wp:positionV>
            <wp:extent cx="77470" cy="163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-788035</wp:posOffset>
            </wp:positionV>
            <wp:extent cx="68580" cy="1631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-788035</wp:posOffset>
            </wp:positionV>
            <wp:extent cx="68580" cy="163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163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Statements of Financial Position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5"/>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Arial" w:cs="Arial" w:eastAsia="Arial" w:hAnsi="Arial"/>
                <w:sz w:val="14"/>
                <w:szCs w:val="14"/>
                <w:b w:val="1"/>
                <w:bCs w:val="1"/>
                <w:color w:val="auto"/>
              </w:rPr>
              <w:t>(in</w:t>
            </w:r>
          </w:p>
        </w:tc>
        <w:tc>
          <w:tcPr>
            <w:tcW w:w="1620" w:type="dxa"/>
            <w:vAlign w:val="bottom"/>
            <w:gridSpan w:val="3"/>
          </w:tcPr>
          <w:p>
            <w:pPr>
              <w:jc w:val="right"/>
              <w:ind w:right="976"/>
              <w:spacing w:after="0"/>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(including restricted cash)</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22,218</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29,492</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(7,274 )</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(25)%</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Goodwill and other intangibles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636,560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658,433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(21,873 )</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(3)%</w:t>
            </w: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814,758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(11,602 )</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52,144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33,244</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176%</w:t>
            </w: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obligations</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261,935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289,224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(27,289 )</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(9)%</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427,555</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433,883</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(6,328 )</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(1)%</w:t>
            </w:r>
          </w:p>
        </w:tc>
      </w:tr>
    </w:tbl>
    <w:p>
      <w:pPr>
        <w:spacing w:after="0" w:line="25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There was a decrease in cash and cash equivalents of $7.3 million from December 31, 2022 to $22.2 million as of September 30, 2023 primarily due to timing of debt facility interest periods and associated repayments. There was a decrease in goodwill and intangible assets of $21.8 million due to amortization of intangibles during the nine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40"/>
        <w:spacing w:after="0" w:line="257" w:lineRule="auto"/>
        <w:rPr>
          <w:sz w:val="20"/>
          <w:szCs w:val="20"/>
          <w:color w:val="auto"/>
        </w:rPr>
      </w:pPr>
      <w:r>
        <w:rPr>
          <w:rFonts w:ascii="Arial" w:cs="Arial" w:eastAsia="Arial" w:hAnsi="Arial"/>
          <w:sz w:val="18"/>
          <w:szCs w:val="18"/>
          <w:color w:val="auto"/>
        </w:rPr>
        <w:t>September 30, 2023. Remaining total assets increased in the same period by $19.0 million. The increase is driven by an increase in accounts receivable from related parties which is primarily due to ECG's Advisory Agreement with Enhanced PC and Crossroads. Accrued compensation and benefits increased $33.2 million to $52.1 million during the nine months ended September 30, 2023, $25.3 million of this increase was driven by the WTI earnout and bonus payment discussed in Note 14 and the Hark and Bonaccord RSUs discussed in Note 16. Debt obligations declined by $27.3 million as a result of payments on the revolver and term loan balances during the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Liquidity and Capital Resources</w:t>
      </w:r>
    </w:p>
    <w:p>
      <w:pPr>
        <w:spacing w:after="0" w:line="117"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84" w:lineRule="exact"/>
        <w:rPr>
          <w:sz w:val="20"/>
          <w:szCs w:val="20"/>
          <w:color w:val="auto"/>
        </w:rPr>
      </w:pPr>
    </w:p>
    <w:p>
      <w:pPr>
        <w:ind w:right="320" w:firstLine="509"/>
        <w:spacing w:after="0" w:line="255" w:lineRule="auto"/>
        <w:rPr>
          <w:sz w:val="20"/>
          <w:szCs w:val="20"/>
          <w:color w:val="auto"/>
        </w:rPr>
      </w:pPr>
      <w:r>
        <w:rPr>
          <w:rFonts w:ascii="Arial" w:cs="Arial" w:eastAsia="Arial" w:hAnsi="Arial"/>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 which we exercised in September 2022. The accordion was not drawn until October 2022, at which point it was divided to $87.5 million of term loan and $37.5 million of revolver. The Company incurred $1.4 million of up front fees during the exercise which are reflected as debt obligations on the Consolidated Balance Sheets.</w:t>
      </w:r>
    </w:p>
    <w:p>
      <w:pPr>
        <w:spacing w:after="0" w:line="192"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Both facilities are Term SOFR Loans.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w:t>
      </w:r>
    </w:p>
    <w:p>
      <w:pPr>
        <w:spacing w:after="0" w:line="184"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As of September 30, 2023, the Term Loan with a balance of $204.5 million is incurring interest at a weighted average SOFR rate of 7.28%. As of September 30, 2023, the Revolver Facility is split into six tranches. The total principal outstanding is $60.5 million and the average SOFR rate amongst the tranches is 7.49%. The tranches are all incurring interest at a set rate for one, three, or six month periods and are subsequently reset at the current SOFR rate. Refer to Note 12 for further details provided on the tranches and associated interest periods.</w:t>
      </w:r>
    </w:p>
    <w:p>
      <w:pPr>
        <w:spacing w:after="0" w:line="171"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The Credit Agreement contains affirmative and negative covenants typical of such financing transactions, and specific financial covenants which require P10 to maintain a minimum leverage ratio of less than or equal to 3.50. As of September 30, 2023, P10 was in compliance with its financial covenants required under the facility. The Company has incurred $16.1 million in interest expense for the nine months ended September 30, 2023.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the Nine Months Ended September 30,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our cash flows for the nine months ended September 30, 2023 and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For the Nine Months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w w:val="74"/>
              </w:rPr>
              <w:t>thousands)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45,807</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16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0"/>
                <w:szCs w:val="20"/>
                <w:color w:val="auto"/>
              </w:rPr>
            </w:pPr>
          </w:p>
        </w:tc>
        <w:tc>
          <w:tcPr>
            <w:tcW w:w="1120" w:type="dxa"/>
            <w:vAlign w:val="bottom"/>
            <w:gridSpan w:val="2"/>
          </w:tcPr>
          <w:p>
            <w:pPr>
              <w:jc w:val="right"/>
              <w:ind w:right="113"/>
              <w:spacing w:after="0"/>
              <w:rPr>
                <w:sz w:val="20"/>
                <w:szCs w:val="20"/>
                <w:color w:val="auto"/>
              </w:rPr>
            </w:pPr>
            <w:r>
              <w:rPr>
                <w:rFonts w:ascii="Arial" w:cs="Arial" w:eastAsia="Arial" w:hAnsi="Arial"/>
                <w:sz w:val="18"/>
                <w:szCs w:val="18"/>
                <w:color w:val="auto"/>
              </w:rPr>
              <w:t>(727 )</w:t>
            </w:r>
          </w:p>
        </w:tc>
        <w:tc>
          <w:tcPr>
            <w:tcW w:w="4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(1,554 )</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827</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(53)%</w:t>
            </w:r>
          </w:p>
        </w:tc>
        <w:tc>
          <w:tcPr>
            <w:tcW w:w="0" w:type="dxa"/>
            <w:vAlign w:val="bottom"/>
          </w:tcPr>
          <w:p>
            <w:pPr>
              <w:spacing w:after="0"/>
              <w:rPr>
                <w:sz w:val="1"/>
                <w:szCs w:val="1"/>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13"/>
              <w:spacing w:after="0"/>
              <w:rPr>
                <w:sz w:val="20"/>
                <w:szCs w:val="20"/>
                <w:color w:val="auto"/>
              </w:rPr>
            </w:pPr>
            <w:r>
              <w:rPr>
                <w:rFonts w:ascii="Arial" w:cs="Arial" w:eastAsia="Arial" w:hAnsi="Arial"/>
                <w:sz w:val="18"/>
                <w:szCs w:val="18"/>
                <w:color w:val="auto"/>
              </w:rPr>
              <w:t>(52,354 )</w:t>
            </w: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(65,112 )</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12,759</w:t>
            </w:r>
          </w:p>
        </w:tc>
        <w:tc>
          <w:tcPr>
            <w:tcW w:w="16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44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 and</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13"/>
              <w:spacing w:after="0"/>
              <w:rPr>
                <w:sz w:val="20"/>
                <w:szCs w:val="20"/>
                <w:color w:val="auto"/>
              </w:rPr>
            </w:pPr>
            <w:r>
              <w:rPr>
                <w:rFonts w:ascii="Arial" w:cs="Arial" w:eastAsia="Arial" w:hAnsi="Arial"/>
                <w:sz w:val="18"/>
                <w:szCs w:val="18"/>
                <w:color w:val="auto"/>
              </w:rPr>
              <w:t>(7,274 )</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(22,720 )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15,448</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8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(68)%</w:t>
            </w:r>
          </w:p>
        </w:tc>
        <w:tc>
          <w:tcPr>
            <w:tcW w:w="0" w:type="dxa"/>
            <w:vAlign w:val="bottom"/>
          </w:tcPr>
          <w:p>
            <w:pPr>
              <w:spacing w:after="0"/>
              <w:rPr>
                <w:sz w:val="1"/>
                <w:szCs w:val="1"/>
                <w:color w:val="auto"/>
              </w:rPr>
            </w:pPr>
          </w:p>
        </w:tc>
      </w:tr>
      <w:tr>
        <w:trPr>
          <w:trHeight w:val="426"/>
        </w:trPr>
        <w:tc>
          <w:tcPr>
            <w:tcW w:w="5440" w:type="dxa"/>
            <w:vAlign w:val="bottom"/>
          </w:tcPr>
          <w:p>
            <w:pPr>
              <w:spacing w:after="0"/>
              <w:rPr>
                <w:sz w:val="24"/>
                <w:szCs w:val="24"/>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-814070</wp:posOffset>
            </wp:positionV>
            <wp:extent cx="76835" cy="4546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45466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-814070</wp:posOffset>
            </wp:positionV>
            <wp:extent cx="68580" cy="4546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45466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-814070</wp:posOffset>
            </wp:positionV>
            <wp:extent cx="68580" cy="4546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4546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and September 30, 2022</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Cash from operating activities increased by $1.9 million, or 4%, to $45.8 million for the nine months ended September 30, 2023 compared to the nine months ended September 30, 2022. The components of this net increase primarily consisted of the following changes in operating assets and liabilities:</w:t>
      </w:r>
    </w:p>
    <w:p>
      <w:pPr>
        <w:spacing w:after="0" w:line="292" w:lineRule="exact"/>
        <w:rPr>
          <w:sz w:val="20"/>
          <w:szCs w:val="20"/>
          <w:color w:val="auto"/>
        </w:rPr>
      </w:pPr>
    </w:p>
    <w:p>
      <w:pPr>
        <w:ind w:left="1020" w:right="36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revenues of $38.7 million associated with the acquisition of WTI as well as additional fund closings which is offset by an increase of $16.1 million in the current year of accounts receivable that has not been received as of September 30, 2023 related to the Advisory Agreement at Enhanced compared to the first three quarters of 2022;</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cash used for interest payments of $10.5 million;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restricted cash used of $7.3 million related to operations of Enhanced projects;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cash used for bonus payments of $1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and September 30, 2022</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cash used in investing activities decreased by $0.8 million, or 53%, to $0.7 million, for the nine months ended September 30, 2023 as compared to the nine months ended September 30, 2022. This decrease in cash used was primarily driven by fewer draws on the notes receivable in 2023 than in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and September 30, 2022</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recorded a net $52.4 million for the nine months ended September 30, 2023 for cash used in financing activities, as compared to cash used in financing activities of $65.1 million for the nine months ended September 30, 2022. The change is attributed to timing differences of revolver tranche interest periods subject to repayment aligned with cash availability and payments of contingent consideration as well as tax witholdings on employee stock options that are settled on a net of tax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00" w:firstLine="509"/>
        <w:spacing w:after="0" w:line="258"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the ordinary course of business, we enter contractual arrangements that require future cash payments. The following table sets forth information regarding our anticipated future cash payments under our contractual obligations as of September 30,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2027</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6"/>
                <w:szCs w:val="16"/>
                <w:color w:val="auto"/>
              </w:rPr>
            </w:pPr>
          </w:p>
        </w:tc>
      </w:tr>
      <w:tr>
        <w:trPr>
          <w:trHeight w:val="169"/>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298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24,208</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4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10,293</w:t>
            </w:r>
          </w:p>
        </w:tc>
        <w:tc>
          <w:tcPr>
            <w:tcW w:w="100" w:type="dxa"/>
            <w:vAlign w:val="bottom"/>
            <w:shd w:val="clear" w:color="auto" w:fill="CFF0FC"/>
          </w:tcPr>
          <w:p>
            <w:pPr>
              <w:spacing w:after="0"/>
              <w:rPr>
                <w:sz w:val="21"/>
                <w:szCs w:val="21"/>
                <w:color w:val="auto"/>
              </w:rPr>
            </w:pPr>
          </w:p>
        </w:tc>
      </w:tr>
      <w:tr>
        <w:trPr>
          <w:trHeight w:val="243"/>
        </w:trPr>
        <w:tc>
          <w:tcPr>
            <w:tcW w:w="29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Debt obligations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265,031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251,750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0"/>
        </w:trPr>
        <w:tc>
          <w:tcPr>
            <w:tcW w:w="2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289,239</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2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14,584</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254,961</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-25400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-25400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right="180" w:hanging="512"/>
        <w:spacing w:after="0" w:line="258"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lease office space under agreements that expire periodically through 2032. The table only includes guaranteed minimum lease payments under these agreements and does not project other related payments.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obligations presented in the table reflect scheduled principal payments related to the various debt instruments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80" w:firstLine="509"/>
        <w:spacing w:after="0" w:line="272" w:lineRule="auto"/>
        <w:rPr>
          <w:sz w:val="20"/>
          <w:szCs w:val="20"/>
          <w:color w:val="auto"/>
        </w:rPr>
      </w:pPr>
      <w:r>
        <w:rPr>
          <w:rFonts w:ascii="Arial" w:cs="Arial" w:eastAsia="Arial" w:hAnsi="Arial"/>
          <w:sz w:val="17"/>
          <w:szCs w:val="17"/>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judgements. See Note 2 of our consolidated financial statements for a summary of our significant accounting policies.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4"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8"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ind w:right="260"/>
        <w:spacing w:after="0" w:line="277" w:lineRule="auto"/>
        <w:rPr>
          <w:sz w:val="20"/>
          <w:szCs w:val="20"/>
          <w:color w:val="auto"/>
        </w:rPr>
      </w:pPr>
      <w:r>
        <w:rPr>
          <w:rFonts w:ascii="Arial" w:cs="Arial" w:eastAsia="Arial" w:hAnsi="Arial"/>
          <w:sz w:val="18"/>
          <w:szCs w:val="18"/>
          <w:color w:val="auto"/>
        </w:rPr>
        <w:t>we perform a qualitative analysis that considers the design of the VIE, the nature of our involvement and the variable interests held by other parties. See Note 7 of our consolidated financial statements for further information.</w:t>
      </w:r>
    </w:p>
    <w:p>
      <w:pPr>
        <w:spacing w:after="0" w:line="170"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P10 Intermediate, Holdco, RCP 2, RCP 3, TrueBridge, Hark, Bonaccord, and WTI. The assets and liabilities of the consolidated VIEs are presented gross in the Consolidated Balance Sheets. The liabilities of our consolidated VIE’s are obligations of those entities and their creditors do not generally have recourse to the assets of P10. See Note 7 of our consolidated financial statements for more information on both consolidated and unconsolidated VIEs.</w:t>
      </w:r>
    </w:p>
    <w:p>
      <w:pPr>
        <w:spacing w:after="0" w:line="178"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Holdings, and ECG are concluded to be consolidated subsidiaries of P10 under the voting interest model.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of Management Fees and Management Fees Received in Advance</w:t>
      </w:r>
    </w:p>
    <w:p>
      <w:pPr>
        <w:spacing w:after="0" w:line="225"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70"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Advisory Fees</w:t>
      </w:r>
    </w:p>
    <w:p>
      <w:pPr>
        <w:spacing w:after="0" w:line="11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Current income tax expense represents our estimated taxes to be paid or refunded for the current period. In accordance with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8"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4" w:lineRule="exact"/>
        <w:rPr>
          <w:sz w:val="20"/>
          <w:szCs w:val="20"/>
          <w:color w:val="auto"/>
        </w:rPr>
      </w:pPr>
    </w:p>
    <w:p>
      <w:pPr>
        <w:jc w:val="center"/>
        <w:ind w:right="140"/>
        <w:spacing w:after="0" w:line="277" w:lineRule="auto"/>
        <w:rPr>
          <w:sz w:val="20"/>
          <w:szCs w:val="20"/>
          <w:color w:val="auto"/>
        </w:rPr>
      </w:pPr>
      <w:r>
        <w:rPr>
          <w:rFonts w:ascii="Arial" w:cs="Arial" w:eastAsia="Arial" w:hAnsi="Arial"/>
          <w:sz w:val="18"/>
          <w:szCs w:val="18"/>
          <w:color w:val="auto"/>
        </w:rPr>
        <w:t>We file various federal and state and local tax returns based on federal and state local consolidation and stand- alone tax rules as applicable.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121"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71"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57" w:lineRule="exact"/>
        <w:rPr>
          <w:sz w:val="20"/>
          <w:szCs w:val="20"/>
          <w:color w:val="auto"/>
        </w:rPr>
      </w:pPr>
    </w:p>
    <w:p>
      <w:pPr>
        <w:ind w:right="800" w:firstLine="509"/>
        <w:spacing w:after="0" w:line="277" w:lineRule="auto"/>
        <w:rPr>
          <w:sz w:val="20"/>
          <w:szCs w:val="20"/>
          <w:color w:val="auto"/>
        </w:rPr>
      </w:pPr>
      <w:r>
        <w:rPr>
          <w:rFonts w:ascii="Arial" w:cs="Arial" w:eastAsia="Arial" w:hAnsi="Arial"/>
          <w:sz w:val="18"/>
          <w:szCs w:val="18"/>
          <w:color w:val="auto"/>
        </w:rPr>
        <w:t>Fair value of the financial assets and liabilities of our specialized investment vehicles may fluctuate in response to changes in the value of underlying assets, and interest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As of September 30, 2023, we had $204.5 million of outstanding principal in Term Loan under our Term Loan and Revolving Credit Facility. The annual interest rate on the Term Loan is based on SOFR, subject to a floor of 0.10%, plus 2.00%. On September 30, 2023, the interest rate on these borrowings was 2.1% + SOFR. We estimate that a 100-basis point increase in the interest rate would result in an approximately $2.0 million increase in interest expense related to the loan over the next 12 months.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judgement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1" w:lineRule="exact"/>
        <w:rPr>
          <w:sz w:val="20"/>
          <w:szCs w:val="20"/>
          <w:color w:val="auto"/>
        </w:rPr>
      </w:pPr>
    </w:p>
    <w:p>
      <w:pPr>
        <w:ind w:right="140" w:firstLine="509"/>
        <w:spacing w:after="0" w:line="285" w:lineRule="auto"/>
        <w:rPr>
          <w:sz w:val="20"/>
          <w:szCs w:val="20"/>
          <w:color w:val="auto"/>
        </w:rPr>
      </w:pPr>
      <w:r>
        <w:rPr>
          <w:rFonts w:ascii="Arial" w:cs="Arial" w:eastAsia="Arial" w:hAnsi="Arial"/>
          <w:sz w:val="16"/>
          <w:szCs w:val="16"/>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spacing w:after="0" w:line="263" w:lineRule="auto"/>
        <w:rPr>
          <w:sz w:val="20"/>
          <w:szCs w:val="20"/>
          <w:color w:val="auto"/>
        </w:rPr>
      </w:pPr>
      <w:r>
        <w:rPr>
          <w:rFonts w:ascii="Arial" w:cs="Arial" w:eastAsia="Arial" w:hAnsi="Arial"/>
          <w:sz w:val="18"/>
          <w:szCs w:val="18"/>
          <w:color w:val="auto"/>
        </w:rPr>
        <w:t>summarized and reported within the time periods specified in the Securities and Exchange Commission rules and forms, and that such information is accumulated and communicated to our management, including our Co-Chief Executive Officers and Chief Financial Officer, as appropriate, to allow timely decisions regarding required disclosures.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320" w:firstLine="509"/>
        <w:spacing w:after="0" w:line="255"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our most recent quarter ended September 30, 2023 that have materially affected, or are reasonably likely to materially affect, our internal control over financial reporting.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20" w:firstLine="509"/>
        <w:spacing w:after="0" w:line="342" w:lineRule="auto"/>
        <w:rPr>
          <w:sz w:val="20"/>
          <w:szCs w:val="20"/>
          <w:color w:val="auto"/>
        </w:rPr>
      </w:pPr>
      <w:r>
        <w:rPr>
          <w:rFonts w:ascii="Arial" w:cs="Arial" w:eastAsia="Arial" w:hAnsi="Arial"/>
          <w:sz w:val="16"/>
          <w:szCs w:val="16"/>
          <w:color w:val="auto"/>
        </w:rPr>
        <w:t>The information required with respect to this item can be found under “Contingencies” in Note 14, Commitments and Contingencies, to our consolidated financial statements included elsewhere in this annual report, and such information is incorporated by reference into this Item 1.</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“Risk Factors” included in our annual report on Form 10-K for the year ended December 31, 2022.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following table provides information about our repurchase activity with respect to shares of our common stock for the quarter ended September 30,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jc w:val="center"/>
              <w:ind w:left="37"/>
              <w:spacing w:after="0"/>
              <w:rPr>
                <w:sz w:val="20"/>
                <w:szCs w:val="20"/>
                <w:color w:val="auto"/>
              </w:rPr>
            </w:pPr>
            <w:r>
              <w:rPr>
                <w:rFonts w:ascii="Arial" w:cs="Arial" w:eastAsia="Arial" w:hAnsi="Arial"/>
                <w:sz w:val="13"/>
                <w:szCs w:val="13"/>
                <w:b w:val="1"/>
                <w:bCs w:val="1"/>
                <w:color w:val="auto"/>
                <w:w w:val="82"/>
              </w:rPr>
              <w:t>Total Number of Shares Purchased as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Maximum Approximate Dollar Value</w:t>
            </w:r>
          </w:p>
        </w:tc>
        <w:tc>
          <w:tcPr>
            <w:tcW w:w="100" w:type="dxa"/>
            <w:vAlign w:val="bottom"/>
          </w:tcPr>
          <w:p>
            <w:pPr>
              <w:spacing w:after="0"/>
              <w:rPr>
                <w:sz w:val="13"/>
                <w:szCs w:val="13"/>
                <w:color w:val="auto"/>
              </w:rPr>
            </w:pPr>
          </w:p>
        </w:tc>
      </w:tr>
      <w:tr>
        <w:trPr>
          <w:trHeight w:val="148"/>
        </w:trPr>
        <w:tc>
          <w:tcPr>
            <w:tcW w:w="3660" w:type="dxa"/>
            <w:vAlign w:val="bottom"/>
          </w:tcPr>
          <w:p>
            <w:pPr>
              <w:spacing w:after="0"/>
              <w:rPr>
                <w:sz w:val="12"/>
                <w:szCs w:val="12"/>
                <w:color w:val="auto"/>
              </w:rPr>
            </w:pPr>
          </w:p>
        </w:tc>
        <w:tc>
          <w:tcPr>
            <w:tcW w:w="1560" w:type="dxa"/>
            <w:vAlign w:val="bottom"/>
          </w:tcPr>
          <w:p>
            <w:pPr>
              <w:jc w:val="center"/>
              <w:ind w:left="117"/>
              <w:spacing w:after="0"/>
              <w:rPr>
                <w:sz w:val="20"/>
                <w:szCs w:val="20"/>
                <w:color w:val="auto"/>
              </w:rPr>
            </w:pPr>
            <w:r>
              <w:rPr>
                <w:rFonts w:ascii="Arial" w:cs="Arial" w:eastAsia="Arial" w:hAnsi="Arial"/>
                <w:sz w:val="13"/>
                <w:szCs w:val="13"/>
                <w:b w:val="1"/>
                <w:bCs w:val="1"/>
                <w:color w:val="auto"/>
                <w:w w:val="83"/>
              </w:rPr>
              <w:t>Total Number of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Average Price Paid</w:t>
            </w:r>
          </w:p>
        </w:tc>
        <w:tc>
          <w:tcPr>
            <w:tcW w:w="100" w:type="dxa"/>
            <w:vAlign w:val="bottom"/>
          </w:tcPr>
          <w:p>
            <w:pPr>
              <w:spacing w:after="0"/>
              <w:rPr>
                <w:sz w:val="12"/>
                <w:szCs w:val="12"/>
                <w:color w:val="auto"/>
              </w:rPr>
            </w:pPr>
          </w:p>
        </w:tc>
        <w:tc>
          <w:tcPr>
            <w:tcW w:w="2040" w:type="dxa"/>
            <w:vAlign w:val="bottom"/>
          </w:tcPr>
          <w:p>
            <w:pPr>
              <w:jc w:val="center"/>
              <w:ind w:left="37"/>
              <w:spacing w:after="0"/>
              <w:rPr>
                <w:sz w:val="20"/>
                <w:szCs w:val="20"/>
                <w:color w:val="auto"/>
              </w:rPr>
            </w:pPr>
            <w:r>
              <w:rPr>
                <w:rFonts w:ascii="Arial" w:cs="Arial" w:eastAsia="Arial" w:hAnsi="Arial"/>
                <w:sz w:val="13"/>
                <w:szCs w:val="13"/>
                <w:b w:val="1"/>
                <w:bCs w:val="1"/>
                <w:color w:val="auto"/>
                <w:w w:val="83"/>
              </w:rPr>
              <w:t>Part of Publicly Announced Plan 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of Shares that May Yet Be Purchased</w:t>
            </w:r>
          </w:p>
        </w:tc>
        <w:tc>
          <w:tcPr>
            <w:tcW w:w="100" w:type="dxa"/>
            <w:vAlign w:val="bottom"/>
          </w:tcPr>
          <w:p>
            <w:pPr>
              <w:spacing w:after="0"/>
              <w:rPr>
                <w:sz w:val="12"/>
                <w:szCs w:val="12"/>
                <w:color w:val="auto"/>
              </w:rPr>
            </w:pPr>
          </w:p>
        </w:tc>
      </w:tr>
      <w:tr>
        <w:trPr>
          <w:trHeight w:val="20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Period</w:t>
            </w:r>
          </w:p>
        </w:tc>
        <w:tc>
          <w:tcPr>
            <w:tcW w:w="1560" w:type="dxa"/>
            <w:vAlign w:val="bottom"/>
            <w:tcBorders>
              <w:bottom w:val="single" w:sz="8" w:color="auto"/>
            </w:tcBorders>
          </w:tcPr>
          <w:p>
            <w:pPr>
              <w:jc w:val="center"/>
              <w:ind w:left="157"/>
              <w:spacing w:after="0"/>
              <w:rPr>
                <w:sz w:val="20"/>
                <w:szCs w:val="20"/>
                <w:color w:val="auto"/>
              </w:rPr>
            </w:pPr>
            <w:r>
              <w:rPr>
                <w:rFonts w:ascii="Arial" w:cs="Arial" w:eastAsia="Arial" w:hAnsi="Arial"/>
                <w:sz w:val="13"/>
                <w:szCs w:val="13"/>
                <w:b w:val="1"/>
                <w:bCs w:val="1"/>
                <w:color w:val="auto"/>
                <w:w w:val="81"/>
              </w:rPr>
              <w:t>Purchased</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w w:val="83"/>
              </w:rPr>
              <w:t>per Share</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b w:val="1"/>
                <w:bCs w:val="1"/>
                <w:color w:val="auto"/>
                <w:w w:val="84"/>
              </w:rPr>
              <w:t>Program (1)</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3"/>
              </w:rPr>
              <w:t>Under the Plans or Programs (1)</w:t>
            </w:r>
          </w:p>
        </w:tc>
        <w:tc>
          <w:tcPr>
            <w:tcW w:w="100" w:type="dxa"/>
            <w:vAlign w:val="bottom"/>
          </w:tcPr>
          <w:p>
            <w:pPr>
              <w:spacing w:after="0"/>
              <w:rPr>
                <w:sz w:val="17"/>
                <w:szCs w:val="17"/>
                <w:color w:val="auto"/>
              </w:rPr>
            </w:pPr>
          </w:p>
        </w:tc>
      </w:tr>
      <w:tr>
        <w:trPr>
          <w:trHeight w:val="176"/>
        </w:trPr>
        <w:tc>
          <w:tcPr>
            <w:tcW w:w="3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July 1 - 31, 2023</w:t>
            </w:r>
          </w:p>
        </w:tc>
        <w:tc>
          <w:tcPr>
            <w:tcW w:w="1560" w:type="dxa"/>
            <w:vAlign w:val="bottom"/>
            <w:shd w:val="clear" w:color="auto" w:fill="CFF0FC"/>
          </w:tcPr>
          <w:p>
            <w:pPr>
              <w:spacing w:after="0"/>
              <w:rPr>
                <w:sz w:val="15"/>
                <w:szCs w:val="15"/>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18,936,024</w:t>
            </w:r>
          </w:p>
        </w:tc>
        <w:tc>
          <w:tcPr>
            <w:tcW w:w="100" w:type="dxa"/>
            <w:vAlign w:val="bottom"/>
            <w:shd w:val="clear" w:color="auto" w:fill="CFF0FC"/>
          </w:tcPr>
          <w:p>
            <w:pPr>
              <w:spacing w:after="0"/>
              <w:rPr>
                <w:sz w:val="15"/>
                <w:szCs w:val="15"/>
                <w:color w:val="auto"/>
              </w:rPr>
            </w:pPr>
          </w:p>
        </w:tc>
      </w:tr>
      <w:tr>
        <w:trPr>
          <w:trHeight w:val="167"/>
        </w:trPr>
        <w:tc>
          <w:tcPr>
            <w:tcW w:w="3660" w:type="dxa"/>
            <w:vAlign w:val="bottom"/>
          </w:tcPr>
          <w:p>
            <w:pPr>
              <w:ind w:left="20"/>
              <w:spacing w:after="0"/>
              <w:rPr>
                <w:sz w:val="20"/>
                <w:szCs w:val="20"/>
                <w:color w:val="auto"/>
              </w:rPr>
            </w:pPr>
            <w:r>
              <w:rPr>
                <w:rFonts w:ascii="Arial" w:cs="Arial" w:eastAsia="Arial" w:hAnsi="Arial"/>
                <w:sz w:val="13"/>
                <w:szCs w:val="13"/>
                <w:color w:val="auto"/>
              </w:rPr>
              <w:t>August 1 - 31, 2023</w:t>
            </w:r>
          </w:p>
        </w:tc>
        <w:tc>
          <w:tcPr>
            <w:tcW w:w="156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900" w:type="dxa"/>
            <w:vAlign w:val="bottom"/>
          </w:tcPr>
          <w:p>
            <w:pPr>
              <w:jc w:val="right"/>
              <w:spacing w:after="0"/>
              <w:rPr>
                <w:sz w:val="20"/>
                <w:szCs w:val="20"/>
                <w:color w:val="auto"/>
              </w:rPr>
            </w:pPr>
            <w:r>
              <w:rPr>
                <w:rFonts w:ascii="Arial" w:cs="Arial" w:eastAsia="Arial" w:hAnsi="Arial"/>
                <w:sz w:val="13"/>
                <w:szCs w:val="13"/>
                <w:color w:val="auto"/>
              </w:rPr>
              <w:t>18,936,024</w:t>
            </w:r>
          </w:p>
        </w:tc>
        <w:tc>
          <w:tcPr>
            <w:tcW w:w="100" w:type="dxa"/>
            <w:vAlign w:val="bottom"/>
          </w:tcPr>
          <w:p>
            <w:pPr>
              <w:spacing w:after="0"/>
              <w:rPr>
                <w:sz w:val="14"/>
                <w:szCs w:val="14"/>
                <w:color w:val="auto"/>
              </w:rPr>
            </w:pPr>
          </w:p>
        </w:tc>
      </w:tr>
      <w:tr>
        <w:trPr>
          <w:trHeight w:val="180"/>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September 1 - 30, 2023</w:t>
            </w:r>
          </w:p>
        </w:tc>
        <w:tc>
          <w:tcPr>
            <w:tcW w:w="156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060" w:type="dxa"/>
            <w:vAlign w:val="bottom"/>
            <w:tcBorders>
              <w:bottom w:val="single" w:sz="8" w:color="CFF0FC"/>
            </w:tcBorders>
            <w:gridSpan w:val="2"/>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w w:val="91"/>
              </w:rPr>
              <w:t>—</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18,936,024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56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-144780</wp:posOffset>
            </wp:positionV>
            <wp:extent cx="77470" cy="145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-144780</wp:posOffset>
            </wp:positionV>
            <wp:extent cx="68580" cy="145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82" w:lineRule="exact"/>
        <w:rPr>
          <w:sz w:val="20"/>
          <w:szCs w:val="20"/>
          <w:color w:val="auto"/>
        </w:rPr>
      </w:pPr>
    </w:p>
    <w:p>
      <w:pPr>
        <w:ind w:right="40" w:firstLine="8"/>
        <w:spacing w:after="0" w:line="254"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May 12, 2022, we announced that our Board of Directors authorized a program to repurchase outstanding shares of our Class A and Class B common stock as of the date of authorization, not to exceed $20 million (the "Stock Repurchase Program"). Upon completion of purchases under the prior authorization, on December 27, 2022, we announced that our Board of Directors authorized an additional $20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Neither the Company nor any of our officers or directors adopted or terminated a Rule 10b5-1 or non-Rule 10b5-1 trading arrangement as defined by Item 408(a) and Item 408(d) of Regulation S-K during the last fiscal quarter.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13"/>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432"/>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8"/>
          </w:tcPr>
          <w:p>
            <w:pPr>
              <w:spacing w:after="0"/>
              <w:rPr>
                <w:rFonts w:ascii="Arial" w:cs="Arial" w:eastAsia="Arial" w:hAnsi="Arial"/>
                <w:sz w:val="18"/>
                <w:szCs w:val="18"/>
                <w:color w:val="0000FF"/>
                <w:w w:val="91"/>
              </w:rPr>
            </w:pPr>
            <w:hyperlink r:id="rId289">
              <w:r>
                <w:rPr>
                  <w:rFonts w:ascii="Arial" w:cs="Arial" w:eastAsia="Arial" w:hAnsi="Arial"/>
                  <w:sz w:val="18"/>
                  <w:szCs w:val="18"/>
                  <w:color w:val="0000FF"/>
                  <w:w w:val="91"/>
                </w:rPr>
                <w:t>Amended and Restated Certificate of Incorporation of P10, Inc. (incorporated by reference to Exhibit 3.1 to the Company’s Current Report</w:t>
              </w:r>
            </w:hyperlink>
          </w:p>
        </w:tc>
        <w:tc>
          <w:tcPr>
            <w:tcW w:w="16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89">
              <w:r>
                <w:rPr>
                  <w:rFonts w:ascii="Arial" w:cs="Arial" w:eastAsia="Arial" w:hAnsi="Arial"/>
                  <w:sz w:val="18"/>
                  <w:szCs w:val="18"/>
                  <w:color w:val="0000FF"/>
                  <w:w w:val="91"/>
                </w:rPr>
                <w:t>on Form 8-K filed on October 26, 2021).</w:t>
              </w:r>
            </w:hyperlink>
          </w:p>
        </w:tc>
        <w:tc>
          <w:tcPr>
            <w:tcW w:w="20" w:type="dxa"/>
            <w:vAlign w:val="bottom"/>
            <w:tcBorders>
              <w:bottom w:val="single" w:sz="8" w:color="0000EE"/>
            </w:tcBorders>
          </w:tcPr>
          <w:p>
            <w:pPr>
              <w:spacing w:after="0"/>
              <w:rPr>
                <w:sz w:val="17"/>
                <w:szCs w:val="17"/>
                <w:color w:val="auto"/>
              </w:rPr>
            </w:pPr>
          </w:p>
        </w:tc>
        <w:tc>
          <w:tcPr>
            <w:tcW w:w="7240" w:type="dxa"/>
            <w:vAlign w:val="bottom"/>
            <w:gridSpan w:val="15"/>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22"/>
          </w:tcPr>
          <w:p>
            <w:pPr>
              <w:spacing w:after="0"/>
              <w:rPr>
                <w:rFonts w:ascii="Arial" w:cs="Arial" w:eastAsia="Arial" w:hAnsi="Arial"/>
                <w:sz w:val="18"/>
                <w:szCs w:val="18"/>
                <w:color w:val="0000FF"/>
                <w:w w:val="91"/>
              </w:rPr>
            </w:pPr>
            <w:hyperlink r:id="rId290">
              <w:r>
                <w:rPr>
                  <w:rFonts w:ascii="Arial" w:cs="Arial" w:eastAsia="Arial" w:hAnsi="Arial"/>
                  <w:sz w:val="18"/>
                  <w:szCs w:val="18"/>
                  <w:color w:val="0000FF"/>
                  <w:w w:val="91"/>
                </w:rPr>
                <w:t>Amended and Restated Bylaws of P10, Inc. (incorporated by reference to Exhibit 3.2 to the Company’s Current Report on Form 8-K filed on</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290">
              <w:r>
                <w:rPr>
                  <w:rFonts w:ascii="Arial" w:cs="Arial" w:eastAsia="Arial" w:hAnsi="Arial"/>
                  <w:sz w:val="18"/>
                  <w:szCs w:val="18"/>
                  <w:color w:val="0000FF"/>
                  <w:w w:val="89"/>
                </w:rPr>
                <w:t>October 26, 2021).</w:t>
              </w:r>
            </w:hyperlink>
          </w:p>
        </w:tc>
        <w:tc>
          <w:tcPr>
            <w:tcW w:w="20" w:type="dxa"/>
            <w:vAlign w:val="bottom"/>
            <w:tcBorders>
              <w:bottom w:val="single" w:sz="8" w:color="0000EE"/>
            </w:tcBorders>
          </w:tcPr>
          <w:p>
            <w:pPr>
              <w:spacing w:after="0"/>
              <w:rPr>
                <w:sz w:val="17"/>
                <w:szCs w:val="17"/>
                <w:color w:val="auto"/>
              </w:rPr>
            </w:pPr>
          </w:p>
        </w:tc>
        <w:tc>
          <w:tcPr>
            <w:tcW w:w="8820" w:type="dxa"/>
            <w:vAlign w:val="bottom"/>
            <w:gridSpan w:val="19"/>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16"/>
          </w:tcPr>
          <w:p>
            <w:pPr>
              <w:spacing w:after="0"/>
              <w:rPr>
                <w:rFonts w:ascii="Arial" w:cs="Arial" w:eastAsia="Arial" w:hAnsi="Arial"/>
                <w:sz w:val="18"/>
                <w:szCs w:val="18"/>
                <w:color w:val="0000FF"/>
                <w:w w:val="90"/>
              </w:rPr>
            </w:pPr>
            <w:hyperlink r:id="rId291">
              <w:r>
                <w:rPr>
                  <w:rFonts w:ascii="Arial" w:cs="Arial" w:eastAsia="Arial" w:hAnsi="Arial"/>
                  <w:sz w:val="18"/>
                  <w:szCs w:val="18"/>
                  <w:color w:val="0000FF"/>
                  <w:w w:val="90"/>
                </w:rPr>
                <w:t>Rights Agreement, dated as of October 20, 2021, by and among the Company and American Stock Transfer &amp; Trust Company, LLC, as</w:t>
              </w:r>
            </w:hyperlink>
          </w:p>
        </w:tc>
        <w:tc>
          <w:tcPr>
            <w:tcW w:w="40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291">
              <w:r>
                <w:rPr>
                  <w:rFonts w:ascii="Arial" w:cs="Arial" w:eastAsia="Arial" w:hAnsi="Arial"/>
                  <w:sz w:val="18"/>
                  <w:szCs w:val="18"/>
                  <w:color w:val="0000FF"/>
                  <w:w w:val="91"/>
                </w:rPr>
                <w:t>rights agent (incorporated by reference to Exhibit 4.1 to the Company’s Current Report on Form 8-K filed on October 26, 2021).</w:t>
              </w:r>
            </w:hyperlink>
          </w:p>
        </w:tc>
        <w:tc>
          <w:tcPr>
            <w:tcW w:w="20" w:type="dxa"/>
            <w:vAlign w:val="bottom"/>
            <w:tcBorders>
              <w:bottom w:val="single" w:sz="8" w:color="0000EE"/>
            </w:tcBorders>
          </w:tcPr>
          <w:p>
            <w:pPr>
              <w:spacing w:after="0"/>
              <w:rPr>
                <w:sz w:val="17"/>
                <w:szCs w:val="17"/>
                <w:color w:val="auto"/>
              </w:rPr>
            </w:pPr>
          </w:p>
        </w:tc>
        <w:tc>
          <w:tcPr>
            <w:tcW w:w="920" w:type="dxa"/>
            <w:vAlign w:val="bottom"/>
            <w:gridSpan w:val="11"/>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17"/>
          </w:tcPr>
          <w:p>
            <w:pPr>
              <w:spacing w:after="0"/>
              <w:rPr>
                <w:rFonts w:ascii="Arial" w:cs="Arial" w:eastAsia="Arial" w:hAnsi="Arial"/>
                <w:sz w:val="18"/>
                <w:szCs w:val="18"/>
                <w:color w:val="0000FF"/>
                <w:w w:val="91"/>
              </w:rPr>
            </w:pPr>
            <w:hyperlink r:id="rId292">
              <w:r>
                <w:rPr>
                  <w:rFonts w:ascii="Arial" w:cs="Arial" w:eastAsia="Arial" w:hAnsi="Arial"/>
                  <w:sz w:val="18"/>
                  <w:szCs w:val="18"/>
                  <w:color w:val="0000FF"/>
                  <w:w w:val="91"/>
                </w:rPr>
                <w:t>First Amendment to Rights Agreement, dated as of September 15, 2023, by and between P10, Inc and Equiniti Trust Company, LLC (f/k/a</w:t>
              </w:r>
            </w:hyperlink>
          </w:p>
        </w:tc>
        <w:tc>
          <w:tcPr>
            <w:tcW w:w="18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292">
              <w:r>
                <w:rPr>
                  <w:rFonts w:ascii="Arial" w:cs="Arial" w:eastAsia="Arial" w:hAnsi="Arial"/>
                  <w:sz w:val="18"/>
                  <w:szCs w:val="18"/>
                  <w:color w:val="0000FF"/>
                  <w:w w:val="92"/>
                </w:rPr>
                <w:t>American Stock Transfer &amp; Trust Company, LLC) (incorporated by reference to Exhibit 4.1 to the Company's Current Report on Form 8-K</w:t>
              </w:r>
            </w:hyperlink>
          </w:p>
        </w:tc>
        <w:tc>
          <w:tcPr>
            <w:tcW w:w="12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292">
              <w:r>
                <w:rPr>
                  <w:rFonts w:ascii="Arial" w:cs="Arial" w:eastAsia="Arial" w:hAnsi="Arial"/>
                  <w:sz w:val="18"/>
                  <w:szCs w:val="18"/>
                  <w:color w:val="0000FF"/>
                  <w:w w:val="89"/>
                </w:rPr>
                <w:t>filed on September 19, 2023)</w:t>
              </w:r>
            </w:hyperlink>
          </w:p>
        </w:tc>
        <w:tc>
          <w:tcPr>
            <w:tcW w:w="20" w:type="dxa"/>
            <w:vAlign w:val="bottom"/>
            <w:tcBorders>
              <w:bottom w:val="single" w:sz="8" w:color="0000EE"/>
            </w:tcBorders>
          </w:tcPr>
          <w:p>
            <w:pPr>
              <w:spacing w:after="0"/>
              <w:rPr>
                <w:sz w:val="17"/>
                <w:szCs w:val="17"/>
                <w:color w:val="auto"/>
              </w:rPr>
            </w:pPr>
          </w:p>
        </w:tc>
        <w:tc>
          <w:tcPr>
            <w:tcW w:w="8080" w:type="dxa"/>
            <w:vAlign w:val="bottom"/>
            <w:gridSpan w:val="17"/>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18"/>
                <w:szCs w:val="18"/>
                <w:color w:val="0000FF"/>
                <w:w w:val="98"/>
              </w:rPr>
              <w:t>Employment Agreement, dated as of October 20, 2023, by and between P10 Intermediate Holdings, LLC and Luke A. Sarsfield III.</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14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w w:val="91"/>
              </w:rPr>
              <w:t>Executive Transition Agreement, dated as of October 20, 2023, by and between P10 Intermediate Holdings, LLC and Robert Alpert.</w:t>
            </w:r>
          </w:p>
        </w:tc>
        <w:tc>
          <w:tcPr>
            <w:tcW w:w="620" w:type="dxa"/>
            <w:vAlign w:val="bottom"/>
            <w:gridSpan w:val="9"/>
          </w:tcPr>
          <w:p>
            <w:pPr>
              <w:spacing w:after="0"/>
              <w:rPr>
                <w:sz w:val="24"/>
                <w:szCs w:val="24"/>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18"/>
                <w:szCs w:val="18"/>
                <w:color w:val="0000FF"/>
                <w:w w:val="96"/>
              </w:rPr>
              <w:t>Executive Transition Agreement, dated as of October 20, 2023, by and between P10 Intermediate Holdings, LLC and C. Clark Webb.</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80" w:type="dxa"/>
            <w:vAlign w:val="bottom"/>
            <w:tcBorders>
              <w:right w:val="single" w:sz="8" w:color="0000EE"/>
            </w:tcBorders>
            <w:gridSpan w:val="5"/>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66"/>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1"/>
              </w:rPr>
              <w:t>Certification of Chief Executive Officer Pursuant to Rules 13a-14(a) and 15d-14(a) under the Securities Exchange Act of 1934, as Adopted</w:t>
            </w:r>
          </w:p>
        </w:tc>
        <w:tc>
          <w:tcPr>
            <w:tcW w:w="14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860" w:type="dxa"/>
            <w:vAlign w:val="bottom"/>
            <w:gridSpan w:val="13"/>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1"/>
              </w:rPr>
              <w:t>Certification of Chief Financial Officer Pursuant to Rules 13a-14(a) and 15d-14(a) under the Securities Exchange Act of 1934, as Adopted</w:t>
            </w:r>
          </w:p>
        </w:tc>
        <w:tc>
          <w:tcPr>
            <w:tcW w:w="18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860" w:type="dxa"/>
            <w:vAlign w:val="bottom"/>
            <w:gridSpan w:val="13"/>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 Adopted Pursuant to Section 906 of the Sarbanes-Oxley Act</w:t>
            </w:r>
          </w:p>
        </w:tc>
        <w:tc>
          <w:tcPr>
            <w:tcW w:w="6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of 2002.</w:t>
            </w:r>
          </w:p>
        </w:tc>
        <w:tc>
          <w:tcPr>
            <w:tcW w:w="20" w:type="dxa"/>
            <w:vAlign w:val="bottom"/>
            <w:tcBorders>
              <w:bottom w:val="single" w:sz="8" w:color="0000EE"/>
            </w:tcBorders>
          </w:tcPr>
          <w:p>
            <w:pPr>
              <w:spacing w:after="0"/>
              <w:rPr>
                <w:sz w:val="17"/>
                <w:szCs w:val="17"/>
                <w:color w:val="auto"/>
              </w:rPr>
            </w:pPr>
          </w:p>
        </w:tc>
        <w:tc>
          <w:tcPr>
            <w:tcW w:w="9580" w:type="dxa"/>
            <w:vAlign w:val="bottom"/>
            <w:gridSpan w:val="21"/>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 Act</w:t>
            </w:r>
          </w:p>
        </w:tc>
        <w:tc>
          <w:tcPr>
            <w:tcW w:w="12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of 2002.</w:t>
            </w:r>
          </w:p>
        </w:tc>
        <w:tc>
          <w:tcPr>
            <w:tcW w:w="20" w:type="dxa"/>
            <w:vAlign w:val="bottom"/>
            <w:tcBorders>
              <w:bottom w:val="single" w:sz="8" w:color="0000EE"/>
            </w:tcBorders>
          </w:tcPr>
          <w:p>
            <w:pPr>
              <w:spacing w:after="0"/>
              <w:rPr>
                <w:sz w:val="17"/>
                <w:szCs w:val="17"/>
                <w:color w:val="auto"/>
              </w:rPr>
            </w:pPr>
          </w:p>
        </w:tc>
        <w:tc>
          <w:tcPr>
            <w:tcW w:w="9580" w:type="dxa"/>
            <w:vAlign w:val="bottom"/>
            <w:gridSpan w:val="21"/>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18"/>
                <w:szCs w:val="18"/>
                <w:color w:val="auto"/>
              </w:rPr>
              <w:t>Inline XBRL Instance Document</w:t>
            </w:r>
          </w:p>
        </w:tc>
      </w:tr>
      <w:tr>
        <w:trPr>
          <w:trHeight w:val="391"/>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left="1040" w:hanging="1019"/>
        <w:spacing w:after="0"/>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P10, Inc.</w:t>
      </w:r>
    </w:p>
    <w:p>
      <w:pPr>
        <w:spacing w:after="0" w:line="252"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Luke A. Sarsfield III</w:t>
      </w:r>
    </w:p>
    <w:p>
      <w:pPr>
        <w:spacing w:after="0" w:line="3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-127635</wp:posOffset>
            </wp:positionV>
            <wp:extent cx="32404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Arial" w:cs="Arial" w:eastAsia="Arial" w:hAnsi="Arial"/>
          <w:sz w:val="17"/>
          <w:szCs w:val="17"/>
          <w:b w:val="1"/>
          <w:bCs w:val="1"/>
          <w:color w:val="auto"/>
        </w:rPr>
        <w:t>Chief Executive Officer and Director (Principal Executive</w:t>
      </w:r>
    </w:p>
    <w:p>
      <w:pPr>
        <w:spacing w:after="0" w:line="34"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Officer)</w:t>
      </w:r>
    </w:p>
    <w:p>
      <w:pPr>
        <w:spacing w:after="0" w:line="238" w:lineRule="exact"/>
        <w:rPr>
          <w:sz w:val="20"/>
          <w:szCs w:val="20"/>
          <w:color w:val="auto"/>
        </w:rPr>
      </w:pPr>
    </w:p>
    <w:p>
      <w:pPr>
        <w:ind w:left="20"/>
        <w:spacing w:after="0"/>
        <w:tabs>
          <w:tab w:leader="none" w:pos="5680" w:val="left"/>
          <w:tab w:leader="none" w:pos="806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3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-127635</wp:posOffset>
            </wp:positionV>
            <wp:extent cx="32404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Arial" w:cs="Arial" w:eastAsia="Arial" w:hAnsi="Arial"/>
          <w:sz w:val="17"/>
          <w:szCs w:val="17"/>
          <w:b w:val="1"/>
          <w:bCs w:val="1"/>
          <w:color w:val="auto"/>
        </w:rPr>
        <w:t>Executive Chairman and Chairman of the Board of Directors</w:t>
      </w:r>
    </w:p>
    <w:p>
      <w:pPr>
        <w:spacing w:after="0" w:line="263"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3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-127635</wp:posOffset>
            </wp:positionV>
            <wp:extent cx="32404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Executive Vice Chairman and Director</w:t>
      </w:r>
    </w:p>
    <w:p>
      <w:pPr>
        <w:spacing w:after="0" w:line="251"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3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-127635</wp:posOffset>
            </wp:positionV>
            <wp:extent cx="32404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Financial Officer (Principal Financial Officer and Principal</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Accounting Officer)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53" w:lineRule="exact"/>
        <w:rPr>
          <w:sz w:val="20"/>
          <w:szCs w:val="20"/>
          <w:color w:val="auto"/>
        </w:rPr>
      </w:pPr>
    </w:p>
    <w:p>
      <w:pPr>
        <w:jc w:val="both"/>
        <w:ind w:left="20" w:right="20" w:firstLine="749"/>
        <w:spacing w:after="0" w:line="328" w:lineRule="auto"/>
        <w:rPr>
          <w:sz w:val="20"/>
          <w:szCs w:val="20"/>
          <w:color w:val="auto"/>
        </w:rPr>
      </w:pPr>
      <w:r>
        <w:rPr>
          <w:rFonts w:ascii="Arial" w:cs="Arial" w:eastAsia="Arial" w:hAnsi="Arial"/>
          <w:sz w:val="19"/>
          <w:szCs w:val="19"/>
          <w:color w:val="auto"/>
        </w:rPr>
        <w:t>This Employment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October 20, 2023, by and between P10 Intermediate Holdings, LLC,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Luke A. Sarsfield III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53" w:lineRule="exact"/>
        <w:rPr>
          <w:sz w:val="20"/>
          <w:szCs w:val="20"/>
          <w:color w:val="auto"/>
        </w:rPr>
      </w:pPr>
    </w:p>
    <w:p>
      <w:pPr>
        <w:jc w:val="both"/>
        <w:ind w:left="20" w:right="20" w:firstLine="749"/>
        <w:spacing w:after="0" w:line="274" w:lineRule="auto"/>
        <w:rPr>
          <w:sz w:val="20"/>
          <w:szCs w:val="20"/>
          <w:color w:val="auto"/>
        </w:rPr>
      </w:pPr>
      <w:r>
        <w:rPr>
          <w:rFonts w:ascii="Arial" w:cs="Arial" w:eastAsia="Arial" w:hAnsi="Arial"/>
          <w:sz w:val="21"/>
          <w:szCs w:val="21"/>
          <w:color w:val="auto"/>
        </w:rPr>
        <w:t>WHEREAS, the Executive and the Company desire that Executive commence employment with the Company and serve as the Company’s Chief Executive Officer in accordance with the terms and conditions set forth below.</w:t>
      </w:r>
    </w:p>
    <w:p>
      <w:pPr>
        <w:spacing w:after="0" w:line="191" w:lineRule="exact"/>
        <w:rPr>
          <w:sz w:val="20"/>
          <w:szCs w:val="20"/>
          <w:color w:val="auto"/>
        </w:rPr>
      </w:pPr>
    </w:p>
    <w:p>
      <w:pPr>
        <w:jc w:val="both"/>
        <w:ind w:left="20" w:firstLine="749"/>
        <w:spacing w:after="0"/>
        <w:rPr>
          <w:sz w:val="20"/>
          <w:szCs w:val="20"/>
          <w:color w:val="auto"/>
        </w:rPr>
      </w:pPr>
      <w:r>
        <w:rPr>
          <w:rFonts w:ascii="Arial" w:cs="Arial" w:eastAsia="Arial" w:hAnsi="Arial"/>
          <w:sz w:val="22"/>
          <w:szCs w:val="22"/>
          <w:color w:val="auto"/>
        </w:rPr>
        <w:t>NOW THEREFORE, for and in consideration of the mutual covenants and agreements contained herein, and for other good and valuable consideration, the receipt and sufficiency of which are hereby acknowledged, the parties hereto, intending to be legally bound, hereby agree as follows:</w:t>
      </w:r>
    </w:p>
    <w:p>
      <w:pPr>
        <w:spacing w:after="0" w:line="213" w:lineRule="exact"/>
        <w:rPr>
          <w:sz w:val="20"/>
          <w:szCs w:val="20"/>
          <w:color w:val="auto"/>
        </w:rPr>
      </w:pPr>
    </w:p>
    <w:p>
      <w:pPr>
        <w:ind w:left="1500" w:hanging="744"/>
        <w:spacing w:after="0"/>
        <w:tabs>
          <w:tab w:leader="none" w:pos="150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Title and Job Duties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1489"/>
        <w:spacing w:after="0" w:line="282" w:lineRule="auto"/>
        <w:tabs>
          <w:tab w:leader="none" w:pos="1896"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Company hereby agrees to employ the Executive in the position of Chief Executive Officer. In this capacity, Executive shall report to 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and shall have the duties, authorities and responsibilities that are commensurate with his title and designated from time to time by the Board. In performing his duties, Executive will be primarily based out of the Company’s Manhattan, New York office; provided that Executive may be required to travel on Company business from time to time as necessary or at the direction of the Board.</w:t>
      </w:r>
    </w:p>
    <w:p>
      <w:pPr>
        <w:spacing w:after="0" w:line="187" w:lineRule="exact"/>
        <w:rPr>
          <w:rFonts w:ascii="Arial" w:cs="Arial" w:eastAsia="Arial" w:hAnsi="Arial"/>
          <w:sz w:val="19"/>
          <w:szCs w:val="19"/>
          <w:color w:val="auto"/>
        </w:rPr>
      </w:pPr>
    </w:p>
    <w:p>
      <w:pPr>
        <w:jc w:val="both"/>
        <w:ind w:firstLine="1489"/>
        <w:spacing w:after="0" w:line="236" w:lineRule="auto"/>
        <w:tabs>
          <w:tab w:leader="none" w:pos="1896" w:val="left"/>
        </w:tabs>
        <w:numPr>
          <w:ilvl w:val="1"/>
          <w:numId w:val="16"/>
        </w:numPr>
        <w:rPr>
          <w:rFonts w:ascii="Arial" w:cs="Arial" w:eastAsia="Arial" w:hAnsi="Arial"/>
          <w:sz w:val="22"/>
          <w:szCs w:val="22"/>
          <w:color w:val="auto"/>
        </w:rPr>
      </w:pPr>
      <w:r>
        <w:rPr>
          <w:rFonts w:ascii="Arial" w:cs="Arial" w:eastAsia="Arial" w:hAnsi="Arial"/>
          <w:sz w:val="22"/>
          <w:szCs w:val="22"/>
          <w:color w:val="auto"/>
        </w:rPr>
        <w:t>Executive shall devote the majority of his full business and professional time and energy to the Company. Executive agrees to carry out and abide by all lawful directions of the Board and to comply with all standards of performance, policies, and other rules and regulations heretofore established by Company and or hereafter established by Company. In addition, Executive agrees to serve in such other capacities or offices consistent with his position to which he may be assigned, appointed or elected from time to time by the Board.</w:t>
      </w:r>
    </w:p>
    <w:p>
      <w:pPr>
        <w:spacing w:after="0" w:line="214" w:lineRule="exact"/>
        <w:rPr>
          <w:rFonts w:ascii="Arial" w:cs="Arial" w:eastAsia="Arial" w:hAnsi="Arial"/>
          <w:sz w:val="22"/>
          <w:szCs w:val="22"/>
          <w:color w:val="auto"/>
        </w:rPr>
      </w:pPr>
    </w:p>
    <w:p>
      <w:pPr>
        <w:jc w:val="both"/>
        <w:ind w:firstLine="1489"/>
        <w:spacing w:after="0" w:line="238" w:lineRule="auto"/>
        <w:tabs>
          <w:tab w:leader="none" w:pos="1896" w:val="left"/>
        </w:tabs>
        <w:numPr>
          <w:ilvl w:val="1"/>
          <w:numId w:val="16"/>
        </w:numPr>
        <w:rPr>
          <w:rFonts w:ascii="Arial" w:cs="Arial" w:eastAsia="Arial" w:hAnsi="Arial"/>
          <w:sz w:val="22"/>
          <w:szCs w:val="22"/>
          <w:color w:val="auto"/>
        </w:rPr>
      </w:pPr>
      <w:r>
        <w:rPr>
          <w:rFonts w:ascii="Arial" w:cs="Arial" w:eastAsia="Arial" w:hAnsi="Arial"/>
          <w:sz w:val="22"/>
          <w:szCs w:val="22"/>
          <w:color w:val="auto"/>
        </w:rPr>
        <w:t>Executive will also serve as the Chief Executive Officer of P10, Inc. (“</w:t>
      </w:r>
      <w:r>
        <w:rPr>
          <w:rFonts w:ascii="Arial" w:cs="Arial" w:eastAsia="Arial" w:hAnsi="Arial"/>
          <w:sz w:val="22"/>
          <w:szCs w:val="22"/>
          <w:u w:val="single" w:color="auto"/>
          <w:color w:val="auto"/>
        </w:rPr>
        <w:t>P10</w:t>
      </w:r>
      <w:r>
        <w:rPr>
          <w:rFonts w:ascii="Arial" w:cs="Arial" w:eastAsia="Arial" w:hAnsi="Arial"/>
          <w:sz w:val="22"/>
          <w:szCs w:val="22"/>
          <w:color w:val="auto"/>
        </w:rPr>
        <w:t>”), of which the Company is an indirect wholly-owned subsidiary. The Company will also cause Executive’s appointment to the Board of Directors of P10 (the “</w:t>
      </w:r>
      <w:r>
        <w:rPr>
          <w:rFonts w:ascii="Arial" w:cs="Arial" w:eastAsia="Arial" w:hAnsi="Arial"/>
          <w:sz w:val="22"/>
          <w:szCs w:val="22"/>
          <w:u w:val="single" w:color="auto"/>
          <w:color w:val="auto"/>
        </w:rPr>
        <w:t>P10 Board</w:t>
      </w:r>
      <w:r>
        <w:rPr>
          <w:rFonts w:ascii="Arial" w:cs="Arial" w:eastAsia="Arial" w:hAnsi="Arial"/>
          <w:sz w:val="22"/>
          <w:szCs w:val="22"/>
          <w:color w:val="auto"/>
        </w:rPr>
        <w:t>”) effective as of the Start Date (as defined below) and shall nominate Executive for election to the P10 Board at each annual meeting of stockholders held during the Term.</w:t>
      </w:r>
    </w:p>
    <w:p>
      <w:pPr>
        <w:spacing w:after="0" w:line="225" w:lineRule="exact"/>
        <w:rPr>
          <w:rFonts w:ascii="Arial" w:cs="Arial" w:eastAsia="Arial" w:hAnsi="Arial"/>
          <w:sz w:val="22"/>
          <w:szCs w:val="22"/>
          <w:color w:val="auto"/>
        </w:rPr>
      </w:pPr>
    </w:p>
    <w:p>
      <w:pPr>
        <w:jc w:val="both"/>
        <w:ind w:firstLine="1489"/>
        <w:spacing w:after="0" w:line="234" w:lineRule="auto"/>
        <w:tabs>
          <w:tab w:leader="none" w:pos="1896" w:val="left"/>
        </w:tabs>
        <w:numPr>
          <w:ilvl w:val="1"/>
          <w:numId w:val="16"/>
        </w:numPr>
        <w:rPr>
          <w:rFonts w:ascii="Arial" w:cs="Arial" w:eastAsia="Arial" w:hAnsi="Arial"/>
          <w:sz w:val="22"/>
          <w:szCs w:val="22"/>
          <w:color w:val="auto"/>
        </w:rPr>
      </w:pPr>
      <w:r>
        <w:rPr>
          <w:rFonts w:ascii="Arial" w:cs="Arial" w:eastAsia="Arial" w:hAnsi="Arial"/>
          <w:sz w:val="22"/>
          <w:szCs w:val="22"/>
          <w:color w:val="auto"/>
        </w:rPr>
        <w:t>Without limiting the generality of the foregoing, Executive shall not, without the written approval of the Board, render services of a business or commercial nature on his own behalf or on behalf of any other person, firm, or corporation, whether for compensation or otherwise, during his employment hereunder; provided that the foregoing shall not prevent Executive from (i) serving on the boards of directors of or holding any other offices or positions in non-profit organizations, (ii) with the prior written approval of the Board, serving on the board of directors or advisory boards of other for-profit companies, (iii) participating in charitable, civic, educational, professional, community, or industry affairs, or (iv) managing Executive’s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53340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12" w:right="459" w:bottom="1440" w:gutter="0" w:footer="0" w:header="0"/>
        </w:sectPr>
      </w:pPr>
    </w:p>
    <w:bookmarkStart w:id="55" w:name="page56"/>
    <w:bookmarkEnd w:id="55"/>
    <w:p>
      <w:pPr>
        <w:jc w:val="both"/>
        <w:ind w:left="120"/>
        <w:spacing w:after="0" w:line="235" w:lineRule="auto"/>
        <w:rPr>
          <w:sz w:val="20"/>
          <w:szCs w:val="20"/>
          <w:color w:val="auto"/>
        </w:rPr>
      </w:pPr>
      <w:r>
        <w:rPr>
          <w:rFonts w:ascii="Arial" w:cs="Arial" w:eastAsia="Arial" w:hAnsi="Arial"/>
          <w:sz w:val="22"/>
          <w:szCs w:val="22"/>
          <w:color w:val="auto"/>
        </w:rPr>
        <w:t>investments, so long as such activities in the aggregate do not materially interfere or conflict with Executive’s duties hereunder or create a potential business or fiduciary conflict. After the first anniversary of the Start Date, Executive will be permitted to serve on the board of directors or advisory board for one (1) for-profit company without the prior written approval of the Board provided that Executive discloses such service to the Board and Executive’s service does not conflict with Executive’s fiduciary duty to the Company or create any appearance thereof or otherwise compete with the current or potential business operations of the Company.</w:t>
      </w:r>
    </w:p>
    <w:p>
      <w:pPr>
        <w:spacing w:after="0" w:line="228" w:lineRule="exact"/>
        <w:rPr>
          <w:sz w:val="20"/>
          <w:szCs w:val="20"/>
          <w:color w:val="auto"/>
        </w:rPr>
      </w:pPr>
    </w:p>
    <w:p>
      <w:pPr>
        <w:jc w:val="both"/>
        <w:ind w:left="100" w:firstLine="741"/>
        <w:spacing w:after="0" w:line="234" w:lineRule="auto"/>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Employment Period</w:t>
      </w:r>
      <w:r>
        <w:rPr>
          <w:rFonts w:ascii="Arial" w:cs="Arial" w:eastAsia="Arial" w:hAnsi="Arial"/>
          <w:sz w:val="22"/>
          <w:szCs w:val="22"/>
          <w:color w:val="auto"/>
        </w:rPr>
        <w:t>. The terms set forth in this Agreement will commence on October 23, 2023 (the “</w:t>
      </w:r>
      <w:r>
        <w:rPr>
          <w:rFonts w:ascii="Arial" w:cs="Arial" w:eastAsia="Arial" w:hAnsi="Arial"/>
          <w:sz w:val="22"/>
          <w:szCs w:val="22"/>
          <w:u w:val="single" w:color="auto"/>
          <w:color w:val="auto"/>
        </w:rPr>
        <w:t>Start Date</w:t>
      </w:r>
      <w:r>
        <w:rPr>
          <w:rFonts w:ascii="Arial" w:cs="Arial" w:eastAsia="Arial" w:hAnsi="Arial"/>
          <w:sz w:val="22"/>
          <w:szCs w:val="22"/>
          <w:color w:val="auto"/>
        </w:rPr>
        <w:t>”) and remain in effect until the fifth (5</w:t>
      </w:r>
      <w:r>
        <w:rPr>
          <w:rFonts w:ascii="Arial" w:cs="Arial" w:eastAsia="Arial" w:hAnsi="Arial"/>
          <w:sz w:val="14"/>
          <w:szCs w:val="14"/>
          <w:color w:val="auto"/>
        </w:rPr>
        <w:t>th</w:t>
      </w:r>
      <w:r>
        <w:rPr>
          <w:rFonts w:ascii="Arial" w:cs="Arial" w:eastAsia="Arial" w:hAnsi="Arial"/>
          <w:sz w:val="22"/>
          <w:szCs w:val="22"/>
          <w:color w:val="auto"/>
        </w:rPr>
        <w:t>) anniversary of the Start Date (the “</w:t>
      </w:r>
      <w:r>
        <w:rPr>
          <w:rFonts w:ascii="Arial" w:cs="Arial" w:eastAsia="Arial" w:hAnsi="Arial"/>
          <w:sz w:val="22"/>
          <w:szCs w:val="22"/>
          <w:u w:val="single" w:color="auto"/>
          <w:color w:val="auto"/>
        </w:rPr>
        <w:t>Initial Term</w:t>
      </w:r>
      <w:r>
        <w:rPr>
          <w:rFonts w:ascii="Arial" w:cs="Arial" w:eastAsia="Arial" w:hAnsi="Arial"/>
          <w:sz w:val="22"/>
          <w:szCs w:val="22"/>
          <w:color w:val="auto"/>
        </w:rPr>
        <w:t>”) unless earlier terminated as provided in Section 4 of this Agreement. The Initial Term shall automatically renew for additional one (1) year periods (each a “</w:t>
      </w:r>
      <w:r>
        <w:rPr>
          <w:rFonts w:ascii="Arial" w:cs="Arial" w:eastAsia="Arial" w:hAnsi="Arial"/>
          <w:sz w:val="22"/>
          <w:szCs w:val="22"/>
          <w:u w:val="single" w:color="auto"/>
          <w:color w:val="auto"/>
        </w:rPr>
        <w:t>Renewal Year</w:t>
      </w:r>
      <w:r>
        <w:rPr>
          <w:rFonts w:ascii="Arial" w:cs="Arial" w:eastAsia="Arial" w:hAnsi="Arial"/>
          <w:sz w:val="22"/>
          <w:szCs w:val="22"/>
          <w:color w:val="auto"/>
        </w:rPr>
        <w:t>”), unless the Company or Executive has delivered written notice of non-renewal to the other party at least ninety (90) days prior to the expiration of the Initial Term or the Renewal Year, or the Agreement is earlier terminated as provided in Section 4 of this Agreement. For purposes of this Agreement, the “</w:t>
      </w:r>
      <w:r>
        <w:rPr>
          <w:rFonts w:ascii="Arial" w:cs="Arial" w:eastAsia="Arial" w:hAnsi="Arial"/>
          <w:sz w:val="22"/>
          <w:szCs w:val="22"/>
          <w:u w:val="single" w:color="auto"/>
          <w:color w:val="auto"/>
        </w:rPr>
        <w:t>Term</w:t>
      </w:r>
      <w:r>
        <w:rPr>
          <w:rFonts w:ascii="Arial" w:cs="Arial" w:eastAsia="Arial" w:hAnsi="Arial"/>
          <w:sz w:val="22"/>
          <w:szCs w:val="22"/>
          <w:color w:val="auto"/>
        </w:rPr>
        <w:t>” shall refer to the Initial Term and any Renewal Year.</w:t>
      </w:r>
    </w:p>
    <w:p>
      <w:pPr>
        <w:spacing w:after="0" w:line="231" w:lineRule="exact"/>
        <w:rPr>
          <w:sz w:val="20"/>
          <w:szCs w:val="20"/>
          <w:color w:val="auto"/>
        </w:rPr>
      </w:pPr>
    </w:p>
    <w:p>
      <w:pPr>
        <w:jc w:val="both"/>
        <w:ind w:left="100" w:firstLine="741"/>
        <w:spacing w:after="0" w:line="250" w:lineRule="auto"/>
        <w:rPr>
          <w:sz w:val="20"/>
          <w:szCs w:val="20"/>
          <w:color w:val="auto"/>
        </w:rPr>
      </w:pPr>
      <w:r>
        <w:rPr>
          <w:rFonts w:ascii="Arial" w:cs="Arial" w:eastAsia="Arial" w:hAnsi="Arial"/>
          <w:sz w:val="22"/>
          <w:szCs w:val="22"/>
          <w:color w:val="auto"/>
        </w:rPr>
        <w:t>3.</w:t>
      </w: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 Subject to the terms and conditions of this Agreement, during the Term, the Executive shall be compensated by the Company for his services as follows:</w:t>
      </w:r>
    </w:p>
    <w:p>
      <w:pPr>
        <w:spacing w:after="0" w:line="202" w:lineRule="exact"/>
        <w:rPr>
          <w:sz w:val="20"/>
          <w:szCs w:val="20"/>
          <w:color w:val="auto"/>
        </w:rPr>
      </w:pPr>
    </w:p>
    <w:p>
      <w:pPr>
        <w:jc w:val="both"/>
        <w:ind w:left="100" w:firstLine="1489"/>
        <w:spacing w:after="0" w:line="236" w:lineRule="auto"/>
        <w:tabs>
          <w:tab w:leader="none" w:pos="1996"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Executive shall receive a salary of at least $1,000,000.00 per annum (the “</w:t>
      </w:r>
      <w:r>
        <w:rPr>
          <w:rFonts w:ascii="Arial" w:cs="Arial" w:eastAsia="Arial" w:hAnsi="Arial"/>
          <w:sz w:val="22"/>
          <w:szCs w:val="22"/>
          <w:u w:val="single" w:color="auto"/>
          <w:color w:val="auto"/>
        </w:rPr>
        <w:t>Base Salary</w:t>
      </w:r>
      <w:r>
        <w:rPr>
          <w:rFonts w:ascii="Arial" w:cs="Arial" w:eastAsia="Arial" w:hAnsi="Arial"/>
          <w:sz w:val="22"/>
          <w:szCs w:val="22"/>
          <w:color w:val="auto"/>
        </w:rPr>
        <w:t>”), subject to standard tax withholdings and deductions, and payable in substantially equal monthly or more frequent installments and in accordance with the Company’s general payroll practices in effect from time to time. The Compensation Committee of the Board may increase Executive’s Base Salary from time to time, and any such increased amount shall constitute the “Base Salary” for all purposes under this Agreement.</w:t>
      </w:r>
    </w:p>
    <w:p>
      <w:pPr>
        <w:spacing w:after="0" w:line="227" w:lineRule="exact"/>
        <w:rPr>
          <w:rFonts w:ascii="Arial" w:cs="Arial" w:eastAsia="Arial" w:hAnsi="Arial"/>
          <w:sz w:val="22"/>
          <w:szCs w:val="22"/>
          <w:color w:val="auto"/>
        </w:rPr>
      </w:pPr>
    </w:p>
    <w:p>
      <w:pPr>
        <w:jc w:val="both"/>
        <w:ind w:left="100" w:firstLine="1489"/>
        <w:spacing w:after="0" w:line="271" w:lineRule="auto"/>
        <w:tabs>
          <w:tab w:leader="none" w:pos="199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Annual Cash Bonus</w:t>
      </w:r>
      <w:r>
        <w:rPr>
          <w:rFonts w:ascii="Arial" w:cs="Arial" w:eastAsia="Arial" w:hAnsi="Arial"/>
          <w:sz w:val="19"/>
          <w:szCs w:val="19"/>
          <w:color w:val="auto"/>
        </w:rPr>
        <w:t>. Executive shall be eligible to receive a target annual cash bonus of $1,500,000.00, which target amount may be increased (but may not be decreased) by the Compensation Committee of the Board from time to time (as applicable, the “</w:t>
      </w:r>
      <w:r>
        <w:rPr>
          <w:rFonts w:ascii="Arial" w:cs="Arial" w:eastAsia="Arial" w:hAnsi="Arial"/>
          <w:sz w:val="19"/>
          <w:szCs w:val="19"/>
          <w:u w:val="single" w:color="auto"/>
          <w:color w:val="auto"/>
        </w:rPr>
        <w:t>Annual Cash Bonus</w:t>
      </w:r>
      <w:r>
        <w:rPr>
          <w:rFonts w:ascii="Arial" w:cs="Arial" w:eastAsia="Arial" w:hAnsi="Arial"/>
          <w:sz w:val="19"/>
          <w:szCs w:val="19"/>
          <w:color w:val="auto"/>
        </w:rPr>
        <w:t>”), subject to standard tax withholdings and deductions. The Compensation Committee of the Board may also pay to the Executive an Annual Cash Bonus in any given year that is greater than the target amount from time to time; provided, however, that any such payment in excess of the target Annual Cash Bonus shall not constitute an increase in Executive’s target Annual Cash Bonus for purposes of this Agreement. The amount of any Annual Cash Bonus paid to the Executive will be determined by the Compensation Committee of the Board based upon their good faith determination that Executive has satisfied certain performance criteria and benchmarks that shall be set each calendar year by the Board (or the Compensation Committee of the Board). Such performance criteria and benchmarks shall be set in good faith, consistent with the Company’s business plan and objectives, in consultation with Executive. The Annual Cash Bonus shall be payable to Executive within thirty (30) days following the release of the Company’s applicable financial results for the year to which the Annual Cash Bonus relates, but in no event later than 2- 1/2 months after the end of such year. Notwithstanding the foregoing, for the calendar year 2023, Executive will receive a pro-rated Annual Cash Bonus calculated by multiplying the gross 2023 Annual Cash Bonus of $1,500,00.00 by a fraction, the numerator of which is the number of days in 2023 on and after the Start Date during which Executive is employed by the Company and the denominator of which is 365 (the “</w:t>
      </w:r>
      <w:r>
        <w:rPr>
          <w:rFonts w:ascii="Arial" w:cs="Arial" w:eastAsia="Arial" w:hAnsi="Arial"/>
          <w:sz w:val="19"/>
          <w:szCs w:val="19"/>
          <w:u w:val="single" w:color="auto"/>
          <w:color w:val="auto"/>
        </w:rPr>
        <w:t>Pro-Rated Cash Bonus</w:t>
      </w:r>
      <w:r>
        <w:rPr>
          <w:rFonts w:ascii="Arial" w:cs="Arial" w:eastAsia="Arial" w:hAnsi="Arial"/>
          <w:sz w:val="19"/>
          <w:szCs w:val="19"/>
          <w:color w:val="auto"/>
        </w:rPr>
        <w:t>”). The Pro-Rated Cash Bonus will be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56" w:name="page57"/>
    <w:bookmarkEnd w:id="56"/>
    <w:p>
      <w:pPr>
        <w:ind w:left="120"/>
        <w:spacing w:after="0"/>
        <w:rPr>
          <w:sz w:val="20"/>
          <w:szCs w:val="20"/>
          <w:color w:val="auto"/>
        </w:rPr>
      </w:pPr>
      <w:r>
        <w:rPr>
          <w:rFonts w:ascii="Arial" w:cs="Arial" w:eastAsia="Arial" w:hAnsi="Arial"/>
          <w:sz w:val="19"/>
          <w:szCs w:val="19"/>
          <w:color w:val="auto"/>
        </w:rPr>
        <w:t>paid to Executive by March 15, 2024, in accordance with the Company’s general payroll practices in effect from time to time.</w:t>
      </w:r>
    </w:p>
    <w:p>
      <w:pPr>
        <w:spacing w:after="0" w:line="281" w:lineRule="exact"/>
        <w:rPr>
          <w:sz w:val="20"/>
          <w:szCs w:val="20"/>
          <w:color w:val="auto"/>
        </w:rPr>
      </w:pPr>
    </w:p>
    <w:p>
      <w:pPr>
        <w:ind w:left="2360" w:hanging="755"/>
        <w:spacing w:after="0"/>
        <w:tabs>
          <w:tab w:leader="none" w:pos="23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Annual Incentive Bonus</w:t>
      </w:r>
      <w:r>
        <w:rPr>
          <w:rFonts w:ascii="Arial" w:cs="Arial" w:eastAsia="Arial" w:hAnsi="Arial"/>
          <w:sz w:val="22"/>
          <w:szCs w:val="22"/>
          <w:color w:val="auto"/>
        </w:rPr>
        <w:t>.</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 Executive shall be eligible to receive a target annual incentive bonus of</w:t>
      </w:r>
    </w:p>
    <w:p>
      <w:pPr>
        <w:spacing w:after="0" w:line="8" w:lineRule="exact"/>
        <w:rPr>
          <w:sz w:val="20"/>
          <w:szCs w:val="20"/>
          <w:color w:val="auto"/>
        </w:rPr>
      </w:pPr>
    </w:p>
    <w:p>
      <w:pPr>
        <w:jc w:val="both"/>
        <w:ind w:left="120"/>
        <w:spacing w:after="0" w:line="269" w:lineRule="auto"/>
        <w:rPr>
          <w:sz w:val="20"/>
          <w:szCs w:val="20"/>
          <w:color w:val="auto"/>
        </w:rPr>
      </w:pPr>
      <w:r>
        <w:rPr>
          <w:rFonts w:ascii="Arial" w:cs="Arial" w:eastAsia="Arial" w:hAnsi="Arial"/>
          <w:sz w:val="19"/>
          <w:szCs w:val="19"/>
          <w:color w:val="auto"/>
        </w:rPr>
        <w:t>$5,000,000.00, which target amount may be increased (but may not be decreased) by the Compensation Committee of the Board from time to time (as applicable, the “</w:t>
      </w:r>
      <w:r>
        <w:rPr>
          <w:rFonts w:ascii="Arial" w:cs="Arial" w:eastAsia="Arial" w:hAnsi="Arial"/>
          <w:sz w:val="19"/>
          <w:szCs w:val="19"/>
          <w:u w:val="single" w:color="auto"/>
          <w:color w:val="auto"/>
        </w:rPr>
        <w:t>Annual Incentive Bonus</w:t>
      </w:r>
      <w:r>
        <w:rPr>
          <w:rFonts w:ascii="Arial" w:cs="Arial" w:eastAsia="Arial" w:hAnsi="Arial"/>
          <w:sz w:val="19"/>
          <w:szCs w:val="19"/>
          <w:color w:val="auto"/>
        </w:rPr>
        <w:t>”). The Compensation Committee of the Board may also pay to Executive an Annual Incentive Bonus in any given year that is greater than the target amount from time to time; provided, however, that any such payment in excess of the target Annual Incentive Bonus shall not constitute an increase in Executive’s target Annual Incentive Bonus entitlement for purposes of this Agreement. The amount of any Annual Incentive Bonus paid to the Executive will be determined by the Compensation Committee of the Board based upon their good faith determination that Executive has satisfied certain performance criteria and benchmarks that shall be set each calendar year by the Board (or the Compensation Committee of the Board). Such performance criteria and benchmarks shall be set in good faith, consistent with the Company’s business plan and objectives, in consultation with Executive. The Annual Incentive Bonus will be awarded (i) seventy percent (70%) in the form of carried interest in the investment vehicles of the Company’s Affiliated Entities (as defined below), (ii) twenty percent (20%) in Company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and (iii) ten percent (10%) in Company stock options, valued based on a Black-Scholes valuation methodology consistent with the Company’s financial reporting. The grant date value of the carried interest awards granted under this Section 3(c) shall be determined for purposes of the above based upon a reasonable methodology consistent with targeted values described in the applicable investment vehicle offering materials of the Affiliated Entities and the Company’s practice generally for awarding carried interest to employees, and shall be allocated amount the Affiliated Entities as broadly as practicable among the Affiliated Entities from time to time, as determined by the Company in consultation with Executive.</w:t>
      </w:r>
    </w:p>
    <w:p>
      <w:pPr>
        <w:spacing w:after="0" w:line="193" w:lineRule="exact"/>
        <w:rPr>
          <w:sz w:val="20"/>
          <w:szCs w:val="20"/>
          <w:color w:val="auto"/>
        </w:rPr>
      </w:pPr>
    </w:p>
    <w:p>
      <w:pPr>
        <w:jc w:val="both"/>
        <w:ind w:left="100" w:firstLine="2222"/>
        <w:spacing w:after="0" w:line="273" w:lineRule="auto"/>
        <w:rPr>
          <w:sz w:val="20"/>
          <w:szCs w:val="20"/>
          <w:color w:val="auto"/>
        </w:rPr>
      </w:pPr>
      <w:r>
        <w:rPr>
          <w:rFonts w:ascii="Arial" w:cs="Arial" w:eastAsia="Arial" w:hAnsi="Arial"/>
          <w:sz w:val="19"/>
          <w:szCs w:val="19"/>
          <w:color w:val="auto"/>
        </w:rPr>
        <w:t>(ii)Each of the foregoing Annual Incentive Bonus awards shall be granted on the date that the Annual Cash Bonus is paid as provided in Section 3(b) above and shall be subject to annual pro-rata vesting based on Executive’s continued service until the fourth (4th) anniversary of the date of grant. Such awards shall be subject to the terms and conditions of the award agreements or other instruments in the form attached hereto as Exhibit A and in the case of RSUs and stock options issued under the P10, Inc. 2021 Incentive Plan, as such plan may be amended from time to time or any successor plan thereto (the “</w:t>
      </w:r>
      <w:r>
        <w:rPr>
          <w:rFonts w:ascii="Arial" w:cs="Arial" w:eastAsia="Arial" w:hAnsi="Arial"/>
          <w:sz w:val="19"/>
          <w:szCs w:val="19"/>
          <w:u w:val="single" w:color="auto"/>
          <w:color w:val="auto"/>
        </w:rPr>
        <w:t>Incentive Plan</w:t>
      </w:r>
      <w:r>
        <w:rPr>
          <w:rFonts w:ascii="Arial" w:cs="Arial" w:eastAsia="Arial" w:hAnsi="Arial"/>
          <w:sz w:val="19"/>
          <w:szCs w:val="19"/>
          <w:color w:val="auto"/>
        </w:rPr>
        <w:t>”). In the event that shares of Company’s common stock are not available for any reason to fulfill any award to Executive that is contemplated by this Agreement (including this Section 3(c) and Section 3(e)) prior to any applicable grant date, the Company will provide Executive with the cash equivalent of any such share-based award that cannot otherwise be made in compliance with the Incentive Plan or otherwise. The Company shall make good faith efforts to make available such shares and to obtain any required stockholder approval.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57" w:name="page58"/>
    <w:bookmarkEnd w:id="57"/>
    <w:p>
      <w:pPr>
        <w:ind w:left="100" w:firstLine="1489"/>
        <w:spacing w:after="0" w:line="239" w:lineRule="auto"/>
        <w:tabs>
          <w:tab w:leader="none" w:pos="1996"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Initial Signing Bonus</w:t>
      </w:r>
      <w:r>
        <w:rPr>
          <w:rFonts w:ascii="Arial" w:cs="Arial" w:eastAsia="Arial" w:hAnsi="Arial"/>
          <w:sz w:val="22"/>
          <w:szCs w:val="22"/>
          <w:color w:val="auto"/>
        </w:rPr>
        <w:t>. As soon as administratively practical after the Start Date, the Company will award Executive an initial bonus with an aggregate gross value of</w:t>
      </w:r>
    </w:p>
    <w:p>
      <w:pPr>
        <w:jc w:val="both"/>
        <w:ind w:left="120" w:right="20"/>
        <w:spacing w:after="0" w:line="287" w:lineRule="auto"/>
        <w:rPr>
          <w:rFonts w:ascii="Arial" w:cs="Arial" w:eastAsia="Arial" w:hAnsi="Arial"/>
          <w:sz w:val="22"/>
          <w:szCs w:val="22"/>
          <w:color w:val="auto"/>
        </w:rPr>
      </w:pPr>
      <w:r>
        <w:rPr>
          <w:rFonts w:ascii="Arial" w:cs="Arial" w:eastAsia="Arial" w:hAnsi="Arial"/>
          <w:sz w:val="19"/>
          <w:szCs w:val="19"/>
          <w:color w:val="auto"/>
        </w:rPr>
        <w:t>$1,000,000.00 (the “</w:t>
      </w:r>
      <w:r>
        <w:rPr>
          <w:rFonts w:ascii="Arial" w:cs="Arial" w:eastAsia="Arial" w:hAnsi="Arial"/>
          <w:sz w:val="19"/>
          <w:szCs w:val="19"/>
          <w:u w:val="single" w:color="auto"/>
          <w:color w:val="auto"/>
        </w:rPr>
        <w:t>Signing Bonus</w:t>
      </w:r>
      <w:r>
        <w:rPr>
          <w:rFonts w:ascii="Arial" w:cs="Arial" w:eastAsia="Arial" w:hAnsi="Arial"/>
          <w:sz w:val="19"/>
          <w:szCs w:val="19"/>
          <w:color w:val="auto"/>
        </w:rPr>
        <w:t>”). The Signing Bonus will be paid in accordance with the Company’s general payroll practices in effect from time to time in the form of fully vested shares of the Company’s common stock based on the closing price of the Company’s common stock on October 20, 2023, net of all standard tax withholdings and deductions.</w:t>
      </w:r>
    </w:p>
    <w:p>
      <w:pPr>
        <w:spacing w:after="0" w:line="183" w:lineRule="exact"/>
        <w:rPr>
          <w:rFonts w:ascii="Arial" w:cs="Arial" w:eastAsia="Arial" w:hAnsi="Arial"/>
          <w:sz w:val="22"/>
          <w:szCs w:val="22"/>
          <w:color w:val="auto"/>
        </w:rPr>
      </w:pPr>
    </w:p>
    <w:p>
      <w:pPr>
        <w:ind w:left="2360" w:hanging="755"/>
        <w:spacing w:after="0"/>
        <w:tabs>
          <w:tab w:leader="none" w:pos="23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Long-Term Incentives</w:t>
      </w:r>
      <w:r>
        <w:rPr>
          <w:rFonts w:ascii="Arial" w:cs="Arial" w:eastAsia="Arial" w:hAnsi="Arial"/>
          <w:sz w:val="22"/>
          <w:szCs w:val="22"/>
          <w:color w:val="auto"/>
        </w:rPr>
        <w:t>.</w:t>
      </w:r>
    </w:p>
    <w:p>
      <w:pPr>
        <w:spacing w:after="0" w:line="247" w:lineRule="exact"/>
        <w:rPr>
          <w:sz w:val="20"/>
          <w:szCs w:val="20"/>
          <w:color w:val="auto"/>
        </w:rPr>
      </w:pPr>
    </w:p>
    <w:p>
      <w:pPr>
        <w:jc w:val="both"/>
        <w:ind w:left="100" w:firstLine="2222"/>
        <w:spacing w:after="0" w:line="282" w:lineRule="auto"/>
        <w:rPr>
          <w:sz w:val="20"/>
          <w:szCs w:val="20"/>
          <w:color w:val="auto"/>
        </w:rPr>
      </w:pPr>
      <w:r>
        <w:rPr>
          <w:rFonts w:ascii="Arial" w:cs="Arial" w:eastAsia="Arial" w:hAnsi="Arial"/>
          <w:sz w:val="19"/>
          <w:szCs w:val="19"/>
          <w:u w:val="single" w:color="auto"/>
          <w:color w:val="auto"/>
        </w:rPr>
        <w:t>(i)Start Date RSU Awards</w:t>
      </w:r>
      <w:r>
        <w:rPr>
          <w:rFonts w:ascii="Arial" w:cs="Arial" w:eastAsia="Arial" w:hAnsi="Arial"/>
          <w:sz w:val="19"/>
          <w:szCs w:val="19"/>
          <w:color w:val="auto"/>
        </w:rPr>
        <w:t>. As soon as administratively practical following the Start Date, Executive shall receive an award of RSUs under the Incentive Plan with an aggregate value of $6,000,000.00 based on the fair market value of the Company’s common stock on the grant date of such award, which shall vest ratably over the first three anniversaries of the Start Date subject to Executive’s continuous employment with the Company. These RSUs shall be subject at all times to the terms and conditions of the Incentive Plan and the award agreements granted thereunder.</w:t>
      </w:r>
    </w:p>
    <w:p>
      <w:pPr>
        <w:spacing w:after="0" w:line="147" w:lineRule="exact"/>
        <w:rPr>
          <w:sz w:val="20"/>
          <w:szCs w:val="20"/>
          <w:color w:val="auto"/>
        </w:rPr>
      </w:pPr>
    </w:p>
    <w:p>
      <w:pPr>
        <w:jc w:val="both"/>
        <w:ind w:left="100" w:firstLine="2222"/>
        <w:spacing w:after="0" w:line="245" w:lineRule="auto"/>
        <w:rPr>
          <w:sz w:val="20"/>
          <w:szCs w:val="20"/>
          <w:color w:val="auto"/>
        </w:rPr>
      </w:pPr>
      <w:r>
        <w:rPr>
          <w:rFonts w:ascii="Arial" w:cs="Arial" w:eastAsia="Arial" w:hAnsi="Arial"/>
          <w:sz w:val="21"/>
          <w:szCs w:val="21"/>
          <w:u w:val="single" w:color="auto"/>
          <w:color w:val="auto"/>
        </w:rPr>
        <w:t>(ii)Additional RSU Awards</w:t>
      </w:r>
      <w:r>
        <w:rPr>
          <w:rFonts w:ascii="Arial" w:cs="Arial" w:eastAsia="Arial" w:hAnsi="Arial"/>
          <w:sz w:val="21"/>
          <w:szCs w:val="21"/>
          <w:color w:val="auto"/>
        </w:rPr>
        <w:t>. Executive shall be entitled to receive additional grants of RSUs under the Incentive Plan upon the thirty (30) day volume-weighted average price (“</w:t>
      </w:r>
      <w:r>
        <w:rPr>
          <w:rFonts w:ascii="Arial" w:cs="Arial" w:eastAsia="Arial" w:hAnsi="Arial"/>
          <w:sz w:val="21"/>
          <w:szCs w:val="21"/>
          <w:u w:val="single" w:color="auto"/>
          <w:color w:val="auto"/>
        </w:rPr>
        <w:t>VWAP</w:t>
      </w:r>
      <w:r>
        <w:rPr>
          <w:rFonts w:ascii="Arial" w:cs="Arial" w:eastAsia="Arial" w:hAnsi="Arial"/>
          <w:sz w:val="21"/>
          <w:szCs w:val="21"/>
          <w:color w:val="auto"/>
        </w:rPr>
        <w:t>”) of the Company’s common stock reaching $13.50 per share, $17.00 per share, $20.00 per share, $25.00 per share, and $32.00 per share at any time prior to the fifth anniversary of the Start Date. Each such grant of RSUs shall have an aggregate value of</w:t>
      </w:r>
    </w:p>
    <w:p>
      <w:pPr>
        <w:spacing w:after="0" w:line="4" w:lineRule="exact"/>
        <w:rPr>
          <w:sz w:val="20"/>
          <w:szCs w:val="20"/>
          <w:color w:val="auto"/>
        </w:rPr>
      </w:pPr>
    </w:p>
    <w:p>
      <w:pPr>
        <w:jc w:val="both"/>
        <w:ind w:left="120"/>
        <w:spacing w:after="0" w:line="271" w:lineRule="auto"/>
        <w:rPr>
          <w:sz w:val="20"/>
          <w:szCs w:val="20"/>
          <w:color w:val="auto"/>
        </w:rPr>
      </w:pPr>
      <w:r>
        <w:rPr>
          <w:rFonts w:ascii="Arial" w:cs="Arial" w:eastAsia="Arial" w:hAnsi="Arial"/>
          <w:sz w:val="19"/>
          <w:szCs w:val="19"/>
          <w:color w:val="auto"/>
        </w:rPr>
        <w:t>$8,000,000.00, with the number of shares subject to the RSUs determined by dividing $8,000,000 by the applicable stock price performance hurdle so achieved. The RSUs shall vest ratably on the third, fourth, and fifth anniversaries of the Start Date, provided that no such RSUs shall vest earlier than the first anniversary of the applicable grant date of such RSUs. Such awards shall be subject to the terms and conditions of the award agreements or other instruments in the form attached hereto as Exhibit B and the Incentive Plan. Executive must remain continuously employed by the Company through the satisfaction of each of the respective share price performance hurdles in order to remain eligible to receive the corresponding award of RSUs under the Incentive Plan, except as provided in Sections 5 and 6 below. Notwithstanding the last sentence, in the event of a Change in Control (as defined in the below), Executive shall be entitled to receive, in lieu of RSUs, a cash payment equal to a portion of $8,000,000.00 that will be determined based on the Company’s then-current VWAP in relation to the next-highest VWAP performance hurdle. For example, if the Company’s VWAP upon a Change in Control is $xx.xx per share, Executive will be entitled to a cash payment equal to $4,000,000.00.</w:t>
      </w:r>
    </w:p>
    <w:p>
      <w:pPr>
        <w:spacing w:after="0" w:line="184" w:lineRule="exact"/>
        <w:rPr>
          <w:sz w:val="20"/>
          <w:szCs w:val="20"/>
          <w:color w:val="auto"/>
        </w:rPr>
      </w:pPr>
    </w:p>
    <w:p>
      <w:pPr>
        <w:jc w:val="both"/>
        <w:ind w:left="100" w:firstLine="1489"/>
        <w:spacing w:after="0" w:line="234" w:lineRule="auto"/>
        <w:tabs>
          <w:tab w:leader="none" w:pos="199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Employee Benefits</w:t>
      </w:r>
      <w:r>
        <w:rPr>
          <w:rFonts w:ascii="Arial" w:cs="Arial" w:eastAsia="Arial" w:hAnsi="Arial"/>
          <w:sz w:val="22"/>
          <w:szCs w:val="22"/>
          <w:color w:val="auto"/>
        </w:rPr>
        <w:t>. Executive shall be entitled to participate in all employee benefit plans, practices, and programs maintained by the Company, as in effect from time to time, that are available to other senior level executives, which includes health and dental insurance and Section 401(k) pension plan (collectively, “</w:t>
      </w:r>
      <w:r>
        <w:rPr>
          <w:rFonts w:ascii="Arial" w:cs="Arial" w:eastAsia="Arial" w:hAnsi="Arial"/>
          <w:sz w:val="22"/>
          <w:szCs w:val="22"/>
          <w:u w:val="single" w:color="auto"/>
          <w:color w:val="auto"/>
        </w:rPr>
        <w:t>Employee Benefit Plans</w:t>
      </w:r>
      <w:r>
        <w:rPr>
          <w:rFonts w:ascii="Arial" w:cs="Arial" w:eastAsia="Arial" w:hAnsi="Arial"/>
          <w:sz w:val="22"/>
          <w:szCs w:val="22"/>
          <w:color w:val="auto"/>
        </w:rPr>
        <w:t>”), on a basis which is no less favorable than is provided to other senior level executives of the Company, to the extent consistent with applicable law and the terms of the applicable Employee Benefit Plans. The Company reserves the right to amend or cancel any Employee Benefit Plan at any time in its sole discretion, subject to the terms of such Employee Benefit Plan and applicable law. Any benefits available to the Executive are subject to the rules of the relevant plan or program from time to time in force.</w:t>
      </w:r>
    </w:p>
    <w:p>
      <w:pPr>
        <w:spacing w:after="0" w:line="51" w:lineRule="exact"/>
        <w:rPr>
          <w:rFonts w:ascii="Arial" w:cs="Arial" w:eastAsia="Arial" w:hAnsi="Arial"/>
          <w:sz w:val="22"/>
          <w:szCs w:val="22"/>
          <w:color w:val="auto"/>
        </w:rPr>
      </w:pPr>
    </w:p>
    <w:p>
      <w:pPr>
        <w:ind w:left="100" w:firstLine="1489"/>
        <w:spacing w:after="0" w:line="250" w:lineRule="auto"/>
        <w:tabs>
          <w:tab w:leader="none" w:pos="199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Vacation; Perquisites</w:t>
      </w:r>
      <w:r>
        <w:rPr>
          <w:rFonts w:ascii="Arial" w:cs="Arial" w:eastAsia="Arial" w:hAnsi="Arial"/>
          <w:sz w:val="22"/>
          <w:szCs w:val="22"/>
          <w:color w:val="auto"/>
        </w:rPr>
        <w:t>. The Executive shall be entitled to vacation in accordance with the Company’s standard vacation policy extended to Executives of the Company. The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58" w:name="page59"/>
    <w:bookmarkEnd w:id="58"/>
    <w:p>
      <w:pPr>
        <w:ind w:left="100"/>
        <w:spacing w:after="0" w:line="250" w:lineRule="auto"/>
        <w:rPr>
          <w:sz w:val="20"/>
          <w:szCs w:val="20"/>
          <w:color w:val="auto"/>
        </w:rPr>
      </w:pPr>
      <w:r>
        <w:rPr>
          <w:rFonts w:ascii="Arial" w:cs="Arial" w:eastAsia="Arial" w:hAnsi="Arial"/>
          <w:sz w:val="22"/>
          <w:szCs w:val="22"/>
          <w:color w:val="auto"/>
        </w:rPr>
        <w:t>Executive shall be entitled to any other benefits and perquisites on substantially the same terms and conditions as may be awarded to the employees of the Company from time to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402" w:right="479" w:bottom="1440" w:gutter="0" w:footer="0" w:header="0"/>
        </w:sectPr>
      </w:pPr>
    </w:p>
    <w:bookmarkStart w:id="59" w:name="page60"/>
    <w:bookmarkEnd w:id="59"/>
    <w:p>
      <w:pPr>
        <w:jc w:val="both"/>
        <w:ind w:left="100" w:firstLine="1489"/>
        <w:spacing w:after="0" w:line="234" w:lineRule="auto"/>
        <w:tabs>
          <w:tab w:leader="none" w:pos="199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Executive shall be reimbursed by the Company for all reasonable business, promotional, travel, and entertainment expenses incurred or paid by the Executive during the Term in the performance of his services under this Agreement in accordance with the Company’s reimbursement policy. Executive may fly and shall be reimbursed for business class air-travel expenses when traveling for business related purposes. In order that the Company reimburse the Executive for such allowable expenses, the Executive shall furnish to the Company, in a timely fashion, the appropriate documentation required by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in connection with such expenses and shall furnish such other documentation and accounting as the Company may reasonably request from time to time.</w:t>
      </w:r>
    </w:p>
    <w:p>
      <w:pPr>
        <w:spacing w:after="0" w:line="213" w:lineRule="exact"/>
        <w:rPr>
          <w:rFonts w:ascii="Arial" w:cs="Arial" w:eastAsia="Arial" w:hAnsi="Arial"/>
          <w:sz w:val="22"/>
          <w:szCs w:val="22"/>
          <w:color w:val="auto"/>
        </w:rPr>
      </w:pPr>
    </w:p>
    <w:p>
      <w:pPr>
        <w:jc w:val="both"/>
        <w:ind w:left="100" w:firstLine="1489"/>
        <w:spacing w:after="0" w:line="238" w:lineRule="auto"/>
        <w:tabs>
          <w:tab w:leader="none" w:pos="199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Reimbursement of Legal Expenses</w:t>
      </w:r>
      <w:r>
        <w:rPr>
          <w:rFonts w:ascii="Arial" w:cs="Arial" w:eastAsia="Arial" w:hAnsi="Arial"/>
          <w:sz w:val="22"/>
          <w:szCs w:val="22"/>
          <w:color w:val="auto"/>
        </w:rPr>
        <w:t>. The Company shall reimburse Executive as promptly as practicable for the reasonable legal expenses Executive incurred in negotiating the terms of this Agreement up to $85,000.00, provided that Executive provides the Company with supporting documentation in accordance with the Company’s reimbursement policy.</w:t>
      </w:r>
    </w:p>
    <w:p>
      <w:pPr>
        <w:spacing w:after="0" w:line="184" w:lineRule="exact"/>
        <w:rPr>
          <w:rFonts w:ascii="Arial" w:cs="Arial" w:eastAsia="Arial" w:hAnsi="Arial"/>
          <w:sz w:val="22"/>
          <w:szCs w:val="22"/>
          <w:color w:val="auto"/>
        </w:rPr>
      </w:pPr>
    </w:p>
    <w:p>
      <w:pPr>
        <w:ind w:left="2360" w:hanging="755"/>
        <w:spacing w:after="0"/>
        <w:tabs>
          <w:tab w:leader="none" w:pos="236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47" w:lineRule="exact"/>
        <w:rPr>
          <w:sz w:val="20"/>
          <w:szCs w:val="20"/>
          <w:color w:val="auto"/>
        </w:rPr>
      </w:pPr>
    </w:p>
    <w:p>
      <w:pPr>
        <w:jc w:val="both"/>
        <w:ind w:left="100" w:firstLine="2311"/>
        <w:spacing w:after="0" w:line="273" w:lineRule="auto"/>
        <w:rPr>
          <w:sz w:val="20"/>
          <w:szCs w:val="20"/>
          <w:color w:val="auto"/>
        </w:rPr>
      </w:pPr>
      <w:r>
        <w:rPr>
          <w:rFonts w:ascii="Arial" w:cs="Arial" w:eastAsia="Arial" w:hAnsi="Arial"/>
          <w:sz w:val="19"/>
          <w:szCs w:val="19"/>
          <w:color w:val="auto"/>
        </w:rPr>
        <w:t>(i)If the Executive is made a party or threatened to be made a party to any action, suit, inquiry or proceeding, whether civil, criminal, administrative, investigative or otherwise (a “</w:t>
      </w:r>
      <w:r>
        <w:rPr>
          <w:rFonts w:ascii="Arial" w:cs="Arial" w:eastAsia="Arial" w:hAnsi="Arial"/>
          <w:sz w:val="19"/>
          <w:szCs w:val="19"/>
          <w:u w:val="single" w:color="auto"/>
          <w:color w:val="auto"/>
        </w:rPr>
        <w:t>Proceeding</w:t>
      </w:r>
      <w:r>
        <w:rPr>
          <w:rFonts w:ascii="Arial" w:cs="Arial" w:eastAsia="Arial" w:hAnsi="Arial"/>
          <w:sz w:val="19"/>
          <w:szCs w:val="19"/>
          <w:color w:val="auto"/>
        </w:rPr>
        <w:t>”), other than any Proceeding initiated by the Executive or the Company, P10, or any Affiliated Entity (as defined below) related to any contest or dispute between the Executive and the Company, P10 or any Affiliated Entity with respect to this Agreement or the Executive’s employment hereunder, by reason of the fact that the Executive is or was a director or officer of the Company, P10, or any Affiliated Entity, or is or was serving at the request of the Company as a director, officer, member, manager, employee, or agent of any Affiliated Entity or other corporation or a partnership, joint venture, trust, or other enterprise, the Executive shall be indemnified and held harmless by the Company to the maximum extent permitted under applicable law from and against any liabilities, costs, claims, and expenses, including all costs and expenses incurred in connection with, relating to, or arising from the defense of any Proceeding (including amounts payable to a claimant and reasonable attorneys’ fees (including expert advisor fees), with the Company bearing the burden of proving that such fees are unreasonable).</w:t>
      </w:r>
    </w:p>
    <w:p>
      <w:pPr>
        <w:spacing w:after="0" w:line="196" w:lineRule="exact"/>
        <w:rPr>
          <w:sz w:val="20"/>
          <w:szCs w:val="20"/>
          <w:color w:val="auto"/>
        </w:rPr>
      </w:pPr>
    </w:p>
    <w:p>
      <w:pPr>
        <w:jc w:val="both"/>
        <w:ind w:left="100" w:firstLine="2222"/>
        <w:spacing w:after="0"/>
        <w:rPr>
          <w:sz w:val="20"/>
          <w:szCs w:val="20"/>
          <w:color w:val="auto"/>
        </w:rPr>
      </w:pPr>
      <w:r>
        <w:rPr>
          <w:rFonts w:ascii="Arial" w:cs="Arial" w:eastAsia="Arial" w:hAnsi="Arial"/>
          <w:sz w:val="22"/>
          <w:szCs w:val="22"/>
          <w:color w:val="auto"/>
        </w:rPr>
        <w:t>(ii)During the Term, the Company shall purchase and maintain, at its own expense, directors’ and officers’ liability insurance providing coverage to the Executive on terms that are no less favorable than the coverage provided to other directors and similarly situated executives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591" w:right="459" w:bottom="1440" w:gutter="0" w:footer="0" w:header="0"/>
        </w:sectPr>
      </w:pPr>
    </w:p>
    <w:bookmarkStart w:id="60" w:name="page61"/>
    <w:bookmarkEnd w:id="60"/>
    <w:p>
      <w:pPr>
        <w:ind w:left="1600" w:hanging="744"/>
        <w:spacing w:after="0"/>
        <w:tabs>
          <w:tab w:leader="none" w:pos="160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2360" w:hanging="755"/>
        <w:spacing w:after="0"/>
        <w:tabs>
          <w:tab w:leader="none" w:pos="236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Termination at the Company’s Election</w:t>
      </w:r>
      <w:r>
        <w:rPr>
          <w:rFonts w:ascii="Arial" w:cs="Arial" w:eastAsia="Arial" w:hAnsi="Arial"/>
          <w:sz w:val="22"/>
          <w:szCs w:val="22"/>
          <w:color w:val="auto"/>
        </w:rPr>
        <w:t>.</w:t>
      </w:r>
    </w:p>
    <w:p>
      <w:pPr>
        <w:spacing w:after="0" w:line="247" w:lineRule="exact"/>
        <w:rPr>
          <w:sz w:val="20"/>
          <w:szCs w:val="20"/>
          <w:color w:val="auto"/>
        </w:rPr>
      </w:pPr>
    </w:p>
    <w:p>
      <w:pPr>
        <w:jc w:val="both"/>
        <w:ind w:left="100" w:firstLine="2222"/>
        <w:spacing w:after="0"/>
        <w:rPr>
          <w:sz w:val="20"/>
          <w:szCs w:val="20"/>
          <w:color w:val="auto"/>
        </w:rPr>
      </w:pPr>
      <w:r>
        <w:rPr>
          <w:rFonts w:ascii="Arial" w:cs="Arial" w:eastAsia="Arial" w:hAnsi="Arial"/>
          <w:sz w:val="22"/>
          <w:szCs w:val="22"/>
          <w:u w:val="single" w:color="auto"/>
          <w:color w:val="auto"/>
        </w:rPr>
        <w:t>(i)For Cause</w:t>
      </w:r>
      <w:r>
        <w:rPr>
          <w:rFonts w:ascii="Arial" w:cs="Arial" w:eastAsia="Arial" w:hAnsi="Arial"/>
          <w:sz w:val="22"/>
          <w:szCs w:val="22"/>
          <w:color w:val="auto"/>
        </w:rPr>
        <w:t>. At the election of the Board, Executive’s employment may be terminated for Cause as provided below. For purposes of this Agreement, “</w:t>
      </w:r>
      <w:r>
        <w:rPr>
          <w:rFonts w:ascii="Arial" w:cs="Arial" w:eastAsia="Arial" w:hAnsi="Arial"/>
          <w:sz w:val="22"/>
          <w:szCs w:val="22"/>
          <w:u w:val="single" w:color="auto"/>
          <w:color w:val="auto"/>
        </w:rPr>
        <w:t>Cause</w:t>
      </w:r>
      <w:r>
        <w:rPr>
          <w:rFonts w:ascii="Arial" w:cs="Arial" w:eastAsia="Arial" w:hAnsi="Arial"/>
          <w:sz w:val="22"/>
          <w:szCs w:val="22"/>
          <w:color w:val="auto"/>
        </w:rPr>
        <w:t>” shall mean a good faith determination by the Board that one or more of the following events exists or occurred:</w:t>
      </w:r>
    </w:p>
    <w:p>
      <w:pPr>
        <w:spacing w:after="0" w:line="186" w:lineRule="exact"/>
        <w:rPr>
          <w:sz w:val="20"/>
          <w:szCs w:val="20"/>
          <w:color w:val="auto"/>
        </w:rPr>
      </w:pPr>
    </w:p>
    <w:p>
      <w:pPr>
        <w:jc w:val="both"/>
        <w:ind w:left="3100" w:hanging="746"/>
        <w:spacing w:after="0"/>
        <w:tabs>
          <w:tab w:leader="none" w:pos="31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Executive pleads “guilty” or “no contest” to or is indicted for or convicted of a felony under federal or state law or a crime under federal or state law which involves Executive’s fraud or dishonesty; or</w:t>
      </w:r>
    </w:p>
    <w:p>
      <w:pPr>
        <w:spacing w:after="0" w:line="213" w:lineRule="exact"/>
        <w:rPr>
          <w:rFonts w:ascii="Arial" w:cs="Arial" w:eastAsia="Arial" w:hAnsi="Arial"/>
          <w:sz w:val="22"/>
          <w:szCs w:val="22"/>
          <w:color w:val="auto"/>
        </w:rPr>
      </w:pPr>
    </w:p>
    <w:p>
      <w:pPr>
        <w:ind w:left="3100" w:hanging="746"/>
        <w:spacing w:after="0" w:line="250" w:lineRule="auto"/>
        <w:tabs>
          <w:tab w:leader="none" w:pos="31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Executive in carrying out his duties, engages in conduct that constitutes gross negligence or willful misconduct; or</w:t>
      </w:r>
    </w:p>
    <w:p>
      <w:pPr>
        <w:spacing w:after="0" w:line="215" w:lineRule="exact"/>
        <w:rPr>
          <w:rFonts w:ascii="Arial" w:cs="Arial" w:eastAsia="Arial" w:hAnsi="Arial"/>
          <w:sz w:val="22"/>
          <w:szCs w:val="22"/>
          <w:color w:val="auto"/>
        </w:rPr>
      </w:pPr>
    </w:p>
    <w:p>
      <w:pPr>
        <w:jc w:val="both"/>
        <w:ind w:left="3100" w:hanging="746"/>
        <w:spacing w:after="0" w:line="273" w:lineRule="auto"/>
        <w:tabs>
          <w:tab w:leader="none" w:pos="3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Executive engages in misconduct that causes material harm to the reputation of the Company, P10, or the Affiliated Entities (as defined below) or knowingly or recklessly engages in conduct which is demonstrably and materially injurious to the Company,</w:t>
      </w:r>
    </w:p>
    <w:p>
      <w:pPr>
        <w:spacing w:after="0" w:line="1" w:lineRule="exact"/>
        <w:rPr>
          <w:rFonts w:ascii="Arial" w:cs="Arial" w:eastAsia="Arial" w:hAnsi="Arial"/>
          <w:sz w:val="19"/>
          <w:szCs w:val="19"/>
          <w:color w:val="auto"/>
        </w:rPr>
      </w:pPr>
    </w:p>
    <w:p>
      <w:pPr>
        <w:ind w:left="3100"/>
        <w:spacing w:after="0"/>
        <w:rPr>
          <w:rFonts w:ascii="Arial" w:cs="Arial" w:eastAsia="Arial" w:hAnsi="Arial"/>
          <w:sz w:val="19"/>
          <w:szCs w:val="19"/>
          <w:color w:val="auto"/>
        </w:rPr>
      </w:pPr>
      <w:r>
        <w:rPr>
          <w:rFonts w:ascii="Arial" w:cs="Arial" w:eastAsia="Arial" w:hAnsi="Arial"/>
          <w:sz w:val="22"/>
          <w:szCs w:val="22"/>
          <w:color w:val="auto"/>
        </w:rPr>
        <w:t>P10, or any of the Affiliated Entities, monetarily or otherwise; or</w:t>
      </w:r>
    </w:p>
    <w:p>
      <w:pPr>
        <w:spacing w:after="0" w:line="228" w:lineRule="exact"/>
        <w:rPr>
          <w:rFonts w:ascii="Arial" w:cs="Arial" w:eastAsia="Arial" w:hAnsi="Arial"/>
          <w:sz w:val="19"/>
          <w:szCs w:val="19"/>
          <w:color w:val="auto"/>
        </w:rPr>
      </w:pPr>
    </w:p>
    <w:p>
      <w:pPr>
        <w:jc w:val="both"/>
        <w:ind w:left="3100" w:hanging="746"/>
        <w:spacing w:after="0"/>
        <w:tabs>
          <w:tab w:leader="none" w:pos="31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Executive materially breaches any term of this Agreement or written policy of the Company or P10, or of any Affiliated Entity (as defined below) to which Executive is subject as an officer or director of any such Affiliated Entity.</w:t>
      </w:r>
    </w:p>
    <w:p>
      <w:pPr>
        <w:spacing w:after="0" w:line="213" w:lineRule="exact"/>
        <w:rPr>
          <w:sz w:val="20"/>
          <w:szCs w:val="20"/>
          <w:color w:val="auto"/>
        </w:rPr>
      </w:pPr>
    </w:p>
    <w:p>
      <w:pPr>
        <w:jc w:val="both"/>
        <w:ind w:left="120"/>
        <w:spacing w:after="0" w:line="257" w:lineRule="auto"/>
        <w:rPr>
          <w:sz w:val="20"/>
          <w:szCs w:val="20"/>
          <w:color w:val="auto"/>
        </w:rPr>
      </w:pPr>
      <w:r>
        <w:rPr>
          <w:rFonts w:ascii="Arial" w:cs="Arial" w:eastAsia="Arial" w:hAnsi="Arial"/>
          <w:sz w:val="21"/>
          <w:szCs w:val="21"/>
          <w:color w:val="auto"/>
        </w:rPr>
        <w:t>The Company may terminate Executive’s employment for Cause by delivering to Executive written notice pursuant to Section 13 describing the specific basis for the Board’s determination that Cause exists and, for subsections (C) and (D), by providing Executive at least thirty (30) days to cure or correct any such acts constituting Cause.</w:t>
      </w:r>
    </w:p>
    <w:p>
      <w:pPr>
        <w:spacing w:after="0" w:line="210" w:lineRule="exact"/>
        <w:rPr>
          <w:sz w:val="20"/>
          <w:szCs w:val="20"/>
          <w:color w:val="auto"/>
        </w:rPr>
      </w:pPr>
    </w:p>
    <w:p>
      <w:pPr>
        <w:jc w:val="both"/>
        <w:ind w:left="100" w:firstLine="2222"/>
        <w:spacing w:after="0" w:line="271" w:lineRule="auto"/>
        <w:rPr>
          <w:sz w:val="20"/>
          <w:szCs w:val="20"/>
          <w:color w:val="auto"/>
        </w:rPr>
      </w:pPr>
      <w:r>
        <w:rPr>
          <w:rFonts w:ascii="Arial" w:cs="Arial" w:eastAsia="Arial" w:hAnsi="Arial"/>
          <w:sz w:val="19"/>
          <w:szCs w:val="19"/>
          <w:u w:val="single" w:color="auto"/>
          <w:color w:val="auto"/>
        </w:rPr>
        <w:t>(ii)Upon Disability, Death or Without Cause</w:t>
      </w:r>
      <w:r>
        <w:rPr>
          <w:rFonts w:ascii="Arial" w:cs="Arial" w:eastAsia="Arial" w:hAnsi="Arial"/>
          <w:sz w:val="19"/>
          <w:szCs w:val="19"/>
          <w:color w:val="auto"/>
        </w:rPr>
        <w:t>. At the election of the Board, Executive’s employment may be terminated Without Cause: (A) should Executive, by reason of any medically determinable physical or mental impairment, become unable to perform, with or without reasonable accommodation, the essential functions of his job for the Company, P10, or the Affiliated Entities (as defined below) hereunder and such incapacity has continued for a total of ninety</w:t>
      </w:r>
    </w:p>
    <w:p>
      <w:pPr>
        <w:spacing w:after="0" w:line="3" w:lineRule="exact"/>
        <w:rPr>
          <w:sz w:val="20"/>
          <w:szCs w:val="20"/>
          <w:color w:val="auto"/>
        </w:rPr>
      </w:pPr>
    </w:p>
    <w:p>
      <w:pPr>
        <w:jc w:val="both"/>
        <w:ind w:left="100" w:firstLine="8"/>
        <w:spacing w:after="0" w:line="234" w:lineRule="auto"/>
        <w:tabs>
          <w:tab w:leader="none" w:pos="5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consecutive days or for any one hundred eighty (180) days in a period of three hundred sixty-five (365) consecutive days (a “</w:t>
      </w:r>
      <w:r>
        <w:rPr>
          <w:rFonts w:ascii="Arial" w:cs="Arial" w:eastAsia="Arial" w:hAnsi="Arial"/>
          <w:sz w:val="22"/>
          <w:szCs w:val="22"/>
          <w:u w:val="single" w:color="auto"/>
          <w:color w:val="auto"/>
        </w:rPr>
        <w:t>Disability</w:t>
      </w:r>
      <w:r>
        <w:rPr>
          <w:rFonts w:ascii="Arial" w:cs="Arial" w:eastAsia="Arial" w:hAnsi="Arial"/>
          <w:sz w:val="22"/>
          <w:szCs w:val="22"/>
          <w:color w:val="auto"/>
        </w:rPr>
        <w:t>”); (B) upon Executive’s death (“</w:t>
      </w:r>
      <w:r>
        <w:rPr>
          <w:rFonts w:ascii="Arial" w:cs="Arial" w:eastAsia="Arial" w:hAnsi="Arial"/>
          <w:sz w:val="22"/>
          <w:szCs w:val="22"/>
          <w:u w:val="single" w:color="auto"/>
          <w:color w:val="auto"/>
        </w:rPr>
        <w:t>Death</w:t>
      </w:r>
      <w:r>
        <w:rPr>
          <w:rFonts w:ascii="Arial" w:cs="Arial" w:eastAsia="Arial" w:hAnsi="Arial"/>
          <w:sz w:val="22"/>
          <w:szCs w:val="22"/>
          <w:color w:val="auto"/>
        </w:rPr>
        <w:t>”); or (C) upon thirty (30) days’ prior written notice to Executive for any other reason or for no reason at all (“</w:t>
      </w:r>
      <w:r>
        <w:rPr>
          <w:rFonts w:ascii="Arial" w:cs="Arial" w:eastAsia="Arial" w:hAnsi="Arial"/>
          <w:sz w:val="22"/>
          <w:szCs w:val="22"/>
          <w:u w:val="single" w:color="auto"/>
          <w:color w:val="auto"/>
        </w:rPr>
        <w:t>Without Cause</w:t>
      </w:r>
      <w:r>
        <w:rPr>
          <w:rFonts w:ascii="Arial" w:cs="Arial" w:eastAsia="Arial" w:hAnsi="Arial"/>
          <w:sz w:val="22"/>
          <w:szCs w:val="22"/>
          <w:color w:val="auto"/>
        </w:rPr>
        <w:t>”).</w:t>
      </w:r>
    </w:p>
    <w:p>
      <w:pPr>
        <w:spacing w:after="0" w:line="228" w:lineRule="exact"/>
        <w:rPr>
          <w:sz w:val="20"/>
          <w:szCs w:val="20"/>
          <w:color w:val="auto"/>
        </w:rPr>
      </w:pPr>
    </w:p>
    <w:p>
      <w:pPr>
        <w:ind w:left="2360" w:hanging="755"/>
        <w:spacing w:after="0"/>
        <w:tabs>
          <w:tab w:leader="none" w:pos="23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 by Executive</w:t>
      </w:r>
      <w:r>
        <w:rPr>
          <w:rFonts w:ascii="Arial" w:cs="Arial" w:eastAsia="Arial" w:hAnsi="Arial"/>
          <w:sz w:val="22"/>
          <w:szCs w:val="22"/>
          <w:color w:val="auto"/>
        </w:rPr>
        <w:t>.</w:t>
      </w:r>
    </w:p>
    <w:p>
      <w:pPr>
        <w:spacing w:after="0" w:line="233" w:lineRule="exact"/>
        <w:rPr>
          <w:sz w:val="20"/>
          <w:szCs w:val="20"/>
          <w:color w:val="auto"/>
        </w:rPr>
      </w:pPr>
    </w:p>
    <w:p>
      <w:pPr>
        <w:jc w:val="both"/>
        <w:ind w:left="100" w:firstLine="2222"/>
        <w:spacing w:after="0"/>
        <w:rPr>
          <w:sz w:val="20"/>
          <w:szCs w:val="20"/>
          <w:color w:val="auto"/>
        </w:rPr>
      </w:pPr>
      <w:r>
        <w:rPr>
          <w:rFonts w:ascii="Arial" w:cs="Arial" w:eastAsia="Arial" w:hAnsi="Arial"/>
          <w:sz w:val="22"/>
          <w:szCs w:val="22"/>
          <w:u w:val="single" w:color="auto"/>
          <w:color w:val="auto"/>
        </w:rPr>
        <w:t>(i)Voluntary Resignation or Retirement</w:t>
      </w:r>
      <w:r>
        <w:rPr>
          <w:rFonts w:ascii="Arial" w:cs="Arial" w:eastAsia="Arial" w:hAnsi="Arial"/>
          <w:sz w:val="22"/>
          <w:szCs w:val="22"/>
          <w:color w:val="auto"/>
        </w:rPr>
        <w:t>. Notwithstanding anything contained elsewhere in this Agreement to the contrary, Executive may terminate his employment hereunder at any time and for any reason whatsoever or for no reason at all in Executive’s sole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61" w:name="page62"/>
    <w:bookmarkEnd w:id="61"/>
    <w:p>
      <w:pPr>
        <w:jc w:val="both"/>
        <w:ind w:left="120"/>
        <w:spacing w:after="0"/>
        <w:rPr>
          <w:sz w:val="20"/>
          <w:szCs w:val="20"/>
          <w:color w:val="auto"/>
        </w:rPr>
      </w:pPr>
      <w:r>
        <w:rPr>
          <w:rFonts w:ascii="Arial" w:cs="Arial" w:eastAsia="Arial" w:hAnsi="Arial"/>
          <w:sz w:val="22"/>
          <w:szCs w:val="22"/>
          <w:color w:val="auto"/>
        </w:rPr>
        <w:t>discretion by giving thirty (30) days’ prior written notice pursuant to Section 13 of this Agreement (“</w:t>
      </w:r>
      <w:r>
        <w:rPr>
          <w:rFonts w:ascii="Arial" w:cs="Arial" w:eastAsia="Arial" w:hAnsi="Arial"/>
          <w:sz w:val="22"/>
          <w:szCs w:val="22"/>
          <w:u w:val="single" w:color="auto"/>
          <w:color w:val="auto"/>
        </w:rPr>
        <w:t>Voluntary Resignation</w:t>
      </w:r>
      <w:r>
        <w:rPr>
          <w:rFonts w:ascii="Arial" w:cs="Arial" w:eastAsia="Arial" w:hAnsi="Arial"/>
          <w:sz w:val="22"/>
          <w:szCs w:val="22"/>
          <w:color w:val="auto"/>
        </w:rPr>
        <w:t>”), but the Company may in its sole discretion waive Executive’s continued employment or right to compensation or benefits, except as provided in Section 5(b) of this Agreement, during this notice period.</w:t>
      </w:r>
    </w:p>
    <w:p>
      <w:pPr>
        <w:spacing w:after="0" w:line="227" w:lineRule="exact"/>
        <w:rPr>
          <w:sz w:val="20"/>
          <w:szCs w:val="20"/>
          <w:color w:val="auto"/>
        </w:rPr>
      </w:pPr>
    </w:p>
    <w:p>
      <w:pPr>
        <w:jc w:val="both"/>
        <w:ind w:left="100" w:firstLine="2222"/>
        <w:spacing w:after="0" w:line="257" w:lineRule="auto"/>
        <w:rPr>
          <w:sz w:val="20"/>
          <w:szCs w:val="20"/>
          <w:color w:val="auto"/>
        </w:rPr>
      </w:pPr>
      <w:r>
        <w:rPr>
          <w:rFonts w:ascii="Arial" w:cs="Arial" w:eastAsia="Arial" w:hAnsi="Arial"/>
          <w:sz w:val="21"/>
          <w:szCs w:val="21"/>
          <w:u w:val="single" w:color="auto"/>
          <w:color w:val="auto"/>
        </w:rPr>
        <w:t>(ii)For Good Reason</w:t>
      </w:r>
      <w:r>
        <w:rPr>
          <w:rFonts w:ascii="Arial" w:cs="Arial" w:eastAsia="Arial" w:hAnsi="Arial"/>
          <w:sz w:val="21"/>
          <w:szCs w:val="21"/>
          <w:color w:val="auto"/>
        </w:rPr>
        <w:t>. Executive’s employment may be terminated for Good Reason (as defined below) upon written notice to the Company pursuant to Section 13 of this Agreement. “</w:t>
      </w:r>
      <w:r>
        <w:rPr>
          <w:rFonts w:ascii="Arial" w:cs="Arial" w:eastAsia="Arial" w:hAnsi="Arial"/>
          <w:sz w:val="21"/>
          <w:szCs w:val="21"/>
          <w:u w:val="single" w:color="auto"/>
          <w:color w:val="auto"/>
        </w:rPr>
        <w:t>Good Reason</w:t>
      </w:r>
      <w:r>
        <w:rPr>
          <w:rFonts w:ascii="Arial" w:cs="Arial" w:eastAsia="Arial" w:hAnsi="Arial"/>
          <w:sz w:val="21"/>
          <w:szCs w:val="21"/>
          <w:color w:val="auto"/>
        </w:rPr>
        <w:t>” shall mean the occurrence of one of the following events during the Term without Executive’s express written consent:</w:t>
      </w:r>
    </w:p>
    <w:p>
      <w:pPr>
        <w:spacing w:after="0" w:line="210" w:lineRule="exact"/>
        <w:rPr>
          <w:sz w:val="20"/>
          <w:szCs w:val="20"/>
          <w:color w:val="auto"/>
        </w:rPr>
      </w:pPr>
    </w:p>
    <w:p>
      <w:pPr>
        <w:ind w:left="3100" w:hanging="746"/>
        <w:spacing w:after="0" w:line="250" w:lineRule="auto"/>
        <w:tabs>
          <w:tab w:leader="none" w:pos="31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removal of Executive from the position of Chief Executive Officer of the Company or P10 or removal from the P10 Board;</w:t>
      </w:r>
    </w:p>
    <w:p>
      <w:pPr>
        <w:spacing w:after="0" w:line="201" w:lineRule="exact"/>
        <w:rPr>
          <w:rFonts w:ascii="Arial" w:cs="Arial" w:eastAsia="Arial" w:hAnsi="Arial"/>
          <w:sz w:val="22"/>
          <w:szCs w:val="22"/>
          <w:color w:val="auto"/>
        </w:rPr>
      </w:pPr>
    </w:p>
    <w:p>
      <w:pPr>
        <w:jc w:val="both"/>
        <w:ind w:left="3100" w:hanging="746"/>
        <w:spacing w:after="0"/>
        <w:tabs>
          <w:tab w:leader="none" w:pos="31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change in the reporting structure so that (i) the Executive does not report solely and directly to the Board, or (ii) any employee of the Company does not report, directly or indirectly, to Executive;</w:t>
      </w:r>
    </w:p>
    <w:p>
      <w:pPr>
        <w:spacing w:after="0" w:line="226" w:lineRule="exact"/>
        <w:rPr>
          <w:rFonts w:ascii="Arial" w:cs="Arial" w:eastAsia="Arial" w:hAnsi="Arial"/>
          <w:sz w:val="22"/>
          <w:szCs w:val="22"/>
          <w:color w:val="auto"/>
        </w:rPr>
      </w:pPr>
    </w:p>
    <w:p>
      <w:pPr>
        <w:jc w:val="both"/>
        <w:ind w:left="3100" w:hanging="746"/>
        <w:spacing w:after="0" w:line="236" w:lineRule="auto"/>
        <w:tabs>
          <w:tab w:leader="none" w:pos="31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material diminution in Executive’s authority or duties or the assignment to Executive of duties which are materially inconsistent with his duties as the Company and P10’s Chief Executive Officer; it being understood that P10’s ceasing to be a public company shall be deemed to be a material diminution of Executive’s authority or duties for purposes of this Agreement;</w:t>
      </w:r>
    </w:p>
    <w:p>
      <w:pPr>
        <w:spacing w:after="0" w:line="227" w:lineRule="exact"/>
        <w:rPr>
          <w:rFonts w:ascii="Arial" w:cs="Arial" w:eastAsia="Arial" w:hAnsi="Arial"/>
          <w:sz w:val="22"/>
          <w:szCs w:val="22"/>
          <w:color w:val="auto"/>
        </w:rPr>
      </w:pPr>
    </w:p>
    <w:p>
      <w:pPr>
        <w:ind w:left="3100" w:hanging="746"/>
        <w:spacing w:after="0"/>
        <w:tabs>
          <w:tab w:leader="none" w:pos="3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relocation of Executive’s primary office to a location outside of Manhattan, New York.</w:t>
      </w:r>
    </w:p>
    <w:p>
      <w:pPr>
        <w:spacing w:after="0" w:line="267" w:lineRule="exact"/>
        <w:rPr>
          <w:rFonts w:ascii="Arial" w:cs="Arial" w:eastAsia="Arial" w:hAnsi="Arial"/>
          <w:sz w:val="19"/>
          <w:szCs w:val="19"/>
          <w:color w:val="auto"/>
        </w:rPr>
      </w:pPr>
    </w:p>
    <w:p>
      <w:pPr>
        <w:ind w:left="3100" w:hanging="746"/>
        <w:spacing w:after="0"/>
        <w:tabs>
          <w:tab w:leader="none" w:pos="31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reduction in Executive’s then current Base Salary;</w:t>
      </w:r>
    </w:p>
    <w:p>
      <w:pPr>
        <w:spacing w:after="0" w:line="246" w:lineRule="exact"/>
        <w:rPr>
          <w:rFonts w:ascii="Arial" w:cs="Arial" w:eastAsia="Arial" w:hAnsi="Arial"/>
          <w:sz w:val="22"/>
          <w:szCs w:val="22"/>
          <w:color w:val="auto"/>
        </w:rPr>
      </w:pPr>
    </w:p>
    <w:p>
      <w:pPr>
        <w:jc w:val="both"/>
        <w:ind w:left="3100" w:hanging="746"/>
        <w:spacing w:after="0"/>
        <w:tabs>
          <w:tab w:leader="none" w:pos="31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breach of the Company’s obligations with respect to the Annual Cash Bonus under Section 3(b), Annual Incentive Bonus under Section 3(c), the Signing Bonus under Section 3(d), or the Long- Term Incentives under Section 3(e);</w:t>
      </w:r>
    </w:p>
    <w:p>
      <w:pPr>
        <w:spacing w:after="0" w:line="226" w:lineRule="exact"/>
        <w:rPr>
          <w:rFonts w:ascii="Arial" w:cs="Arial" w:eastAsia="Arial" w:hAnsi="Arial"/>
          <w:sz w:val="22"/>
          <w:szCs w:val="22"/>
          <w:color w:val="auto"/>
        </w:rPr>
      </w:pPr>
    </w:p>
    <w:p>
      <w:pPr>
        <w:jc w:val="both"/>
        <w:ind w:left="3100" w:hanging="746"/>
        <w:spacing w:after="0" w:line="287" w:lineRule="auto"/>
        <w:tabs>
          <w:tab w:leader="none" w:pos="3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termination or material reduction of any Employee Benefit Plan, executive benefit or perquisite enjoyed by Executive unless a plan or program providing substantially similar benefits or perquisites is substituted or unless such termination or reduction affects all similarly situated Company executives in substantially the same proportions; or</w:t>
      </w:r>
    </w:p>
    <w:p>
      <w:pPr>
        <w:spacing w:after="0" w:line="169" w:lineRule="exact"/>
        <w:rPr>
          <w:rFonts w:ascii="Arial" w:cs="Arial" w:eastAsia="Arial" w:hAnsi="Arial"/>
          <w:sz w:val="19"/>
          <w:szCs w:val="19"/>
          <w:color w:val="auto"/>
        </w:rPr>
      </w:pPr>
    </w:p>
    <w:p>
      <w:pPr>
        <w:ind w:left="3100" w:right="20" w:hanging="746"/>
        <w:spacing w:after="0" w:line="250" w:lineRule="auto"/>
        <w:tabs>
          <w:tab w:leader="none" w:pos="31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material breach by the Company of any of the other covenants, representations, terms, or provisions of this Agreement.</w:t>
      </w:r>
    </w:p>
    <w:p>
      <w:pPr>
        <w:spacing w:after="0" w:line="215" w:lineRule="exact"/>
        <w:rPr>
          <w:sz w:val="20"/>
          <w:szCs w:val="20"/>
          <w:color w:val="auto"/>
        </w:rPr>
      </w:pPr>
    </w:p>
    <w:p>
      <w:pPr>
        <w:jc w:val="both"/>
        <w:ind w:left="120"/>
        <w:spacing w:after="0" w:line="238" w:lineRule="auto"/>
        <w:rPr>
          <w:sz w:val="20"/>
          <w:szCs w:val="20"/>
          <w:color w:val="auto"/>
        </w:rPr>
      </w:pPr>
      <w:r>
        <w:rPr>
          <w:rFonts w:ascii="Arial" w:cs="Arial" w:eastAsia="Arial" w:hAnsi="Arial"/>
          <w:sz w:val="22"/>
          <w:szCs w:val="22"/>
          <w:color w:val="auto"/>
        </w:rPr>
        <w:t>Notwithstanding the foregoing, the Executive cannot terminate his employment for Good Reason unless he has provided written notice to the Company of the existence of the circumstances providing grounds for termination for Good Reason within thirty (30) days of his knowledge of the initial existence of the grounds constituting Good Reason in accordance with Section 13 and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62" w:name="page63"/>
    <w:bookmarkEnd w:id="62"/>
    <w:p>
      <w:pPr>
        <w:ind w:left="120"/>
        <w:spacing w:after="0"/>
        <w:rPr>
          <w:sz w:val="20"/>
          <w:szCs w:val="20"/>
          <w:color w:val="auto"/>
        </w:rPr>
      </w:pPr>
      <w:r>
        <w:rPr>
          <w:rFonts w:ascii="Arial" w:cs="Arial" w:eastAsia="Arial" w:hAnsi="Arial"/>
          <w:sz w:val="22"/>
          <w:szCs w:val="22"/>
          <w:color w:val="auto"/>
        </w:rPr>
        <w:t>the Company fails to correct such occurrence within thirty (30) days following written notification by Executive.</w:t>
      </w:r>
    </w:p>
    <w:p>
      <w:pPr>
        <w:spacing w:after="0" w:line="206" w:lineRule="exact"/>
        <w:rPr>
          <w:sz w:val="20"/>
          <w:szCs w:val="20"/>
          <w:color w:val="auto"/>
        </w:rPr>
      </w:pPr>
    </w:p>
    <w:p>
      <w:pPr>
        <w:jc w:val="both"/>
        <w:ind w:left="100" w:firstLine="1489"/>
        <w:spacing w:after="0" w:line="274" w:lineRule="auto"/>
        <w:tabs>
          <w:tab w:leader="none" w:pos="1996"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Exit Obligations</w:t>
      </w:r>
      <w:r>
        <w:rPr>
          <w:rFonts w:ascii="Arial" w:cs="Arial" w:eastAsia="Arial" w:hAnsi="Arial"/>
          <w:sz w:val="19"/>
          <w:szCs w:val="19"/>
          <w:color w:val="auto"/>
        </w:rPr>
        <w:t>. Upon the termination of the Executive’s employment for any reason, the Executive (or, in the event of the Executive’s Death, the personal representative of his estate) shall (i) provide or return to the Company any and all property and documents belonging to the Company, P10, and all Affiliated Entities (as defined below) and stored in any fashion, including, without limitation, those that constitute or contain any Confidential Information (as defined below), that are in the possession or control of the Executive, whether they were provided to the Executive by the Company, P10, Affiliated Entities, or any of its business associates or created by the Executive in connection with his employment by the Company and (ii) delete or destroy all copies of any such documents and materials not returned to the Company that remain in the Executive’s (or his estate’s) possession or control, including those stored on any non- Company devices, networks, storage locations, and media in the Executive’s (or his estate’s) possession or control.</w:t>
      </w:r>
    </w:p>
    <w:p>
      <w:pPr>
        <w:spacing w:after="0" w:line="198" w:lineRule="exact"/>
        <w:rPr>
          <w:rFonts w:ascii="Arial" w:cs="Arial" w:eastAsia="Arial" w:hAnsi="Arial"/>
          <w:sz w:val="19"/>
          <w:szCs w:val="19"/>
          <w:color w:val="auto"/>
        </w:rPr>
      </w:pPr>
    </w:p>
    <w:p>
      <w:pPr>
        <w:jc w:val="both"/>
        <w:ind w:left="100" w:firstLine="1489"/>
        <w:spacing w:after="0" w:line="235" w:lineRule="auto"/>
        <w:tabs>
          <w:tab w:leader="none" w:pos="1996"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Resignation of All Other Positions, Offices, and Boards</w:t>
      </w:r>
      <w:r>
        <w:rPr>
          <w:rFonts w:ascii="Arial" w:cs="Arial" w:eastAsia="Arial" w:hAnsi="Arial"/>
          <w:sz w:val="22"/>
          <w:szCs w:val="22"/>
          <w:color w:val="auto"/>
        </w:rPr>
        <w:t>. Upon termination of the Executive’s employment for any reason, the Executive shall resign from all positions that the Executive holds as an officer or board members of the Company, P10, and any Affiliated Entities (as defined below), including but not limited to Executive’s role as the chief executive officer of P10, and Executive’s role as a member of the P10 Board, as well every other position with the Company, P10, or any Affiliated Entity, or their boards of directors that Executive may have been appointed or nominated during the Term.</w:t>
      </w:r>
    </w:p>
    <w:p>
      <w:pPr>
        <w:spacing w:after="0" w:line="228" w:lineRule="exact"/>
        <w:rPr>
          <w:rFonts w:ascii="Arial" w:cs="Arial" w:eastAsia="Arial" w:hAnsi="Arial"/>
          <w:sz w:val="22"/>
          <w:szCs w:val="22"/>
          <w:color w:val="auto"/>
        </w:rPr>
      </w:pPr>
    </w:p>
    <w:p>
      <w:pPr>
        <w:jc w:val="both"/>
        <w:ind w:left="100" w:firstLine="1489"/>
        <w:spacing w:after="0" w:line="246" w:lineRule="auto"/>
        <w:tabs>
          <w:tab w:leader="none" w:pos="1996"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Certain matters in which the Executive will be involved during the Term may necessitate the Executive’s cooperation in the future. Accordingly, following the termination of the Executive’s employment for any reason, to the extent reasonably requested by the Company, the Executive shall make good faith efforts to cooperate with the Company in connection with matters arising out of the Executive’s service to the Company, P10, or any Affiliated Entity; provided that, any such cooperation shall be subject to the requirements of the Executive’s other commitments and activities. The Company shall reimburse the Executive for any reasonable travel, legal, and other expenses incurred in connection with cooperation provided under this Section 4(e).</w:t>
      </w:r>
    </w:p>
    <w:p>
      <w:pPr>
        <w:spacing w:after="0" w:line="211" w:lineRule="exact"/>
        <w:rPr>
          <w:rFonts w:ascii="Arial" w:cs="Arial" w:eastAsia="Arial" w:hAnsi="Arial"/>
          <w:sz w:val="21"/>
          <w:szCs w:val="21"/>
          <w:color w:val="auto"/>
        </w:rPr>
      </w:pPr>
    </w:p>
    <w:p>
      <w:pPr>
        <w:ind w:left="1600" w:hanging="744"/>
        <w:spacing w:after="0"/>
        <w:tabs>
          <w:tab w:leader="none" w:pos="160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 of Employment</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00" w:firstLine="1489"/>
        <w:spacing w:after="0" w:line="297" w:lineRule="auto"/>
        <w:tabs>
          <w:tab w:leader="none" w:pos="1996"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Termination for Cause, Death, Disability, or Voluntary Resignation</w:t>
      </w:r>
      <w:r>
        <w:rPr>
          <w:rFonts w:ascii="Arial" w:cs="Arial" w:eastAsia="Arial" w:hAnsi="Arial"/>
          <w:sz w:val="19"/>
          <w:szCs w:val="19"/>
          <w:color w:val="auto"/>
        </w:rPr>
        <w:t>. If Executive’s employment is terminated by the Company for Cause, Death, Disability, or is terminated by Executive as a Voluntary Resignation, then the Company shall only pay or provide to Executive the following amounts (collectively, the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w:t>
      </w:r>
    </w:p>
    <w:p>
      <w:pPr>
        <w:spacing w:after="0" w:line="174" w:lineRule="exact"/>
        <w:rPr>
          <w:sz w:val="20"/>
          <w:szCs w:val="20"/>
          <w:color w:val="auto"/>
        </w:rPr>
      </w:pPr>
    </w:p>
    <w:p>
      <w:pPr>
        <w:ind w:left="860" w:right="400" w:firstLine="1497"/>
        <w:spacing w:after="0" w:line="250" w:lineRule="auto"/>
        <w:rPr>
          <w:sz w:val="20"/>
          <w:szCs w:val="20"/>
          <w:color w:val="auto"/>
        </w:rPr>
      </w:pPr>
      <w:r>
        <w:rPr>
          <w:rFonts w:ascii="Arial" w:cs="Arial" w:eastAsia="Arial" w:hAnsi="Arial"/>
          <w:sz w:val="22"/>
          <w:szCs w:val="22"/>
          <w:color w:val="auto"/>
        </w:rPr>
        <w:t>(i)his Base Salary accrued up through the termination date paid within thirty (30) days or at such earlier time required by applicable law;</w:t>
      </w:r>
    </w:p>
    <w:p>
      <w:pPr>
        <w:spacing w:after="0" w:line="202"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(ii)all accrued, unused vacation time, paid in accordance with the Company’s written policies and</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applicable law;</w:t>
      </w:r>
    </w:p>
    <w:p>
      <w:pPr>
        <w:spacing w:after="0" w:line="53" w:lineRule="exact"/>
        <w:rPr>
          <w:sz w:val="20"/>
          <w:szCs w:val="20"/>
          <w:color w:val="auto"/>
        </w:rPr>
      </w:pPr>
    </w:p>
    <w:p>
      <w:pPr>
        <w:ind w:left="860" w:right="20" w:firstLine="1497"/>
        <w:spacing w:after="0" w:line="250" w:lineRule="auto"/>
        <w:rPr>
          <w:sz w:val="20"/>
          <w:szCs w:val="20"/>
          <w:color w:val="auto"/>
        </w:rPr>
      </w:pPr>
      <w:r>
        <w:rPr>
          <w:rFonts w:ascii="Arial" w:cs="Arial" w:eastAsia="Arial" w:hAnsi="Arial"/>
          <w:sz w:val="22"/>
          <w:szCs w:val="22"/>
          <w:color w:val="auto"/>
        </w:rPr>
        <w:t>(iii)unreimbursed expenses, paid in accordance with Section 2(h) of this Agreement and the Company’s written policies;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63" w:name="page64"/>
    <w:bookmarkEnd w:id="63"/>
    <w:p>
      <w:pPr>
        <w:ind w:left="2360"/>
        <w:spacing w:after="0"/>
        <w:rPr>
          <w:sz w:val="20"/>
          <w:szCs w:val="20"/>
          <w:color w:val="auto"/>
        </w:rPr>
      </w:pPr>
      <w:r>
        <w:rPr>
          <w:rFonts w:ascii="Arial" w:cs="Arial" w:eastAsia="Arial" w:hAnsi="Arial"/>
          <w:sz w:val="19"/>
          <w:szCs w:val="19"/>
          <w:color w:val="auto"/>
        </w:rPr>
        <w:t>(iv)any accrued benefits under any Company benefit plan, paid pursuant to the terms of such benefit</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plan; and</w:t>
      </w:r>
    </w:p>
    <w:p>
      <w:pPr>
        <w:spacing w:after="0" w:line="215" w:lineRule="exact"/>
        <w:rPr>
          <w:sz w:val="20"/>
          <w:szCs w:val="20"/>
          <w:color w:val="auto"/>
        </w:rPr>
      </w:pPr>
    </w:p>
    <w:p>
      <w:pPr>
        <w:jc w:val="both"/>
        <w:ind w:left="860" w:firstLine="1497"/>
        <w:spacing w:after="0" w:line="238" w:lineRule="auto"/>
        <w:rPr>
          <w:sz w:val="20"/>
          <w:szCs w:val="20"/>
          <w:color w:val="auto"/>
        </w:rPr>
      </w:pPr>
      <w:r>
        <w:rPr>
          <w:rFonts w:ascii="Arial" w:cs="Arial" w:eastAsia="Arial" w:hAnsi="Arial"/>
          <w:sz w:val="22"/>
          <w:szCs w:val="22"/>
          <w:color w:val="auto"/>
        </w:rPr>
        <w:t>(v)in the case of Death or Disability, immediate vesting of any and all outstanding Company equity awards granted to Executive during the Term (excluding any RSUs that have not yet been earned under Section 3(e) (ii)), and immediate vesting of all carried interests in the investment vehicles of the Affiliated Entities (as defined below) granted to Executive during the Term.</w:t>
      </w:r>
    </w:p>
    <w:p>
      <w:pPr>
        <w:spacing w:after="0" w:line="225" w:lineRule="exact"/>
        <w:rPr>
          <w:sz w:val="20"/>
          <w:szCs w:val="20"/>
          <w:color w:val="auto"/>
        </w:rPr>
      </w:pPr>
    </w:p>
    <w:p>
      <w:pPr>
        <w:jc w:val="both"/>
        <w:ind w:left="100" w:firstLine="1489"/>
        <w:spacing w:after="0"/>
        <w:tabs>
          <w:tab w:leader="none" w:pos="1996"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or by Executive for Good Reason</w:t>
      </w:r>
      <w:r>
        <w:rPr>
          <w:rFonts w:ascii="Arial" w:cs="Arial" w:eastAsia="Arial" w:hAnsi="Arial"/>
          <w:sz w:val="22"/>
          <w:szCs w:val="22"/>
          <w:color w:val="auto"/>
        </w:rPr>
        <w:t>. If the Company terminates Executive’s employment Without Cause or Executive terminates his employment for Good Reason, in addition to the Accrued Obligations, the Company shall provide Executive the following:</w:t>
      </w:r>
    </w:p>
    <w:p>
      <w:pPr>
        <w:spacing w:after="0" w:line="227"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(i)a lump sum payment equal to one and one half (1.5) times Executive’s then-current Base Salary;</w:t>
      </w:r>
    </w:p>
    <w:p>
      <w:pPr>
        <w:spacing w:after="0" w:line="268"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(ii)a lump sum payment equal to one and one half (1.5) times Executive’s then-current Annual Cash</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Bonus; and</w:t>
      </w:r>
    </w:p>
    <w:p>
      <w:pPr>
        <w:spacing w:after="0" w:line="229" w:lineRule="exact"/>
        <w:rPr>
          <w:sz w:val="20"/>
          <w:szCs w:val="20"/>
          <w:color w:val="auto"/>
        </w:rPr>
      </w:pPr>
    </w:p>
    <w:p>
      <w:pPr>
        <w:jc w:val="both"/>
        <w:ind w:left="860" w:firstLine="1497"/>
        <w:spacing w:after="0"/>
        <w:rPr>
          <w:sz w:val="20"/>
          <w:szCs w:val="20"/>
          <w:color w:val="auto"/>
        </w:rPr>
      </w:pPr>
      <w:r>
        <w:rPr>
          <w:rFonts w:ascii="Arial" w:cs="Arial" w:eastAsia="Arial" w:hAnsi="Arial"/>
          <w:sz w:val="22"/>
          <w:szCs w:val="22"/>
          <w:color w:val="auto"/>
        </w:rPr>
        <w:t>(iii)immediate vesting of any and all outstanding Company equity awards granted to Executive during the Term, and immediate vesting of all carried interests in the investment vehicles of the Affiliated Entities (as defined below) granted to Executive during the Term.</w:t>
      </w:r>
    </w:p>
    <w:p>
      <w:pPr>
        <w:spacing w:after="0" w:line="227" w:lineRule="exact"/>
        <w:rPr>
          <w:sz w:val="20"/>
          <w:szCs w:val="20"/>
          <w:color w:val="auto"/>
        </w:rPr>
      </w:pPr>
    </w:p>
    <w:p>
      <w:pPr>
        <w:jc w:val="both"/>
        <w:ind w:left="120"/>
        <w:spacing w:after="0" w:line="275" w:lineRule="auto"/>
        <w:rPr>
          <w:sz w:val="20"/>
          <w:szCs w:val="20"/>
          <w:color w:val="auto"/>
        </w:rPr>
      </w:pPr>
      <w:r>
        <w:rPr>
          <w:rFonts w:ascii="Arial" w:cs="Arial" w:eastAsia="Arial" w:hAnsi="Arial"/>
          <w:sz w:val="19"/>
          <w:szCs w:val="19"/>
          <w:color w:val="auto"/>
        </w:rPr>
        <w:t>Such payment and other consideration are subject to Executive’s execution, non-revocation, and delivery of a general release of the Company, P10, all Affiliated Entities, and each of their respective officers, directors, employees, agents, successors and assigns in the form attached hereto as Exhibit C, as may be amended to the extent necessary to reflect changes in applicable law. All payments under this Section above shall begin to be made within sixty (60) days following termination of employment; provided, however, that to the extent required by Code Section 409A, if the sixty (60) day period begins in one calendar year and ends in the second calendar year, all payments will be made in the second calendar year. The payments and benefits under this Section 5(b) shall immediately cease should Executive be found by a court of competent jurisdiction to have committed a material breach of any of the restrictive covenants and obligations set forth in Section 7(b) below.</w:t>
      </w:r>
    </w:p>
    <w:p>
      <w:pPr>
        <w:spacing w:after="0" w:line="184" w:lineRule="exact"/>
        <w:rPr>
          <w:sz w:val="20"/>
          <w:szCs w:val="20"/>
          <w:color w:val="auto"/>
        </w:rPr>
      </w:pPr>
    </w:p>
    <w:p>
      <w:pPr>
        <w:jc w:val="both"/>
        <w:ind w:left="100" w:firstLine="1489"/>
        <w:spacing w:after="0" w:line="236" w:lineRule="auto"/>
        <w:tabs>
          <w:tab w:leader="none" w:pos="1996"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Notice of Non-Renewal by the Company</w:t>
      </w:r>
      <w:r>
        <w:rPr>
          <w:rFonts w:ascii="Arial" w:cs="Arial" w:eastAsia="Arial" w:hAnsi="Arial"/>
          <w:sz w:val="22"/>
          <w:szCs w:val="22"/>
          <w:color w:val="auto"/>
        </w:rPr>
        <w:t>. If during the Initial Term the Company provides Executive with a written notice that it will not renew this Agreement after the expiration of the Initial Term or any Renewal Year in accordance with Section 2, then any and all Company equity awards granted to Executive during the Term and carried interests in the investment vehicles of the Affiliated Entities (as defined below) granted to Executive during the Term will immediately vest as of the last day of the then-applicable Term.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591" w:right="459" w:bottom="1440" w:gutter="0" w:footer="0" w:header="0"/>
        </w:sectPr>
      </w:pPr>
    </w:p>
    <w:bookmarkStart w:id="64" w:name="page65"/>
    <w:bookmarkEnd w:id="64"/>
    <w:p>
      <w:pPr>
        <w:ind w:left="1600" w:hanging="744"/>
        <w:spacing w:after="0"/>
        <w:tabs>
          <w:tab w:leader="none" w:pos="16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2000" w:hanging="411"/>
        <w:spacing w:after="0"/>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Definition. For purposes of this Agreement, a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if:</w:t>
      </w:r>
    </w:p>
    <w:p>
      <w:pPr>
        <w:spacing w:after="0" w:line="281" w:lineRule="exact"/>
        <w:rPr>
          <w:sz w:val="20"/>
          <w:szCs w:val="20"/>
          <w:color w:val="auto"/>
        </w:rPr>
      </w:pPr>
    </w:p>
    <w:p>
      <w:pPr>
        <w:jc w:val="both"/>
        <w:ind w:left="100" w:firstLine="2222"/>
        <w:spacing w:after="0" w:line="236" w:lineRule="auto"/>
        <w:rPr>
          <w:sz w:val="20"/>
          <w:szCs w:val="20"/>
          <w:color w:val="auto"/>
        </w:rPr>
      </w:pPr>
      <w:r>
        <w:rPr>
          <w:rFonts w:ascii="Arial" w:cs="Arial" w:eastAsia="Arial" w:hAnsi="Arial"/>
          <w:sz w:val="22"/>
          <w:szCs w:val="22"/>
          <w:color w:val="auto"/>
        </w:rPr>
        <w:t>(i)any single person, other than a trustee or other fiduciary holding securities under an employee benefit plan of the Company or a corporation owned directly or indirectly by the shareowners of the Company in substantially the same proportions as their ownership of stock of the Company, becomes the beneficial owner, directly or indirectly, of securities of the Company representing fifty percent (50%) or more of the total voting power represented by the Company’s then outstanding voting securities;</w:t>
      </w:r>
    </w:p>
    <w:p>
      <w:pPr>
        <w:spacing w:after="0" w:line="214" w:lineRule="exact"/>
        <w:rPr>
          <w:sz w:val="20"/>
          <w:szCs w:val="20"/>
          <w:color w:val="auto"/>
        </w:rPr>
      </w:pPr>
    </w:p>
    <w:p>
      <w:pPr>
        <w:jc w:val="both"/>
        <w:ind w:left="100" w:firstLine="2222"/>
        <w:spacing w:after="0" w:line="236" w:lineRule="auto"/>
        <w:rPr>
          <w:sz w:val="20"/>
          <w:szCs w:val="20"/>
          <w:color w:val="auto"/>
        </w:rPr>
      </w:pPr>
      <w:r>
        <w:rPr>
          <w:rFonts w:ascii="Arial" w:cs="Arial" w:eastAsia="Arial" w:hAnsi="Arial"/>
          <w:sz w:val="22"/>
          <w:szCs w:val="22"/>
          <w:color w:val="auto"/>
        </w:rPr>
        <w:t>(ii)during any period of two (2) consecutive years, individuals who at the beginning of such period constitute the Board and any new director whose election by the Board or nomination for election by the Company’s shareowners was approved by a vote of a majority of the directors then still in office who either were directors at the beginning of the period or whose election or nomination for election was previously so approved, cease for any reason to constitute a majority thereof;</w:t>
      </w:r>
    </w:p>
    <w:p>
      <w:pPr>
        <w:spacing w:after="0" w:line="228" w:lineRule="exact"/>
        <w:rPr>
          <w:sz w:val="20"/>
          <w:szCs w:val="20"/>
          <w:color w:val="auto"/>
        </w:rPr>
      </w:pPr>
    </w:p>
    <w:p>
      <w:pPr>
        <w:jc w:val="both"/>
        <w:ind w:left="100" w:firstLine="2222"/>
        <w:spacing w:after="0" w:line="249" w:lineRule="auto"/>
        <w:rPr>
          <w:sz w:val="20"/>
          <w:szCs w:val="20"/>
          <w:color w:val="auto"/>
        </w:rPr>
      </w:pPr>
      <w:r>
        <w:rPr>
          <w:rFonts w:ascii="Arial" w:cs="Arial" w:eastAsia="Arial" w:hAnsi="Arial"/>
          <w:sz w:val="21"/>
          <w:szCs w:val="21"/>
          <w:color w:val="auto"/>
        </w:rPr>
        <w:t>(iii)the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w:t>
      </w:r>
    </w:p>
    <w:p>
      <w:pPr>
        <w:spacing w:after="0" w:line="219" w:lineRule="exact"/>
        <w:rPr>
          <w:sz w:val="20"/>
          <w:szCs w:val="20"/>
          <w:color w:val="auto"/>
        </w:rPr>
      </w:pPr>
    </w:p>
    <w:p>
      <w:pPr>
        <w:jc w:val="both"/>
        <w:ind w:left="100" w:right="20" w:firstLine="2222"/>
        <w:spacing w:after="0" w:line="274" w:lineRule="auto"/>
        <w:rPr>
          <w:sz w:val="20"/>
          <w:szCs w:val="20"/>
          <w:color w:val="auto"/>
        </w:rPr>
      </w:pPr>
      <w:r>
        <w:rPr>
          <w:rFonts w:ascii="Arial" w:cs="Arial" w:eastAsia="Arial" w:hAnsi="Arial"/>
          <w:sz w:val="21"/>
          <w:szCs w:val="21"/>
          <w:color w:val="auto"/>
        </w:rPr>
        <w:t>(iv)the shareowners of the Company approve a plan of complete liquidation of the Company or an agreement for the sale or disposition by the Company of all or substantially all of the Company’s assets.</w:t>
      </w:r>
    </w:p>
    <w:p>
      <w:pPr>
        <w:spacing w:after="0" w:line="178" w:lineRule="exact"/>
        <w:rPr>
          <w:sz w:val="20"/>
          <w:szCs w:val="20"/>
          <w:color w:val="auto"/>
        </w:rPr>
      </w:pPr>
    </w:p>
    <w:p>
      <w:pPr>
        <w:jc w:val="both"/>
        <w:ind w:left="120"/>
        <w:spacing w:after="0" w:line="252" w:lineRule="auto"/>
        <w:rPr>
          <w:sz w:val="20"/>
          <w:szCs w:val="20"/>
          <w:color w:val="auto"/>
        </w:rPr>
      </w:pPr>
      <w:r>
        <w:rPr>
          <w:rFonts w:ascii="Arial" w:cs="Arial" w:eastAsia="Arial" w:hAnsi="Arial"/>
          <w:sz w:val="21"/>
          <w:szCs w:val="21"/>
          <w:color w:val="auto"/>
        </w:rPr>
        <w:t>For the avoidance of doubt, a corporate restructuring (i) whereby a new parent company is created and immediately following such transaction the Company is a direct or indirect wholly-owned subsidiary of such new parent company, whether through reorganization, merger, exchange, or other corporate means, or (ii) in connection with or in preparation for an initial public offering, in each case, shall not be deemed to be a Change in Control.</w:t>
      </w:r>
    </w:p>
    <w:p>
      <w:pPr>
        <w:spacing w:after="0" w:line="214" w:lineRule="exact"/>
        <w:rPr>
          <w:sz w:val="20"/>
          <w:szCs w:val="20"/>
          <w:color w:val="auto"/>
        </w:rPr>
      </w:pPr>
    </w:p>
    <w:p>
      <w:pPr>
        <w:ind w:left="2360" w:hanging="755"/>
        <w:spacing w:after="0"/>
        <w:tabs>
          <w:tab w:leader="none" w:pos="23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an event that constitutes a Change in Control occurs during the Term:</w:t>
      </w:r>
    </w:p>
    <w:p>
      <w:pPr>
        <w:spacing w:after="0" w:line="247" w:lineRule="exact"/>
        <w:rPr>
          <w:sz w:val="20"/>
          <w:szCs w:val="20"/>
          <w:color w:val="auto"/>
        </w:rPr>
      </w:pPr>
    </w:p>
    <w:p>
      <w:pPr>
        <w:jc w:val="both"/>
        <w:ind w:left="100" w:firstLine="2222"/>
        <w:spacing w:after="0"/>
        <w:rPr>
          <w:sz w:val="20"/>
          <w:szCs w:val="20"/>
          <w:color w:val="auto"/>
        </w:rPr>
      </w:pPr>
      <w:r>
        <w:rPr>
          <w:rFonts w:ascii="Arial" w:cs="Arial" w:eastAsia="Arial" w:hAnsi="Arial"/>
          <w:sz w:val="22"/>
          <w:szCs w:val="22"/>
          <w:color w:val="auto"/>
        </w:rPr>
        <w:t>(i)Any and all outstanding Company equity awards granted to Executive during the Term, and all carried interests in the investment vehicles of the Affiliated Entities granted to Executive during the Term shall immediately and fully vest.</w:t>
      </w:r>
    </w:p>
    <w:p>
      <w:pPr>
        <w:spacing w:after="0" w:line="213" w:lineRule="exact"/>
        <w:rPr>
          <w:sz w:val="20"/>
          <w:szCs w:val="20"/>
          <w:color w:val="auto"/>
        </w:rPr>
      </w:pPr>
    </w:p>
    <w:p>
      <w:pPr>
        <w:jc w:val="both"/>
        <w:ind w:left="100" w:firstLine="2222"/>
        <w:spacing w:after="0"/>
        <w:rPr>
          <w:sz w:val="20"/>
          <w:szCs w:val="20"/>
          <w:color w:val="auto"/>
        </w:rPr>
      </w:pPr>
      <w:r>
        <w:rPr>
          <w:rFonts w:ascii="Arial" w:cs="Arial" w:eastAsia="Arial" w:hAnsi="Arial"/>
          <w:sz w:val="22"/>
          <w:szCs w:val="22"/>
          <w:color w:val="auto"/>
        </w:rPr>
        <w:t>(ii)Executive shall be entitled to receive, in lieu of RSUs, a cash payment equal to a portion of $8,000,000.00 that will be determined based on the Company’s then- current VWAP in relation to the next-highest VWAP performance hurdle, as set out in Section 3(e)(ii)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65" w:name="page66"/>
    <w:bookmarkEnd w:id="65"/>
    <w:p>
      <w:pPr>
        <w:jc w:val="both"/>
        <w:ind w:left="100" w:firstLine="741"/>
        <w:spacing w:after="0" w:line="275" w:lineRule="auto"/>
        <w:rPr>
          <w:sz w:val="20"/>
          <w:szCs w:val="20"/>
          <w:color w:val="auto"/>
        </w:rPr>
      </w:pPr>
      <w:r>
        <w:rPr>
          <w:rFonts w:ascii="Arial" w:cs="Arial" w:eastAsia="Arial" w:hAnsi="Arial"/>
          <w:sz w:val="19"/>
          <w:szCs w:val="19"/>
          <w:color w:val="auto"/>
        </w:rPr>
        <w:t>7.</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 The Executive acknowledges and agrees that (i) the Executive has a major responsibility for the operation, development and growth of the Company’s, P10’s, and the Affiliated Entities’ (as defined below) business; (ii) as a result of the Executive’s employment with the Company and providing of services to P10 and the Affiliated Entities, the Executive will have access to and be given Confidential Information (defined below) of the Company, P10, the Affiliated Entities, and their Clients (as defined below) that Executive did not have access to or was not given prior to the execution of this Agreement; and (iii) the agreements and covenants contained in this Section 7 are essential to protect the legitimate business interests of the Company, P10, and the Affiliated Entities and that the Company will not enter into this Agreement but for such agreements and covenants. Accordingly, the Executive covenants and agrees to the following:</w:t>
      </w:r>
    </w:p>
    <w:p>
      <w:pPr>
        <w:spacing w:after="0" w:line="198" w:lineRule="exact"/>
        <w:rPr>
          <w:sz w:val="20"/>
          <w:szCs w:val="20"/>
          <w:color w:val="auto"/>
        </w:rPr>
      </w:pPr>
    </w:p>
    <w:p>
      <w:pPr>
        <w:ind w:left="2360" w:hanging="755"/>
        <w:spacing w:after="0"/>
        <w:tabs>
          <w:tab w:leader="none" w:pos="23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w:t>
      </w:r>
      <w:r>
        <w:rPr>
          <w:rFonts w:ascii="Arial" w:cs="Arial" w:eastAsia="Arial" w:hAnsi="Arial"/>
          <w:sz w:val="22"/>
          <w:szCs w:val="22"/>
          <w:color w:val="auto"/>
        </w:rPr>
        <w:t>.</w:t>
      </w:r>
    </w:p>
    <w:p>
      <w:pPr>
        <w:spacing w:after="0" w:line="247" w:lineRule="exact"/>
        <w:rPr>
          <w:sz w:val="20"/>
          <w:szCs w:val="20"/>
          <w:color w:val="auto"/>
        </w:rPr>
      </w:pPr>
    </w:p>
    <w:p>
      <w:pPr>
        <w:jc w:val="both"/>
        <w:ind w:left="100" w:firstLine="2222"/>
        <w:spacing w:after="0" w:line="271" w:lineRule="auto"/>
        <w:rPr>
          <w:sz w:val="20"/>
          <w:szCs w:val="20"/>
          <w:color w:val="auto"/>
        </w:rPr>
      </w:pPr>
      <w:r>
        <w:rPr>
          <w:rFonts w:ascii="Arial" w:cs="Arial" w:eastAsia="Arial" w:hAnsi="Arial"/>
          <w:sz w:val="19"/>
          <w:szCs w:val="19"/>
          <w:u w:val="single" w:color="auto"/>
          <w:color w:val="auto"/>
        </w:rPr>
        <w:t>(i)Company Provided Access to Confidential Information</w:t>
      </w:r>
      <w:r>
        <w:rPr>
          <w:rFonts w:ascii="Arial" w:cs="Arial" w:eastAsia="Arial" w:hAnsi="Arial"/>
          <w:sz w:val="19"/>
          <w:szCs w:val="19"/>
          <w:color w:val="auto"/>
        </w:rPr>
        <w:t>. Executive understands that in exchange for Executive’s promises made in this Agreement, the Company will provide Executive with access to the Company’s confidential information both of a technical and non-technical nature, relating to the business of the Company, P10, and the Company’s parents, subsidiaries, divisions, and affiliates, but excluding any portfolio company of such affiliates (collectively, “</w:t>
      </w:r>
      <w:r>
        <w:rPr>
          <w:rFonts w:ascii="Arial" w:cs="Arial" w:eastAsia="Arial" w:hAnsi="Arial"/>
          <w:sz w:val="19"/>
          <w:szCs w:val="19"/>
          <w:u w:val="single" w:color="auto"/>
          <w:color w:val="auto"/>
        </w:rPr>
        <w:t>Affiliated Entities</w:t>
      </w:r>
      <w:r>
        <w:rPr>
          <w:rFonts w:ascii="Arial" w:cs="Arial" w:eastAsia="Arial" w:hAnsi="Arial"/>
          <w:sz w:val="19"/>
          <w:szCs w:val="19"/>
          <w:color w:val="auto"/>
        </w:rPr>
        <w:t>”), including without limitation any of their actual or anticipated business plans, investment strategies, fundraising plans, investments, corporate opportunities, operations, merger or sale strategies, profitability, books and records, research or development, any of their technology or the implementation or exploitation thereof, as well as information Executive and others have collected, obtained or created, information pertaining to clients, investors, investments, accounts, vendors, prices, costs, materials, processes, codes, material results, technology, system designs, system specifications, trade secrets, or equipment designs, including information disclosed to the Company, P10, or any Affiliated Entities by others under agreements to hold such information confidential (collectively,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acknowledges that as a result of his employment with the Company he will also have access to, or knowledge of, confidential business information or trade secrets of third parties, such as the Company’s, P10’s, and the Affiliated Entities’ clients, partners, joint venturers, investors, investments, business partners, vendors, suppliers, and employees which such third-party information and trade secrets shall also be considered Confidential Information for purposes of the restrictions and obligations set forth in this Section 7(a).</w:t>
      </w:r>
    </w:p>
    <w:p>
      <w:pPr>
        <w:spacing w:after="0" w:line="200" w:lineRule="exact"/>
        <w:rPr>
          <w:sz w:val="20"/>
          <w:szCs w:val="20"/>
          <w:color w:val="auto"/>
        </w:rPr>
      </w:pPr>
    </w:p>
    <w:p>
      <w:pPr>
        <w:spacing w:after="0" w:line="230" w:lineRule="exact"/>
        <w:rPr>
          <w:sz w:val="20"/>
          <w:szCs w:val="20"/>
          <w:color w:val="auto"/>
        </w:rPr>
      </w:pPr>
    </w:p>
    <w:p>
      <w:pPr>
        <w:jc w:val="both"/>
        <w:ind w:left="100" w:firstLine="2222"/>
        <w:spacing w:after="0" w:line="245" w:lineRule="auto"/>
        <w:rPr>
          <w:sz w:val="20"/>
          <w:szCs w:val="20"/>
          <w:color w:val="auto"/>
        </w:rPr>
      </w:pPr>
      <w:r>
        <w:rPr>
          <w:rFonts w:ascii="Arial" w:cs="Arial" w:eastAsia="Arial" w:hAnsi="Arial"/>
          <w:sz w:val="21"/>
          <w:szCs w:val="21"/>
          <w:u w:val="single" w:color="auto"/>
          <w:color w:val="auto"/>
        </w:rPr>
        <w:t>(ii)Non-Disclosure of Confidential Information</w:t>
      </w:r>
      <w:r>
        <w:rPr>
          <w:rFonts w:ascii="Arial" w:cs="Arial" w:eastAsia="Arial" w:hAnsi="Arial"/>
          <w:sz w:val="21"/>
          <w:szCs w:val="21"/>
          <w:color w:val="auto"/>
        </w:rPr>
        <w:t>. Executive acknowledges that the business of the Company, P10, and the Affiliated Entities are highly competitive and that the Confidential Information and opportunity to develop relationships with customers, clients, investors, vendors, and business partners promised by the Company are valuable, special, and unique assets of the Company, P10, and the Affiliated Entities which the Company, P10, and the Affiliated Entities use in their business operations to obtain a competitive advantage over competitors which do not know or use this information. Executive further acknowledges that protection of the Confidential Information against unauthorized disclosure and use is of critical importance to the Company, P10, and the Affiliated Entities in maintaining their competitive position. Accordingly, Executive agrees to observe all policies and procedures of the Company, P10, and the Affiliated Entities concerning such Confidential Information. Executive further agrees not to disclose or use, either during his employment or at any time thereafter, 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66" w:name="page67"/>
    <w:bookmarkEnd w:id="66"/>
    <w:p>
      <w:pPr>
        <w:jc w:val="both"/>
        <w:ind w:left="120"/>
        <w:spacing w:after="0" w:line="282" w:lineRule="auto"/>
        <w:rPr>
          <w:sz w:val="20"/>
          <w:szCs w:val="20"/>
          <w:color w:val="auto"/>
        </w:rPr>
      </w:pPr>
      <w:r>
        <w:rPr>
          <w:rFonts w:ascii="Arial" w:cs="Arial" w:eastAsia="Arial" w:hAnsi="Arial"/>
          <w:sz w:val="19"/>
          <w:szCs w:val="19"/>
          <w:color w:val="auto"/>
        </w:rPr>
        <w:t>Confidential Information for any purpose, including without limitation any competitive purpose, unless authorized to do so by the Company in writing, except that he may disclose and use such information in the good faith performance of his duties for the Company, P10, or the Affiliated Entities. Executive’s obligations under this Agreement will continue with respect to Confidential Information, after the termination of this Agreement for whatever reason, until such Confidential Information becomes generally available from public sources through no fault of Executive or any representative of Executive.</w:t>
      </w:r>
    </w:p>
    <w:p>
      <w:pPr>
        <w:spacing w:after="0" w:line="188" w:lineRule="exact"/>
        <w:rPr>
          <w:sz w:val="20"/>
          <w:szCs w:val="20"/>
          <w:color w:val="auto"/>
        </w:rPr>
      </w:pPr>
    </w:p>
    <w:p>
      <w:pPr>
        <w:jc w:val="both"/>
        <w:ind w:left="100" w:firstLine="2222"/>
        <w:spacing w:after="0" w:line="248" w:lineRule="auto"/>
        <w:rPr>
          <w:sz w:val="20"/>
          <w:szCs w:val="20"/>
          <w:color w:val="auto"/>
        </w:rPr>
      </w:pPr>
      <w:r>
        <w:rPr>
          <w:rFonts w:ascii="Arial" w:cs="Arial" w:eastAsia="Arial" w:hAnsi="Arial"/>
          <w:sz w:val="21"/>
          <w:szCs w:val="21"/>
          <w:u w:val="single" w:color="auto"/>
          <w:color w:val="auto"/>
        </w:rPr>
        <w:t>(iii)Return of Confidential Information</w:t>
      </w:r>
      <w:r>
        <w:rPr>
          <w:rFonts w:ascii="Arial" w:cs="Arial" w:eastAsia="Arial" w:hAnsi="Arial"/>
          <w:sz w:val="21"/>
          <w:szCs w:val="21"/>
          <w:color w:val="auto"/>
        </w:rPr>
        <w:t>. All written or electronic or other data or materials, records, and other documents made by, or coming into the possession of, Executive which contain or disclose the Confidential Information shall be and remain the property of the Company, P10, and the Affiliated Entities. During Executive’s employment, upon the Company’s request, or upon the termination of his employment for any reason, Executive will promptly deliver to the Company all written or electronic or other data or materials, records, or other documents containing Confidential Information and all copies, derivatives, and extracts thereof to the Company.</w:t>
      </w:r>
    </w:p>
    <w:p>
      <w:pPr>
        <w:spacing w:after="0" w:line="217" w:lineRule="exact"/>
        <w:rPr>
          <w:sz w:val="20"/>
          <w:szCs w:val="20"/>
          <w:color w:val="auto"/>
        </w:rPr>
      </w:pPr>
    </w:p>
    <w:p>
      <w:pPr>
        <w:jc w:val="both"/>
        <w:ind w:left="100" w:firstLine="2222"/>
        <w:spacing w:after="0" w:line="244" w:lineRule="auto"/>
        <w:rPr>
          <w:sz w:val="20"/>
          <w:szCs w:val="20"/>
          <w:color w:val="auto"/>
        </w:rPr>
      </w:pPr>
      <w:r>
        <w:rPr>
          <w:rFonts w:ascii="Arial" w:cs="Arial" w:eastAsia="Arial" w:hAnsi="Arial"/>
          <w:sz w:val="21"/>
          <w:szCs w:val="21"/>
          <w:u w:val="single" w:color="auto"/>
          <w:color w:val="auto"/>
        </w:rPr>
        <w:t>(iv)Permissible Disclosure</w:t>
      </w:r>
      <w:r>
        <w:rPr>
          <w:rFonts w:ascii="Arial" w:cs="Arial" w:eastAsia="Arial" w:hAnsi="Arial"/>
          <w:sz w:val="21"/>
          <w:szCs w:val="21"/>
          <w:color w:val="auto"/>
        </w:rPr>
        <w:t>. Nothing contained in this Agreement in any way restricts or impedes the Executive from exercising protected rights to the extent that such rights cannot be waived by agreement, from preventing the disclosure of Confidential Information 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Executive hereby promises and covenants to promptly provide written notice to the Company of any such order, unless such notice is prohibited. Moreover, notwithstanding any other provision of this Agreement, the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 other document filed under seal in a lawsuit or other proceeding. If Executive files a lawsuit for retaliation by the Company for reporting a suspected violation of law, the Executive may disclose the Company’s trade secrets to Executive’s attorney and use the trade secret information in the court proceeding if Executive files any document containing trade secrets under seal, and does not disclose trade secrets, except pursuant to court order.</w:t>
      </w:r>
    </w:p>
    <w:p>
      <w:pPr>
        <w:spacing w:after="0" w:line="181" w:lineRule="exact"/>
        <w:rPr>
          <w:sz w:val="20"/>
          <w:szCs w:val="20"/>
          <w:color w:val="auto"/>
        </w:rPr>
      </w:pPr>
    </w:p>
    <w:p>
      <w:pPr>
        <w:jc w:val="both"/>
        <w:ind w:left="100" w:right="20" w:firstLine="1489"/>
        <w:spacing w:after="0"/>
        <w:tabs>
          <w:tab w:leader="none" w:pos="1996"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 In exchange for the consideration specified herein and as a material incentive for the Company to enter into this Agreement, and to enforce Executive’s obligations under Section 7(a), Executive hereby agrees:</w:t>
      </w:r>
    </w:p>
    <w:p>
      <w:pPr>
        <w:spacing w:after="0" w:line="213" w:lineRule="exact"/>
        <w:rPr>
          <w:sz w:val="20"/>
          <w:szCs w:val="20"/>
          <w:color w:val="auto"/>
        </w:rPr>
      </w:pPr>
    </w:p>
    <w:p>
      <w:pPr>
        <w:jc w:val="both"/>
        <w:ind w:left="100" w:firstLine="2222"/>
        <w:spacing w:after="0" w:line="248" w:lineRule="auto"/>
        <w:rPr>
          <w:sz w:val="20"/>
          <w:szCs w:val="20"/>
          <w:color w:val="auto"/>
        </w:rPr>
      </w:pPr>
      <w:r>
        <w:rPr>
          <w:rFonts w:ascii="Arial" w:cs="Arial" w:eastAsia="Arial" w:hAnsi="Arial"/>
          <w:sz w:val="21"/>
          <w:szCs w:val="21"/>
          <w:u w:val="single" w:color="auto"/>
          <w:color w:val="auto"/>
        </w:rPr>
        <w:t>(i)Non-Competition</w:t>
      </w:r>
      <w:r>
        <w:rPr>
          <w:rFonts w:ascii="Arial" w:cs="Arial" w:eastAsia="Arial" w:hAnsi="Arial"/>
          <w:sz w:val="21"/>
          <w:szCs w:val="21"/>
          <w:color w:val="auto"/>
        </w:rPr>
        <w:t>. During the Term and for one (1) year following the termination of Executive’s employment for any reason (the “</w:t>
      </w:r>
      <w:r>
        <w:rPr>
          <w:rFonts w:ascii="Arial" w:cs="Arial" w:eastAsia="Arial" w:hAnsi="Arial"/>
          <w:sz w:val="21"/>
          <w:szCs w:val="21"/>
          <w:u w:val="single" w:color="auto"/>
          <w:color w:val="auto"/>
        </w:rPr>
        <w:t>Restrictive Period</w:t>
      </w:r>
      <w:r>
        <w:rPr>
          <w:rFonts w:ascii="Arial" w:cs="Arial" w:eastAsia="Arial" w:hAnsi="Arial"/>
          <w:sz w:val="21"/>
          <w:szCs w:val="21"/>
          <w:color w:val="auto"/>
        </w:rPr>
        <w:t>”), Executive will not anywhere in the United States (A) carry on or engage in, directly or indirectly, any business, partnership, firm, corporation or other entity which wholly or in any significant part engages in any business competing with the Company, P10, or any Affiliated Entities (“</w:t>
      </w:r>
      <w:r>
        <w:rPr>
          <w:rFonts w:ascii="Arial" w:cs="Arial" w:eastAsia="Arial" w:hAnsi="Arial"/>
          <w:sz w:val="21"/>
          <w:szCs w:val="21"/>
          <w:u w:val="single" w:color="auto"/>
          <w:color w:val="auto"/>
        </w:rPr>
        <w:t>Competing Business</w:t>
      </w:r>
      <w:r>
        <w:rPr>
          <w:rFonts w:ascii="Arial" w:cs="Arial" w:eastAsia="Arial" w:hAnsi="Arial"/>
          <w:sz w:val="21"/>
          <w:szCs w:val="21"/>
          <w:color w:val="auto"/>
        </w:rPr>
        <w:t>”) or (B) directly or indirectly, own, manage, operate, join, become an employee, partner, owner or member of (or an independent contractor to), control or participate in or loan money 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67" w:name="page68"/>
    <w:bookmarkEnd w:id="67"/>
    <w:p>
      <w:pPr>
        <w:jc w:val="both"/>
        <w:ind w:left="120"/>
        <w:spacing w:after="0" w:line="279" w:lineRule="auto"/>
        <w:rPr>
          <w:sz w:val="20"/>
          <w:szCs w:val="20"/>
          <w:color w:val="auto"/>
        </w:rPr>
      </w:pPr>
      <w:r>
        <w:rPr>
          <w:rFonts w:ascii="Arial" w:cs="Arial" w:eastAsia="Arial" w:hAnsi="Arial"/>
          <w:sz w:val="19"/>
          <w:szCs w:val="19"/>
          <w:color w:val="auto"/>
        </w:rPr>
        <w:t>any business, individual, partnership, firm, corporation, or other entity which engages in a Competing Business. Notwithstanding the restrictions contained in this Section 7(b)(i), Executive may own an aggregate of not more than 5% of the outstanding stock of any class of any corporation engaged in a Competing Business, if such stock is listed on a national securities exchange or regularly traded in the over-the-counter market by a member of a national securities exchange, without violating the provisions of this Section 7(b)(i), provided that Executive does not have the power, directly or indirectly, to control or direct the management or affairs of any such corporation and is not involved in the management of such corporation.</w:t>
      </w:r>
    </w:p>
    <w:p>
      <w:pPr>
        <w:spacing w:after="0" w:line="191" w:lineRule="exact"/>
        <w:rPr>
          <w:sz w:val="20"/>
          <w:szCs w:val="20"/>
          <w:color w:val="auto"/>
        </w:rPr>
      </w:pPr>
    </w:p>
    <w:p>
      <w:pPr>
        <w:jc w:val="both"/>
        <w:ind w:left="100" w:firstLine="2222"/>
        <w:spacing w:after="0" w:line="246" w:lineRule="auto"/>
        <w:rPr>
          <w:sz w:val="20"/>
          <w:szCs w:val="20"/>
          <w:color w:val="auto"/>
        </w:rPr>
      </w:pPr>
      <w:r>
        <w:rPr>
          <w:rFonts w:ascii="Arial" w:cs="Arial" w:eastAsia="Arial" w:hAnsi="Arial"/>
          <w:sz w:val="21"/>
          <w:szCs w:val="21"/>
          <w:u w:val="single" w:color="auto"/>
          <w:color w:val="auto"/>
        </w:rPr>
        <w:t>(ii)Non-Solicitation of Clients</w:t>
      </w:r>
      <w:r>
        <w:rPr>
          <w:rFonts w:ascii="Arial" w:cs="Arial" w:eastAsia="Arial" w:hAnsi="Arial"/>
          <w:sz w:val="21"/>
          <w:szCs w:val="21"/>
          <w:color w:val="auto"/>
        </w:rPr>
        <w:t>. During the Restrictive Period, the Executive shall not solicit for business or accept the business of, any person or entity who is, or was at any time during the Term, a Client (as defined below) of the Company, P10, or any Affiliated Entities. This excludes any Clients who were Clients of the Executive or with whom Executive had a business relationship prior to the Start Date. For purposes of this Agreement, the term “Client(s)” shall mean any individual, corporation, partnership, business, or other entity, whether for-profit or not-for-profit, public, privately held, or owned by the United States government that is a business entity or individual with whom the Company, P10, or any Affiliated Entity has done business or with whom Executive has actively negotiated with at any time during the year preceding the termination of Executive’s employment.</w:t>
      </w:r>
    </w:p>
    <w:p>
      <w:pPr>
        <w:spacing w:after="0" w:line="220" w:lineRule="exact"/>
        <w:rPr>
          <w:sz w:val="20"/>
          <w:szCs w:val="20"/>
          <w:color w:val="auto"/>
        </w:rPr>
      </w:pPr>
    </w:p>
    <w:p>
      <w:pPr>
        <w:ind w:left="3100" w:hanging="746"/>
        <w:spacing w:after="0"/>
        <w:tabs>
          <w:tab w:leader="none" w:pos="3100" w:val="left"/>
        </w:tabs>
        <w:numPr>
          <w:ilvl w:val="2"/>
          <w:numId w:val="3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During the Term and for two</w:t>
      </w:r>
    </w:p>
    <w:p>
      <w:pPr>
        <w:spacing w:after="0" w:line="8" w:lineRule="exact"/>
        <w:rPr>
          <w:rFonts w:ascii="Arial" w:cs="Arial" w:eastAsia="Arial" w:hAnsi="Arial"/>
          <w:sz w:val="22"/>
          <w:szCs w:val="22"/>
          <w:u w:val="single" w:color="auto"/>
          <w:color w:val="auto"/>
        </w:rPr>
      </w:pPr>
    </w:p>
    <w:p>
      <w:pPr>
        <w:jc w:val="both"/>
        <w:ind w:left="120" w:hanging="8"/>
        <w:spacing w:after="0" w:line="243" w:lineRule="auto"/>
        <w:tabs>
          <w:tab w:leader="none" w:pos="436" w:val="left"/>
        </w:tabs>
        <w:numPr>
          <w:ilvl w:val="0"/>
          <w:numId w:val="36"/>
        </w:numPr>
        <w:rPr>
          <w:rFonts w:ascii="Arial" w:cs="Arial" w:eastAsia="Arial" w:hAnsi="Arial"/>
          <w:sz w:val="21"/>
          <w:szCs w:val="21"/>
          <w:color w:val="auto"/>
        </w:rPr>
      </w:pPr>
      <w:r>
        <w:rPr>
          <w:rFonts w:ascii="Arial" w:cs="Arial" w:eastAsia="Arial" w:hAnsi="Arial"/>
          <w:sz w:val="21"/>
          <w:szCs w:val="21"/>
          <w:color w:val="auto"/>
        </w:rPr>
        <w:t>years following the termination of Executive’s employment for any reason (the “</w:t>
      </w:r>
      <w:r>
        <w:rPr>
          <w:rFonts w:ascii="Arial" w:cs="Arial" w:eastAsia="Arial" w:hAnsi="Arial"/>
          <w:sz w:val="21"/>
          <w:szCs w:val="21"/>
          <w:u w:val="single" w:color="auto"/>
          <w:color w:val="auto"/>
        </w:rPr>
        <w:t>Non-Solicit Period</w:t>
      </w:r>
      <w:r>
        <w:rPr>
          <w:rFonts w:ascii="Arial" w:cs="Arial" w:eastAsia="Arial" w:hAnsi="Arial"/>
          <w:sz w:val="21"/>
          <w:szCs w:val="21"/>
          <w:color w:val="auto"/>
        </w:rPr>
        <w:t>”), the Executive shall not (A) directly or indirectly, for himself or for others, employ, solicit, for employment, or otherwise contract for or hire, the services of any individual who is an employee, consultant, representative, officer, or director of the Company, P10, or any Affiliated Entities or who was an employee, consultant, representative, officer, or director of the Company, P10, or any Affiliated Entities during the two (2) years preceding the termination of Executive’s employment; or (B) take any action that could reasonably be expected to have the effect of encouraging or inducing any employee, consultant, representative, officer, or director of the Company, P10, or any Affiliated Entities to cease their relationship with the Company, P10, or any Affiliated Entities for any reason.</w:t>
      </w:r>
    </w:p>
    <w:p>
      <w:pPr>
        <w:spacing w:after="0" w:line="213" w:lineRule="exact"/>
        <w:rPr>
          <w:rFonts w:ascii="Arial" w:cs="Arial" w:eastAsia="Arial" w:hAnsi="Arial"/>
          <w:sz w:val="21"/>
          <w:szCs w:val="21"/>
          <w:color w:val="auto"/>
        </w:rPr>
      </w:pPr>
    </w:p>
    <w:p>
      <w:pPr>
        <w:jc w:val="both"/>
        <w:ind w:left="100" w:firstLine="1489"/>
        <w:spacing w:after="0" w:line="235" w:lineRule="auto"/>
        <w:tabs>
          <w:tab w:leader="none" w:pos="1996"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Executive agrees that during the Term and following termination of Executive’s employment for any reason, he will not disparage, orally or in writing, the Company, P10, the Affiliated Entities, the management, shareholders, Board, P10 Board, executives, product or services provided by the Company, P10, and the Affiliated Entities or the future prospects of the Company, P10, or Affiliated Entities. The Company agrees that, during the Term and following the termination of Executive’s employment for any reason, the Board, P10 Board and Company executives will not disparage, orally or in writing, the Executive.</w:t>
      </w:r>
    </w:p>
    <w:p>
      <w:pPr>
        <w:spacing w:after="0" w:line="228" w:lineRule="exact"/>
        <w:rPr>
          <w:rFonts w:ascii="Arial" w:cs="Arial" w:eastAsia="Arial" w:hAnsi="Arial"/>
          <w:sz w:val="22"/>
          <w:szCs w:val="22"/>
          <w:color w:val="auto"/>
        </w:rPr>
      </w:pPr>
    </w:p>
    <w:p>
      <w:pPr>
        <w:jc w:val="both"/>
        <w:ind w:left="100" w:firstLine="1489"/>
        <w:spacing w:after="0" w:line="235" w:lineRule="auto"/>
        <w:tabs>
          <w:tab w:leader="none" w:pos="1996"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Reasonableness of Restrictions</w:t>
      </w:r>
      <w:r>
        <w:rPr>
          <w:rFonts w:ascii="Arial" w:cs="Arial" w:eastAsia="Arial" w:hAnsi="Arial"/>
          <w:sz w:val="22"/>
          <w:szCs w:val="22"/>
          <w:color w:val="auto"/>
        </w:rPr>
        <w:t>. Executive understands and agrees that such restrictions may limit his ability to engage in a business similar to the Company’s, P10’s, and the Affiliated Entities’ business in a position similar to his position with the Company because such a position would inevitably and unavoidably require him to disclose the Confidential Information protected herein but acknowledges that he will receive sufficient monetary and other consideration from the Company hereunder to justify such restriction. The Company and Executive believe the limitations as to time, geographic area, and scope of activity contained in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68" w:name="page69"/>
    <w:bookmarkEnd w:id="68"/>
    <w:p>
      <w:pPr>
        <w:ind w:left="120"/>
        <w:spacing w:after="0" w:line="250" w:lineRule="auto"/>
        <w:rPr>
          <w:sz w:val="20"/>
          <w:szCs w:val="20"/>
          <w:color w:val="auto"/>
        </w:rPr>
      </w:pPr>
      <w:r>
        <w:rPr>
          <w:rFonts w:ascii="Arial" w:cs="Arial" w:eastAsia="Arial" w:hAnsi="Arial"/>
          <w:sz w:val="22"/>
          <w:szCs w:val="22"/>
          <w:color w:val="auto"/>
        </w:rPr>
        <w:t>this Section 7 are reasonable and do not impose a greater restraint than necessary to protect the Company’s, P10’s, and Affiliated Entities’ Confidential Information, goodwill, and legitimate business interests.</w:t>
      </w:r>
    </w:p>
    <w:p>
      <w:pPr>
        <w:spacing w:after="0" w:line="215" w:lineRule="exact"/>
        <w:rPr>
          <w:sz w:val="20"/>
          <w:szCs w:val="20"/>
          <w:color w:val="auto"/>
        </w:rPr>
      </w:pPr>
    </w:p>
    <w:p>
      <w:pPr>
        <w:jc w:val="both"/>
        <w:ind w:left="100" w:firstLine="1489"/>
        <w:spacing w:after="0" w:line="249" w:lineRule="auto"/>
        <w:tabs>
          <w:tab w:leader="none" w:pos="1996"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Disclosure to Future Employers</w:t>
      </w:r>
      <w:r>
        <w:rPr>
          <w:rFonts w:ascii="Arial" w:cs="Arial" w:eastAsia="Arial" w:hAnsi="Arial"/>
          <w:sz w:val="21"/>
          <w:szCs w:val="21"/>
          <w:color w:val="auto"/>
        </w:rPr>
        <w:t>. The Executive shall provide a copy of these restrictive covenants to any prospective employer, partner, or co-venturer prior to entering into an employment, independent contractor, consultant, partnership, or other business relationship. The Executive further agrees that within twenty-four hours of his acceptance of a position with any prospective employer, or engagement as partner or co-venturer with any other person or entity, the Executive shall provide the Company with notice of his compliance with this Section 7.</w:t>
      </w:r>
    </w:p>
    <w:p>
      <w:pPr>
        <w:spacing w:after="0" w:line="178" w:lineRule="exact"/>
        <w:rPr>
          <w:rFonts w:ascii="Arial" w:cs="Arial" w:eastAsia="Arial" w:hAnsi="Arial"/>
          <w:sz w:val="21"/>
          <w:szCs w:val="21"/>
          <w:color w:val="auto"/>
        </w:rPr>
      </w:pPr>
    </w:p>
    <w:p>
      <w:pPr>
        <w:jc w:val="both"/>
        <w:ind w:left="100" w:firstLine="1489"/>
        <w:spacing w:after="0" w:line="277" w:lineRule="auto"/>
        <w:tabs>
          <w:tab w:leader="none" w:pos="199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Reformation</w:t>
      </w:r>
      <w:r>
        <w:rPr>
          <w:rFonts w:ascii="Arial" w:cs="Arial" w:eastAsia="Arial" w:hAnsi="Arial"/>
          <w:sz w:val="19"/>
          <w:szCs w:val="19"/>
          <w:color w:val="auto"/>
        </w:rPr>
        <w:t>. If any covenant, provision, or part thereof contained herein is found by a court having jurisdiction to be unreasonable in duration, geographic scope, or character of restrictions, such covenant, provision or part thereof shall not be rendered unenforceable, but rather the duration, geographic scope, or character of restrictions of such covenant, provision, or part thereof shall be deemed reduced or modified with retroactive effect to render such covenant, provision, or part thereof reasonable, and such covenant, provision, or part thereof shall be enforced as modified. If the court having jurisdiction will not revise the covenant, provision, or part thereof, the parties hereto shall mutually agree to a revision having an effect as close as permitted by applicable law to the provision declared unenforceable.</w:t>
      </w:r>
    </w:p>
    <w:p>
      <w:pPr>
        <w:spacing w:after="0" w:line="192" w:lineRule="exact"/>
        <w:rPr>
          <w:rFonts w:ascii="Arial" w:cs="Arial" w:eastAsia="Arial" w:hAnsi="Arial"/>
          <w:sz w:val="19"/>
          <w:szCs w:val="19"/>
          <w:color w:val="auto"/>
        </w:rPr>
      </w:pPr>
    </w:p>
    <w:p>
      <w:pPr>
        <w:jc w:val="both"/>
        <w:ind w:left="100" w:firstLine="1489"/>
        <w:spacing w:after="0"/>
        <w:tabs>
          <w:tab w:leader="none" w:pos="1996"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Breach of this Section</w:t>
      </w:r>
      <w:r>
        <w:rPr>
          <w:rFonts w:ascii="Arial" w:cs="Arial" w:eastAsia="Arial" w:hAnsi="Arial"/>
          <w:sz w:val="22"/>
          <w:szCs w:val="22"/>
          <w:color w:val="auto"/>
        </w:rPr>
        <w:t>. In the event the Executive breaches the restrictive covenants and obligations set forth in this Section 7, then the running of the Restrictive Period and/or Non-Solicit Period shall be tolled and suspended during the time period in which Executive acts in breach of this Agreement.</w:t>
      </w:r>
    </w:p>
    <w:p>
      <w:pPr>
        <w:spacing w:after="0" w:line="213" w:lineRule="exact"/>
        <w:rPr>
          <w:rFonts w:ascii="Arial" w:cs="Arial" w:eastAsia="Arial" w:hAnsi="Arial"/>
          <w:sz w:val="22"/>
          <w:szCs w:val="22"/>
          <w:color w:val="auto"/>
        </w:rPr>
      </w:pPr>
    </w:p>
    <w:p>
      <w:pPr>
        <w:jc w:val="both"/>
        <w:ind w:left="100" w:firstLine="1489"/>
        <w:spacing w:after="0" w:line="248" w:lineRule="auto"/>
        <w:tabs>
          <w:tab w:leader="none" w:pos="1996"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Right to Specific Performance and Injunctive Relief</w:t>
      </w:r>
      <w:r>
        <w:rPr>
          <w:rFonts w:ascii="Arial" w:cs="Arial" w:eastAsia="Arial" w:hAnsi="Arial"/>
          <w:sz w:val="21"/>
          <w:szCs w:val="21"/>
          <w:color w:val="auto"/>
        </w:rPr>
        <w:t>. Executive acknowledges that money damages would not be sufficient remedy for any breach of this Section 7 by Executive, and the Company shall be entitled to seek to enforce the provisions of this Section 7 through specific performance and injunctive relief as remedies for such breach or any threatened breach. Such remedies shall not be deemed the exclusive remedies for a breach of this Section 7 but shall be in addition to all remedies available at law or in equity to the Company including, without limitation, the recovery of damages from Executive and his agents involved in such breach.</w:t>
      </w:r>
    </w:p>
    <w:p>
      <w:pPr>
        <w:spacing w:after="0" w:line="177" w:lineRule="exact"/>
        <w:rPr>
          <w:sz w:val="20"/>
          <w:szCs w:val="20"/>
          <w:color w:val="auto"/>
        </w:rPr>
      </w:pPr>
    </w:p>
    <w:p>
      <w:pPr>
        <w:jc w:val="both"/>
        <w:ind w:left="100" w:firstLine="741"/>
        <w:spacing w:after="0" w:line="236" w:lineRule="auto"/>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No Restrictive Covenants</w:t>
      </w:r>
      <w:r>
        <w:rPr>
          <w:rFonts w:ascii="Arial" w:cs="Arial" w:eastAsia="Arial" w:hAnsi="Arial"/>
          <w:sz w:val="22"/>
          <w:szCs w:val="22"/>
          <w:color w:val="auto"/>
        </w:rPr>
        <w:t>. Executive represents and warrants to the Company that he is not subject to any agreement restricting his ability to enter into this Agreement and fully carry out his duties and responsibilities hereunder. Executive hereby indemnifies and holds the Company harmless against any losses, claims, expenses (including reasonable attorneys’ fees), damages, or liabilities incurred by the Company as a result of a breach of the foregoing representation and warranty.</w:t>
      </w:r>
    </w:p>
    <w:p>
      <w:pPr>
        <w:spacing w:after="0" w:line="228" w:lineRule="exact"/>
        <w:rPr>
          <w:sz w:val="20"/>
          <w:szCs w:val="20"/>
          <w:color w:val="auto"/>
        </w:rPr>
      </w:pPr>
    </w:p>
    <w:p>
      <w:pPr>
        <w:jc w:val="both"/>
        <w:ind w:left="100" w:firstLine="741"/>
        <w:spacing w:after="0" w:line="238" w:lineRule="auto"/>
        <w:rPr>
          <w:sz w:val="20"/>
          <w:szCs w:val="20"/>
          <w:color w:val="auto"/>
        </w:rPr>
      </w:pPr>
      <w:r>
        <w:rPr>
          <w:rFonts w:ascii="Arial" w:cs="Arial" w:eastAsia="Arial" w:hAnsi="Arial"/>
          <w:sz w:val="22"/>
          <w:szCs w:val="22"/>
          <w:color w:val="auto"/>
        </w:rPr>
        <w:t>9.</w:t>
      </w:r>
      <w:r>
        <w:rPr>
          <w:rFonts w:ascii="Arial" w:cs="Arial" w:eastAsia="Arial" w:hAnsi="Arial"/>
          <w:sz w:val="22"/>
          <w:szCs w:val="22"/>
          <w:u w:val="single" w:color="auto"/>
          <w:color w:val="auto"/>
        </w:rPr>
        <w:t>Adherence to Code of Ethics and Insider Trading Policy</w:t>
      </w:r>
      <w:r>
        <w:rPr>
          <w:rFonts w:ascii="Arial" w:cs="Arial" w:eastAsia="Arial" w:hAnsi="Arial"/>
          <w:sz w:val="22"/>
          <w:szCs w:val="22"/>
          <w:color w:val="auto"/>
        </w:rPr>
        <w:t>. The Executive represents and warrants that he has received a copy of the Company’s Code of Ethics and its Insider Trading Policy. The Executive covenants and agrees to adhere to both the Code of Ethics and the Insider Trading Policy as may be amended from time to time. The Executive acknowledges that a material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69" w:name="page70"/>
    <w:bookmarkEnd w:id="69"/>
    <w:p>
      <w:pPr>
        <w:ind w:left="120"/>
        <w:spacing w:after="0"/>
        <w:rPr>
          <w:sz w:val="20"/>
          <w:szCs w:val="20"/>
          <w:color w:val="auto"/>
        </w:rPr>
      </w:pPr>
      <w:r>
        <w:rPr>
          <w:rFonts w:ascii="Arial" w:cs="Arial" w:eastAsia="Arial" w:hAnsi="Arial"/>
          <w:sz w:val="19"/>
          <w:szCs w:val="19"/>
          <w:color w:val="auto"/>
        </w:rPr>
        <w:t>violation of either the Code of Ethics or the Insider Trading Policy would constitute a material breach of this Agreement.</w:t>
      </w:r>
    </w:p>
    <w:p>
      <w:pPr>
        <w:spacing w:after="0" w:line="281" w:lineRule="exact"/>
        <w:rPr>
          <w:sz w:val="20"/>
          <w:szCs w:val="20"/>
          <w:color w:val="auto"/>
        </w:rPr>
      </w:pPr>
    </w:p>
    <w:p>
      <w:pPr>
        <w:ind w:left="1600" w:hanging="744"/>
        <w:spacing w:after="0"/>
        <w:tabs>
          <w:tab w:leader="none" w:pos="16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Assignment of Intellectual Property</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00" w:firstLine="1489"/>
        <w:spacing w:after="0" w:line="244" w:lineRule="auto"/>
        <w:tabs>
          <w:tab w:leader="none" w:pos="1996" w:val="left"/>
        </w:tabs>
        <w:numPr>
          <w:ilvl w:val="1"/>
          <w:numId w:val="38"/>
        </w:numPr>
        <w:rPr>
          <w:rFonts w:ascii="Arial" w:cs="Arial" w:eastAsia="Arial" w:hAnsi="Arial"/>
          <w:sz w:val="21"/>
          <w:szCs w:val="21"/>
          <w:color w:val="auto"/>
        </w:rPr>
      </w:pPr>
      <w:r>
        <w:rPr>
          <w:rFonts w:ascii="Arial" w:cs="Arial" w:eastAsia="Arial" w:hAnsi="Arial"/>
          <w:sz w:val="21"/>
          <w:szCs w:val="21"/>
          <w:color w:val="auto"/>
        </w:rPr>
        <w:t>Executive will promptly disclose to the Company any idea, invention, discovery, or improvement, whether patentable or not (“</w:t>
      </w:r>
      <w:r>
        <w:rPr>
          <w:rFonts w:ascii="Arial" w:cs="Arial" w:eastAsia="Arial" w:hAnsi="Arial"/>
          <w:sz w:val="21"/>
          <w:szCs w:val="21"/>
          <w:u w:val="single" w:color="auto"/>
          <w:color w:val="auto"/>
        </w:rPr>
        <w:t>Creations</w:t>
      </w:r>
      <w:r>
        <w:rPr>
          <w:rFonts w:ascii="Arial" w:cs="Arial" w:eastAsia="Arial" w:hAnsi="Arial"/>
          <w:sz w:val="21"/>
          <w:szCs w:val="21"/>
          <w:color w:val="auto"/>
        </w:rPr>
        <w:t>”), conceived or made by him alone or with others at any time during his employment with the Company or while providing services to the Company, P10, or any Affiliated Entity. Executive agrees that the Company owns any such Creations, and Executive hereby assigns and agrees to assign to the Company all moral and other rights he has or may acquire therein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The Company and Executive understand that the obligation to assign Creations to the Company shall not apply to any Creation which is developed entirely on his own time without using any of the Company’s, P10’s, or any Affiliated Entity’s equipment, supplies, facilities, and/or Confidential Information (“</w:t>
      </w:r>
      <w:r>
        <w:rPr>
          <w:rFonts w:ascii="Arial" w:cs="Arial" w:eastAsia="Arial" w:hAnsi="Arial"/>
          <w:sz w:val="21"/>
          <w:szCs w:val="21"/>
          <w:u w:val="single" w:color="auto"/>
          <w:color w:val="auto"/>
        </w:rPr>
        <w:t>Executive Creations</w:t>
      </w:r>
      <w:r>
        <w:rPr>
          <w:rFonts w:ascii="Arial" w:cs="Arial" w:eastAsia="Arial" w:hAnsi="Arial"/>
          <w:sz w:val="21"/>
          <w:szCs w:val="21"/>
          <w:color w:val="auto"/>
        </w:rPr>
        <w:t>”) unless such Creation (i) relates in any way to the business or to the current or anticipated research or development of the Company, P10, or any Affiliated Entities, or (ii) results in any way from his employment with the Company or work for P10 or any Affiliated Entities.</w:t>
      </w:r>
    </w:p>
    <w:p>
      <w:pPr>
        <w:spacing w:after="0" w:line="210" w:lineRule="exact"/>
        <w:rPr>
          <w:rFonts w:ascii="Arial" w:cs="Arial" w:eastAsia="Arial" w:hAnsi="Arial"/>
          <w:sz w:val="21"/>
          <w:szCs w:val="21"/>
          <w:color w:val="auto"/>
        </w:rPr>
      </w:pPr>
    </w:p>
    <w:p>
      <w:pPr>
        <w:jc w:val="both"/>
        <w:ind w:left="100" w:firstLine="1489"/>
        <w:spacing w:after="0" w:line="236" w:lineRule="auto"/>
        <w:tabs>
          <w:tab w:leader="none" w:pos="1996" w:val="left"/>
        </w:tabs>
        <w:numPr>
          <w:ilvl w:val="1"/>
          <w:numId w:val="38"/>
        </w:numPr>
        <w:rPr>
          <w:rFonts w:ascii="Arial" w:cs="Arial" w:eastAsia="Arial" w:hAnsi="Arial"/>
          <w:sz w:val="22"/>
          <w:szCs w:val="22"/>
          <w:color w:val="auto"/>
        </w:rPr>
      </w:pPr>
      <w:r>
        <w:rPr>
          <w:rFonts w:ascii="Arial" w:cs="Arial" w:eastAsia="Arial" w:hAnsi="Arial"/>
          <w:sz w:val="22"/>
          <w:szCs w:val="22"/>
          <w:color w:val="auto"/>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hereby covenants and agrees not to bring any claim, suit, or other legal proceeding against the Company or any Affiliated Entity claiming that Executive’s moral rights to the Creations have been violated.</w:t>
      </w:r>
    </w:p>
    <w:p>
      <w:pPr>
        <w:spacing w:after="0" w:line="227" w:lineRule="exact"/>
        <w:rPr>
          <w:rFonts w:ascii="Arial" w:cs="Arial" w:eastAsia="Arial" w:hAnsi="Arial"/>
          <w:sz w:val="22"/>
          <w:szCs w:val="22"/>
          <w:color w:val="auto"/>
        </w:rPr>
      </w:pPr>
    </w:p>
    <w:p>
      <w:pPr>
        <w:jc w:val="both"/>
        <w:ind w:left="100" w:firstLine="1489"/>
        <w:spacing w:after="0" w:line="273" w:lineRule="auto"/>
        <w:tabs>
          <w:tab w:leader="none" w:pos="1996" w:val="left"/>
        </w:tabs>
        <w:numPr>
          <w:ilvl w:val="1"/>
          <w:numId w:val="38"/>
        </w:numPr>
        <w:rPr>
          <w:rFonts w:ascii="Arial" w:cs="Arial" w:eastAsia="Arial" w:hAnsi="Arial"/>
          <w:sz w:val="19"/>
          <w:szCs w:val="19"/>
          <w:color w:val="auto"/>
        </w:rPr>
      </w:pPr>
      <w:r>
        <w:rPr>
          <w:rFonts w:ascii="Arial" w:cs="Arial" w:eastAsia="Arial" w:hAnsi="Arial"/>
          <w:sz w:val="19"/>
          <w:szCs w:val="19"/>
          <w:color w:val="auto"/>
        </w:rPr>
        <w:t>Executive agrees to reasonably cooperate with the Company, P10, and the Affiliated Entities, both during and after his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reasonably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his agent and attorney-in-fact, and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Creations, under the conditions described in this paragraph, all to the exclusion of Executive’s Creations.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16</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70" w:name="page71"/>
    <w:bookmarkEnd w:id="70"/>
    <w:p>
      <w:pPr>
        <w:jc w:val="both"/>
        <w:ind w:left="100" w:firstLine="741"/>
        <w:spacing w:after="0" w:line="282" w:lineRule="auto"/>
        <w:rPr>
          <w:sz w:val="20"/>
          <w:szCs w:val="20"/>
          <w:color w:val="auto"/>
        </w:rPr>
      </w:pPr>
      <w:r>
        <w:rPr>
          <w:rFonts w:ascii="Arial" w:cs="Arial" w:eastAsia="Arial" w:hAnsi="Arial"/>
          <w:sz w:val="19"/>
          <w:szCs w:val="19"/>
          <w:color w:val="auto"/>
        </w:rPr>
        <w:t>11.</w:t>
      </w:r>
      <w:r>
        <w:rPr>
          <w:rFonts w:ascii="Arial" w:cs="Arial" w:eastAsia="Arial" w:hAnsi="Arial"/>
          <w:sz w:val="19"/>
          <w:szCs w:val="19"/>
          <w:u w:val="single" w:color="auto"/>
          <w:color w:val="auto"/>
        </w:rPr>
        <w:t>Executive’s Right to Participate in P10 Funds</w:t>
      </w:r>
      <w:r>
        <w:rPr>
          <w:rFonts w:ascii="Arial" w:cs="Arial" w:eastAsia="Arial" w:hAnsi="Arial"/>
          <w:sz w:val="19"/>
          <w:szCs w:val="19"/>
          <w:color w:val="auto"/>
        </w:rPr>
        <w:t>. During the Term, Executive shall have the right and option to invest personally in all P10 funds, free from any fees or carry, subject only to such investment limits that the General Partner of such fund imposes on all Company executives or employees not directly involved in such P10 fund, and any such investment limitations shall apply equally among all other Company executives and employees, and Executive shall have an investment allocation no less than any other officer or employee of the Company or its affiliates not directly involved in such fund.</w:t>
      </w:r>
    </w:p>
    <w:p>
      <w:pPr>
        <w:spacing w:after="0" w:line="188" w:lineRule="exact"/>
        <w:rPr>
          <w:sz w:val="20"/>
          <w:szCs w:val="20"/>
          <w:color w:val="auto"/>
        </w:rPr>
      </w:pPr>
    </w:p>
    <w:p>
      <w:pPr>
        <w:jc w:val="both"/>
        <w:ind w:left="100" w:firstLine="741"/>
        <w:spacing w:after="0"/>
        <w:rPr>
          <w:sz w:val="20"/>
          <w:szCs w:val="20"/>
          <w:color w:val="auto"/>
        </w:rPr>
      </w:pPr>
      <w:r>
        <w:rPr>
          <w:rFonts w:ascii="Arial" w:cs="Arial" w:eastAsia="Arial" w:hAnsi="Arial"/>
          <w:sz w:val="22"/>
          <w:szCs w:val="22"/>
          <w:color w:val="auto"/>
        </w:rPr>
        <w:t>12.</w:t>
      </w: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either the Company or the Executive of a breach of any provision of this Agreement shall not operate as or be deemed a waiver of any subsequent breach by either the Company or the Executive. Any waiver must be in writing.</w:t>
      </w:r>
    </w:p>
    <w:p>
      <w:pPr>
        <w:spacing w:after="0" w:line="227" w:lineRule="exact"/>
        <w:rPr>
          <w:sz w:val="20"/>
          <w:szCs w:val="20"/>
          <w:color w:val="auto"/>
        </w:rPr>
      </w:pPr>
    </w:p>
    <w:p>
      <w:pPr>
        <w:jc w:val="both"/>
        <w:ind w:left="100" w:firstLine="741"/>
        <w:spacing w:after="0" w:line="245" w:lineRule="auto"/>
        <w:rPr>
          <w:sz w:val="20"/>
          <w:szCs w:val="20"/>
          <w:color w:val="auto"/>
        </w:rPr>
      </w:pPr>
      <w:r>
        <w:rPr>
          <w:rFonts w:ascii="Arial" w:cs="Arial" w:eastAsia="Arial" w:hAnsi="Arial"/>
          <w:sz w:val="21"/>
          <w:szCs w:val="21"/>
          <w:color w:val="auto"/>
        </w:rPr>
        <w:t>13.</w:t>
      </w:r>
      <w:r>
        <w:rPr>
          <w:rFonts w:ascii="Arial" w:cs="Arial" w:eastAsia="Arial" w:hAnsi="Arial"/>
          <w:sz w:val="21"/>
          <w:szCs w:val="21"/>
          <w:u w:val="single" w:color="auto"/>
          <w:color w:val="auto"/>
        </w:rPr>
        <w:t>Notice</w:t>
      </w:r>
      <w:r>
        <w:rPr>
          <w:rFonts w:ascii="Arial" w:cs="Arial" w:eastAsia="Arial" w:hAnsi="Arial"/>
          <w:sz w:val="21"/>
          <w:szCs w:val="21"/>
          <w:color w:val="auto"/>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w:t>
      </w:r>
    </w:p>
    <w:p>
      <w:pPr>
        <w:jc w:val="both"/>
        <w:ind w:left="120" w:hanging="8"/>
        <w:spacing w:after="0" w:line="234" w:lineRule="auto"/>
        <w:tabs>
          <w:tab w:leader="none" w:pos="490" w:val="left"/>
        </w:tabs>
        <w:numPr>
          <w:ilvl w:val="0"/>
          <w:numId w:val="39"/>
        </w:numPr>
        <w:rPr>
          <w:rFonts w:ascii="Arial" w:cs="Arial" w:eastAsia="Arial" w:hAnsi="Arial"/>
          <w:sz w:val="22"/>
          <w:szCs w:val="22"/>
          <w:color w:val="auto"/>
        </w:rPr>
      </w:pPr>
      <w:r>
        <w:rPr>
          <w:rFonts w:ascii="Arial" w:cs="Arial" w:eastAsia="Arial" w:hAnsi="Arial"/>
          <w:sz w:val="22"/>
          <w:szCs w:val="22"/>
          <w:color w:val="auto"/>
        </w:rPr>
        <w:t>on the third day after the date mailed, by certified or registered mail, return receipt requested, postage prepaid. Communications must be sent to the respective parties at the following addresses (or at any other address for a party as shall be specified in a notice given in accordance with this Section 13):</w:t>
      </w:r>
    </w:p>
    <w:p>
      <w:pPr>
        <w:spacing w:after="0" w:line="187"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To Executive: Luke A. Sarsfield III</w:t>
      </w:r>
    </w:p>
    <w:p>
      <w:pPr>
        <w:spacing w:after="0" w:line="200" w:lineRule="exact"/>
        <w:rPr>
          <w:sz w:val="20"/>
          <w:szCs w:val="20"/>
          <w:color w:val="auto"/>
        </w:rPr>
      </w:pPr>
    </w:p>
    <w:p>
      <w:pPr>
        <w:spacing w:after="0" w:line="276"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To Company: P10 Intermediate Holdings, LLC</w:t>
      </w:r>
    </w:p>
    <w:p>
      <w:pPr>
        <w:ind w:left="3100"/>
        <w:spacing w:after="0" w:line="238" w:lineRule="auto"/>
        <w:rPr>
          <w:sz w:val="20"/>
          <w:szCs w:val="20"/>
          <w:color w:val="auto"/>
        </w:rPr>
      </w:pPr>
      <w:r>
        <w:rPr>
          <w:rFonts w:ascii="Arial" w:cs="Arial" w:eastAsia="Arial" w:hAnsi="Arial"/>
          <w:sz w:val="22"/>
          <w:szCs w:val="22"/>
          <w:color w:val="auto"/>
        </w:rPr>
        <w:t>4514 Cole Avenue, Suite 1600</w:t>
      </w:r>
    </w:p>
    <w:p>
      <w:pPr>
        <w:ind w:left="3100"/>
        <w:spacing w:after="0" w:line="230" w:lineRule="auto"/>
        <w:rPr>
          <w:sz w:val="20"/>
          <w:szCs w:val="20"/>
          <w:color w:val="auto"/>
        </w:rPr>
      </w:pPr>
      <w:r>
        <w:rPr>
          <w:rFonts w:ascii="Arial" w:cs="Arial" w:eastAsia="Arial" w:hAnsi="Arial"/>
          <w:sz w:val="22"/>
          <w:szCs w:val="22"/>
          <w:color w:val="auto"/>
        </w:rPr>
        <w:t>Dallas, TX 75205</w:t>
      </w:r>
    </w:p>
    <w:p>
      <w:pPr>
        <w:spacing w:after="0" w:line="1" w:lineRule="exact"/>
        <w:rPr>
          <w:sz w:val="20"/>
          <w:szCs w:val="20"/>
          <w:color w:val="auto"/>
        </w:rPr>
      </w:pPr>
    </w:p>
    <w:p>
      <w:pPr>
        <w:ind w:left="3100"/>
        <w:spacing w:after="0"/>
        <w:tabs>
          <w:tab w:leader="none" w:pos="4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Amanda Coussens, Chief Financial Officer</w:t>
      </w:r>
    </w:p>
    <w:p>
      <w:pPr>
        <w:spacing w:after="0" w:line="229"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with copies to:</w:t>
      </w:r>
    </w:p>
    <w:p>
      <w:pPr>
        <w:spacing w:after="0" w:line="247"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BakerHostetler LLP</w:t>
      </w:r>
    </w:p>
    <w:p>
      <w:pPr>
        <w:ind w:left="3100"/>
        <w:spacing w:after="0" w:line="197" w:lineRule="auto"/>
        <w:rPr>
          <w:sz w:val="20"/>
          <w:szCs w:val="20"/>
          <w:color w:val="auto"/>
        </w:rPr>
      </w:pPr>
      <w:r>
        <w:rPr>
          <w:rFonts w:ascii="Arial" w:cs="Arial" w:eastAsia="Arial" w:hAnsi="Arial"/>
          <w:sz w:val="22"/>
          <w:szCs w:val="22"/>
          <w:color w:val="auto"/>
        </w:rPr>
        <w:t>45 Rockefeller Center,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New York, New York</w:t>
      </w:r>
    </w:p>
    <w:p>
      <w:pPr>
        <w:ind w:left="3100"/>
        <w:spacing w:after="0"/>
        <w:rPr>
          <w:sz w:val="20"/>
          <w:szCs w:val="20"/>
          <w:color w:val="auto"/>
        </w:rPr>
      </w:pPr>
      <w:r>
        <w:rPr>
          <w:rFonts w:ascii="Arial" w:cs="Arial" w:eastAsia="Arial" w:hAnsi="Arial"/>
          <w:sz w:val="22"/>
          <w:szCs w:val="22"/>
          <w:color w:val="auto"/>
        </w:rPr>
        <w:t>10111 Attention: Adam W. Finerman</w:t>
      </w:r>
    </w:p>
    <w:p>
      <w:pPr>
        <w:spacing w:after="0" w:line="215" w:lineRule="exact"/>
        <w:rPr>
          <w:sz w:val="20"/>
          <w:szCs w:val="20"/>
          <w:color w:val="auto"/>
        </w:rPr>
      </w:pPr>
    </w:p>
    <w:p>
      <w:pPr>
        <w:jc w:val="both"/>
        <w:ind w:left="100" w:firstLine="741"/>
        <w:spacing w:after="0"/>
        <w:rPr>
          <w:sz w:val="20"/>
          <w:szCs w:val="20"/>
          <w:color w:val="auto"/>
        </w:rPr>
      </w:pPr>
      <w:r>
        <w:rPr>
          <w:rFonts w:ascii="Arial" w:cs="Arial" w:eastAsia="Arial" w:hAnsi="Arial"/>
          <w:sz w:val="22"/>
          <w:szCs w:val="22"/>
          <w:color w:val="auto"/>
        </w:rPr>
        <w:t>14.</w:t>
      </w: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orally in any manner or in writing without the written consent of the Company and the Executive. No provision of this Agreement may be waived, delayed, modified, terminated, or otherwise impaired without the prior written consent of the Company and the Executive.</w:t>
      </w:r>
    </w:p>
    <w:p>
      <w:pPr>
        <w:spacing w:after="0" w:line="51" w:lineRule="exact"/>
        <w:rPr>
          <w:sz w:val="20"/>
          <w:szCs w:val="20"/>
          <w:color w:val="auto"/>
        </w:rPr>
      </w:pPr>
    </w:p>
    <w:p>
      <w:pPr>
        <w:jc w:val="both"/>
        <w:ind w:left="100" w:firstLine="741"/>
        <w:spacing w:after="0" w:line="238" w:lineRule="auto"/>
        <w:rPr>
          <w:sz w:val="20"/>
          <w:szCs w:val="20"/>
          <w:color w:val="auto"/>
        </w:rPr>
      </w:pPr>
      <w:r>
        <w:rPr>
          <w:rFonts w:ascii="Arial" w:cs="Arial" w:eastAsia="Arial" w:hAnsi="Arial"/>
          <w:sz w:val="22"/>
          <w:szCs w:val="22"/>
          <w:color w:val="auto"/>
        </w:rPr>
        <w:t>15.</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embodies the entire agreement and understanding of the parties hereto with respect to the Executive’s employment with the Company contemplated by this Agreement and supersedes all prior agreements, arrangements, and understandings, oral or written, express or implied, between the parties with respect to such employment.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17</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71" w:name="page72"/>
    <w:bookmarkEnd w:id="71"/>
    <w:p>
      <w:pPr>
        <w:jc w:val="both"/>
        <w:ind w:left="100" w:firstLine="741"/>
        <w:spacing w:after="0" w:line="297" w:lineRule="auto"/>
        <w:rPr>
          <w:sz w:val="20"/>
          <w:szCs w:val="20"/>
          <w:color w:val="auto"/>
        </w:rPr>
      </w:pPr>
      <w:r>
        <w:rPr>
          <w:rFonts w:ascii="Arial" w:cs="Arial" w:eastAsia="Arial" w:hAnsi="Arial"/>
          <w:sz w:val="19"/>
          <w:szCs w:val="19"/>
          <w:color w:val="auto"/>
        </w:rPr>
        <w:t>16.</w:t>
      </w:r>
      <w:r>
        <w:rPr>
          <w:rFonts w:ascii="Arial" w:cs="Arial" w:eastAsia="Arial" w:hAnsi="Arial"/>
          <w:sz w:val="19"/>
          <w:szCs w:val="19"/>
          <w:u w:val="single" w:color="auto"/>
          <w:color w:val="auto"/>
        </w:rPr>
        <w:t>Survival</w:t>
      </w:r>
      <w:r>
        <w:rPr>
          <w:rFonts w:ascii="Arial" w:cs="Arial" w:eastAsia="Arial" w:hAnsi="Arial"/>
          <w:sz w:val="19"/>
          <w:szCs w:val="19"/>
          <w:color w:val="auto"/>
        </w:rPr>
        <w:t>. Unless otherwise expressly provided, the respective rights and obligations of the parties hereunder, including, without limitation, the restrictive covenants contained in Section 7 of this Agreement, shall survive any termination of this Agreement to the extent necessary to the intended preservation of such rights and obligations.</w:t>
      </w:r>
    </w:p>
    <w:p>
      <w:pPr>
        <w:spacing w:after="0" w:line="161" w:lineRule="exact"/>
        <w:rPr>
          <w:sz w:val="20"/>
          <w:szCs w:val="20"/>
          <w:color w:val="auto"/>
        </w:rPr>
      </w:pPr>
    </w:p>
    <w:p>
      <w:pPr>
        <w:jc w:val="both"/>
        <w:ind w:left="100" w:firstLine="741"/>
        <w:spacing w:after="0" w:line="236" w:lineRule="auto"/>
        <w:rPr>
          <w:sz w:val="20"/>
          <w:szCs w:val="20"/>
          <w:color w:val="auto"/>
        </w:rPr>
      </w:pPr>
      <w:r>
        <w:rPr>
          <w:rFonts w:ascii="Arial" w:cs="Arial" w:eastAsia="Arial" w:hAnsi="Arial"/>
          <w:sz w:val="22"/>
          <w:szCs w:val="22"/>
          <w:color w:val="auto"/>
        </w:rPr>
        <w:t>17.</w:t>
      </w:r>
      <w:r>
        <w:rPr>
          <w:rFonts w:ascii="Arial" w:cs="Arial" w:eastAsia="Arial" w:hAnsi="Arial"/>
          <w:sz w:val="22"/>
          <w:szCs w:val="22"/>
          <w:u w:val="single" w:color="auto"/>
          <w:color w:val="auto"/>
        </w:rPr>
        <w:t>Governing Law; Consent to Jurisdiction</w:t>
      </w:r>
      <w:r>
        <w:rPr>
          <w:rFonts w:ascii="Arial" w:cs="Arial" w:eastAsia="Arial" w:hAnsi="Arial"/>
          <w:sz w:val="22"/>
          <w:szCs w:val="22"/>
          <w:color w:val="auto"/>
        </w:rPr>
        <w:t>. This Agreement shall be governed by, and construed in accordance with, the internal laws of the State of Texas without regard to conflict of law principles that would result in the application of any law other than the law of the State of Texas. Each party acknowledges and consents to the personal jurisdiction of the State and Federal courts located in Dallas, Texas with respect to any action or proceeding arising out of or in connection with any provision of this Agreement.</w:t>
      </w:r>
    </w:p>
    <w:p>
      <w:pPr>
        <w:spacing w:after="0" w:line="228" w:lineRule="exact"/>
        <w:rPr>
          <w:sz w:val="20"/>
          <w:szCs w:val="20"/>
          <w:color w:val="auto"/>
        </w:rPr>
      </w:pPr>
    </w:p>
    <w:p>
      <w:pPr>
        <w:jc w:val="both"/>
        <w:ind w:left="100" w:firstLine="741"/>
        <w:spacing w:after="0" w:line="235" w:lineRule="auto"/>
        <w:rPr>
          <w:sz w:val="20"/>
          <w:szCs w:val="20"/>
          <w:color w:val="auto"/>
        </w:rPr>
      </w:pPr>
      <w:r>
        <w:rPr>
          <w:rFonts w:ascii="Arial" w:cs="Arial" w:eastAsia="Arial" w:hAnsi="Arial"/>
          <w:sz w:val="22"/>
          <w:szCs w:val="22"/>
          <w:color w:val="auto"/>
        </w:rPr>
        <w:t>18.</w:t>
      </w:r>
      <w:r>
        <w:rPr>
          <w:rFonts w:ascii="Arial" w:cs="Arial" w:eastAsia="Arial" w:hAnsi="Arial"/>
          <w:sz w:val="22"/>
          <w:szCs w:val="22"/>
          <w:u w:val="single" w:color="auto"/>
          <w:color w:val="auto"/>
        </w:rPr>
        <w:t>Assignment; Successors and Assigns</w:t>
      </w:r>
      <w:r>
        <w:rPr>
          <w:rFonts w:ascii="Arial" w:cs="Arial" w:eastAsia="Arial" w:hAnsi="Arial"/>
          <w:sz w:val="22"/>
          <w:szCs w:val="22"/>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 except that the Company may not assign this Agreement without Executive’s prior written consent, except to an acquirer of all or substantially all of the assets of the Company.</w:t>
      </w:r>
    </w:p>
    <w:p>
      <w:pPr>
        <w:spacing w:after="0" w:line="228" w:lineRule="exact"/>
        <w:rPr>
          <w:sz w:val="20"/>
          <w:szCs w:val="20"/>
          <w:color w:val="auto"/>
        </w:rPr>
      </w:pPr>
    </w:p>
    <w:p>
      <w:pPr>
        <w:jc w:val="both"/>
        <w:ind w:left="100" w:firstLine="741"/>
        <w:spacing w:after="0" w:line="287" w:lineRule="auto"/>
        <w:rPr>
          <w:sz w:val="20"/>
          <w:szCs w:val="20"/>
          <w:color w:val="auto"/>
        </w:rPr>
      </w:pPr>
      <w:r>
        <w:rPr>
          <w:rFonts w:ascii="Arial" w:cs="Arial" w:eastAsia="Arial" w:hAnsi="Arial"/>
          <w:sz w:val="19"/>
          <w:szCs w:val="19"/>
          <w:color w:val="auto"/>
        </w:rPr>
        <w:t>19.</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portion or provision of this Agreement or part thereof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0" w:lineRule="exact"/>
        <w:rPr>
          <w:sz w:val="20"/>
          <w:szCs w:val="20"/>
          <w:color w:val="auto"/>
        </w:rPr>
      </w:pPr>
    </w:p>
    <w:p>
      <w:pPr>
        <w:jc w:val="both"/>
        <w:ind w:left="100" w:firstLine="741"/>
        <w:spacing w:after="0" w:line="238" w:lineRule="auto"/>
        <w:rPr>
          <w:sz w:val="20"/>
          <w:szCs w:val="20"/>
          <w:color w:val="auto"/>
        </w:rPr>
      </w:pPr>
      <w:r>
        <w:rPr>
          <w:rFonts w:ascii="Arial" w:cs="Arial" w:eastAsia="Arial" w:hAnsi="Arial"/>
          <w:sz w:val="22"/>
          <w:szCs w:val="22"/>
          <w:color w:val="auto"/>
        </w:rPr>
        <w:t>20.</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or .pdf signatures shall have the same force and effect as original signatures.</w:t>
      </w:r>
    </w:p>
    <w:p>
      <w:pPr>
        <w:spacing w:after="0" w:line="225" w:lineRule="exact"/>
        <w:rPr>
          <w:sz w:val="20"/>
          <w:szCs w:val="20"/>
          <w:color w:val="auto"/>
        </w:rPr>
      </w:pPr>
    </w:p>
    <w:p>
      <w:pPr>
        <w:jc w:val="both"/>
        <w:ind w:left="100" w:firstLine="741"/>
        <w:spacing w:after="0" w:line="234" w:lineRule="auto"/>
        <w:rPr>
          <w:sz w:val="20"/>
          <w:szCs w:val="20"/>
          <w:color w:val="auto"/>
        </w:rPr>
      </w:pPr>
      <w:r>
        <w:rPr>
          <w:rFonts w:ascii="Arial" w:cs="Arial" w:eastAsia="Arial" w:hAnsi="Arial"/>
          <w:sz w:val="22"/>
          <w:szCs w:val="22"/>
          <w:color w:val="auto"/>
        </w:rPr>
        <w:t>21.</w:t>
      </w:r>
      <w:r>
        <w:rPr>
          <w:rFonts w:ascii="Arial" w:cs="Arial" w:eastAsia="Arial" w:hAnsi="Arial"/>
          <w:sz w:val="22"/>
          <w:szCs w:val="22"/>
          <w:u w:val="single" w:color="auto"/>
          <w:color w:val="auto"/>
        </w:rPr>
        <w:t>Arbitration</w:t>
      </w:r>
      <w:r>
        <w:rPr>
          <w:rFonts w:ascii="Arial" w:cs="Arial" w:eastAsia="Arial" w:hAnsi="Arial"/>
          <w:sz w:val="22"/>
          <w:szCs w:val="22"/>
          <w:color w:val="auto"/>
        </w:rPr>
        <w:t>. All disputes and disagreements arising from, relating to, or otherwise connected with this Agreement, the breach of this Agreement, Executive’s employment with the Company or providing services to the Company, P10, or any Affiliated Entity, the enforcement, interpretation or validity of this Agreement, or the employment relationship (including any wage claim, 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18</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591" w:right="459" w:bottom="1440" w:gutter="0" w:footer="0" w:header="0"/>
        </w:sectPr>
      </w:pPr>
    </w:p>
    <w:bookmarkStart w:id="72" w:name="page73"/>
    <w:bookmarkEnd w:id="72"/>
    <w:p>
      <w:pPr>
        <w:jc w:val="both"/>
        <w:ind w:left="120"/>
        <w:spacing w:after="0" w:line="245" w:lineRule="auto"/>
        <w:rPr>
          <w:sz w:val="20"/>
          <w:szCs w:val="20"/>
          <w:color w:val="auto"/>
        </w:rPr>
      </w:pPr>
      <w:r>
        <w:rPr>
          <w:rFonts w:ascii="Arial" w:cs="Arial" w:eastAsia="Arial" w:hAnsi="Arial"/>
          <w:sz w:val="21"/>
          <w:szCs w:val="21"/>
          <w:color w:val="auto"/>
        </w:rPr>
        <w:t>agreement to arbitrate, shall be settled by arbitration administered by the Judicial Arbitration and Mediation Services (“JAMS”) pursuant to its Comprehensive Arbitration Rules and Procedures applicable at the time the arbitration is commenced. A copy of the current version of the JAMS Rules will be made available to Executive upon request. The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the Executive and the Company. Each of the parties shall bear the fees and expenses of its own legal counsel.</w:t>
      </w:r>
    </w:p>
    <w:p>
      <w:pPr>
        <w:spacing w:after="0" w:line="221" w:lineRule="exact"/>
        <w:rPr>
          <w:sz w:val="20"/>
          <w:szCs w:val="20"/>
          <w:color w:val="auto"/>
        </w:rPr>
      </w:pPr>
    </w:p>
    <w:p>
      <w:pPr>
        <w:jc w:val="both"/>
        <w:ind w:left="100" w:firstLine="741"/>
        <w:spacing w:after="0" w:line="271" w:lineRule="auto"/>
        <w:rPr>
          <w:sz w:val="20"/>
          <w:szCs w:val="20"/>
          <w:color w:val="auto"/>
        </w:rPr>
      </w:pPr>
      <w:r>
        <w:rPr>
          <w:rFonts w:ascii="Arial" w:cs="Arial" w:eastAsia="Arial" w:hAnsi="Arial"/>
          <w:sz w:val="19"/>
          <w:szCs w:val="19"/>
          <w:color w:val="auto"/>
        </w:rPr>
        <w:t>22.</w:t>
      </w:r>
      <w:r>
        <w:rPr>
          <w:rFonts w:ascii="Arial" w:cs="Arial" w:eastAsia="Arial" w:hAnsi="Arial"/>
          <w:sz w:val="19"/>
          <w:szCs w:val="19"/>
          <w:u w:val="single" w:color="auto"/>
          <w:color w:val="auto"/>
        </w:rPr>
        <w:t>Compliance with Code Section 409A</w:t>
      </w:r>
      <w:r>
        <w:rPr>
          <w:rFonts w:ascii="Arial" w:cs="Arial" w:eastAsia="Arial" w:hAnsi="Arial"/>
          <w:sz w:val="19"/>
          <w:szCs w:val="19"/>
          <w:color w:val="auto"/>
        </w:rPr>
        <w:t>. This Agreement is intended to comply with Code Section 409A or an exemption thereunder and shall be construed and administered in accordance with Code Section 409A. Notwithstanding any other provision of this Agreement, payments provided under this Agreement may only be made upon an event and in a manner that complies with Code Section 409A or an applicable exemption. Any payments under this Agreement that may be excluded from Code Section 409A either as separation pay due to an involuntary separation from service or as a short-term deferral shall be excluded from Code Section 409A to the maximum extent possible. Notwithstanding the foregoing, the Company makes no representations that the payments and benefits provided under this Agreement comply with Code Section 409A and in no event shall the Company be liable for all or any portion of any taxes, penalties, interest, or other expenses that may be incurred by the Executive on account of non- compliance with Code Section 409A. To the extent applicable, if any payment to Executive in connection with Executive’s termination constitutes deferred compensation (within the meaning of Code Section 409A) the payment of which is required to be delayed pursuant to the six-month delay rule set forth in Code Section 409A in order to avoid taxes or penalties under Code Section 409A, then the Company shall not pay such amount on the otherwise scheduled payment date but shall instead accumulate such amount and pay it on the first business day after such six-month period, together with interest for the period of delay compounded annually equal to the applicable federal rate for short-term instruments under Code Section 1274(d) in effect as of the dates the payments should otherwise have been provided.</w:t>
      </w:r>
    </w:p>
    <w:p>
      <w:pPr>
        <w:spacing w:after="0" w:line="201" w:lineRule="exact"/>
        <w:rPr>
          <w:sz w:val="20"/>
          <w:szCs w:val="20"/>
          <w:color w:val="auto"/>
        </w:rPr>
      </w:pPr>
    </w:p>
    <w:p>
      <w:pPr>
        <w:jc w:val="both"/>
        <w:ind w:left="100" w:firstLine="741"/>
        <w:spacing w:after="0" w:line="279" w:lineRule="auto"/>
        <w:rPr>
          <w:sz w:val="20"/>
          <w:szCs w:val="20"/>
          <w:color w:val="auto"/>
        </w:rPr>
      </w:pPr>
      <w:r>
        <w:rPr>
          <w:rFonts w:ascii="Arial" w:cs="Arial" w:eastAsia="Arial" w:hAnsi="Arial"/>
          <w:sz w:val="19"/>
          <w:szCs w:val="19"/>
          <w:color w:val="auto"/>
        </w:rPr>
        <w:t>23.</w:t>
      </w:r>
      <w:r>
        <w:rPr>
          <w:rFonts w:ascii="Arial" w:cs="Arial" w:eastAsia="Arial" w:hAnsi="Arial"/>
          <w:sz w:val="19"/>
          <w:szCs w:val="19"/>
          <w:u w:val="single" w:color="auto"/>
          <w:color w:val="auto"/>
        </w:rPr>
        <w:t>Application of Compensation Recovery Policy</w:t>
      </w:r>
      <w:r>
        <w:rPr>
          <w:rFonts w:ascii="Arial" w:cs="Arial" w:eastAsia="Arial" w:hAnsi="Arial"/>
          <w:sz w:val="19"/>
          <w:szCs w:val="19"/>
          <w:color w:val="auto"/>
        </w:rPr>
        <w:t>. Executive acknowledges that, to the extent applicable, incentive-based compensation payable under this Agreement is subject to recovery in accordance with Section 954 of the Dodd-Frank Wall Street Reform and Consumer Protection Act of 2010, Section 10D of the Securities Exchange Act of 1934, and the associated New York Stock Exchange listing standard that became effective as of October 2, 2023. The Company, in consultation with Executive, will develop the requisite written policy relating to the recovery of such compensation, which will be adopted by the Company in accordance with the aforementioned listing standard by December 1, 2023.</w:t>
      </w:r>
    </w:p>
    <w:p>
      <w:pPr>
        <w:spacing w:after="0" w:line="177" w:lineRule="exact"/>
        <w:rPr>
          <w:sz w:val="20"/>
          <w:szCs w:val="20"/>
          <w:color w:val="auto"/>
        </w:rPr>
      </w:pPr>
    </w:p>
    <w:p>
      <w:pPr>
        <w:ind w:left="1600" w:hanging="744"/>
        <w:spacing w:after="0"/>
        <w:tabs>
          <w:tab w:leader="none" w:pos="16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Compliance with Code Section 280G</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00" w:right="140" w:firstLine="1489"/>
        <w:spacing w:after="0" w:line="250" w:lineRule="auto"/>
        <w:tabs>
          <w:tab w:leader="none" w:pos="1996"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or any other plan, arrangement, or agreement to the contrary, if any of the payments or benefits provided or to be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19</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73" w:name="page74"/>
    <w:bookmarkEnd w:id="73"/>
    <w:p>
      <w:pPr>
        <w:jc w:val="both"/>
        <w:ind w:left="120"/>
        <w:spacing w:after="0" w:line="273" w:lineRule="auto"/>
        <w:rPr>
          <w:sz w:val="20"/>
          <w:szCs w:val="20"/>
          <w:color w:val="auto"/>
        </w:rPr>
      </w:pPr>
      <w:r>
        <w:rPr>
          <w:rFonts w:ascii="Arial" w:cs="Arial" w:eastAsia="Arial" w:hAnsi="Arial"/>
          <w:sz w:val="19"/>
          <w:szCs w:val="19"/>
          <w:color w:val="auto"/>
        </w:rPr>
        <w:t>provided by the Company to Executive or for Executive’s benefit pursuant to the terms of this Agreement or otherwise (“</w:t>
      </w:r>
      <w:r>
        <w:rPr>
          <w:rFonts w:ascii="Arial" w:cs="Arial" w:eastAsia="Arial" w:hAnsi="Arial"/>
          <w:sz w:val="19"/>
          <w:szCs w:val="19"/>
          <w:u w:val="single" w:color="auto"/>
          <w:color w:val="auto"/>
        </w:rPr>
        <w:t>Covered Payments</w:t>
      </w:r>
      <w:r>
        <w:rPr>
          <w:rFonts w:ascii="Arial" w:cs="Arial" w:eastAsia="Arial" w:hAnsi="Arial"/>
          <w:sz w:val="19"/>
          <w:szCs w:val="19"/>
          <w:color w:val="auto"/>
        </w:rPr>
        <w:t>”) constitute parachute payments within the meaning of Code Section 280G and would, but for this Section 24, be subject to the excise tax imposed under Code Section 4999 (or any successor provision thereto) or any similar tax imposed by state or local law or any interest or penalties with respect to such taxes (collectively,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w:t>
      </w:r>
      <w:r>
        <w:rPr>
          <w:rFonts w:ascii="Arial" w:cs="Arial" w:eastAsia="Arial" w:hAnsi="Arial"/>
          <w:sz w:val="19"/>
          <w:szCs w:val="19"/>
          <w:u w:val="single" w:color="auto"/>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201"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(b)  Any such reduction shall be made in accordance with Code Section 409A and the following:</w:t>
      </w:r>
    </w:p>
    <w:p>
      <w:pPr>
        <w:spacing w:after="0" w:line="206" w:lineRule="exact"/>
        <w:rPr>
          <w:sz w:val="20"/>
          <w:szCs w:val="20"/>
          <w:color w:val="auto"/>
        </w:rPr>
      </w:pPr>
    </w:p>
    <w:p>
      <w:pPr>
        <w:jc w:val="both"/>
        <w:ind w:left="860" w:firstLine="1497"/>
        <w:spacing w:after="0" w:line="250" w:lineRule="auto"/>
        <w:rPr>
          <w:sz w:val="20"/>
          <w:szCs w:val="20"/>
          <w:color w:val="auto"/>
        </w:rPr>
      </w:pPr>
      <w:r>
        <w:rPr>
          <w:rFonts w:ascii="Arial" w:cs="Arial" w:eastAsia="Arial" w:hAnsi="Arial"/>
          <w:sz w:val="22"/>
          <w:szCs w:val="22"/>
          <w:color w:val="auto"/>
        </w:rPr>
        <w:t>(i)the Covered Payments that do not constitute nonqualified deferred compensation subject to Code Section 409A shall be reduced first; and</w:t>
      </w:r>
    </w:p>
    <w:p>
      <w:pPr>
        <w:spacing w:after="0" w:line="215" w:lineRule="exact"/>
        <w:rPr>
          <w:sz w:val="20"/>
          <w:szCs w:val="20"/>
          <w:color w:val="auto"/>
        </w:rPr>
      </w:pPr>
    </w:p>
    <w:p>
      <w:pPr>
        <w:jc w:val="both"/>
        <w:ind w:left="860" w:firstLine="1497"/>
        <w:spacing w:after="0"/>
        <w:rPr>
          <w:sz w:val="20"/>
          <w:szCs w:val="20"/>
          <w:color w:val="auto"/>
        </w:rPr>
      </w:pPr>
      <w:r>
        <w:rPr>
          <w:rFonts w:ascii="Arial" w:cs="Arial" w:eastAsia="Arial" w:hAnsi="Arial"/>
          <w:sz w:val="22"/>
          <w:szCs w:val="22"/>
          <w:color w:val="auto"/>
        </w:rPr>
        <w:t>(ii)all other Covered Payments shall then be reduced as follows: (A) cash payments shall be reduced before non-cash payments; and (B) payments to be made on a later payment date shall be reduced before payments to be made on an earlier payment date.</w:t>
      </w:r>
    </w:p>
    <w:p>
      <w:pPr>
        <w:spacing w:after="0" w:line="186" w:lineRule="exact"/>
        <w:rPr>
          <w:sz w:val="20"/>
          <w:szCs w:val="20"/>
          <w:color w:val="auto"/>
        </w:rPr>
      </w:pPr>
    </w:p>
    <w:p>
      <w:pPr>
        <w:jc w:val="both"/>
        <w:ind w:left="100" w:firstLine="1489"/>
        <w:spacing w:after="0" w:line="277" w:lineRule="auto"/>
        <w:tabs>
          <w:tab w:leader="none" w:pos="1996"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determination required under this Section 24, including whether any payments or benefits are parachute payments, shall be made by an independent public accounting firm that is mutually agreed by the Company and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based upon reasonable, good faith assumptions and interpretations of Code Section 280G. Executive and the Company shall provide the Accounting Firm with such information and documents as the Accounting Firm may reasonably request in order to make a determination under this Section 24. The Accounting Firm shall provide its determination, together with detailed supporting calculations and documentation, to the Company and Executive as promptly as practicable. The determination of the Accounting Firm shall, absent manifest error, be final and binding on all parties.</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20</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02" w:right="459" w:bottom="1440" w:gutter="0" w:footer="0" w:header="0"/>
        </w:sectPr>
      </w:pPr>
    </w:p>
    <w:bookmarkStart w:id="74" w:name="page75"/>
    <w:bookmarkEnd w:id="74"/>
    <w:p>
      <w:pPr>
        <w:ind w:left="120" w:firstLine="749"/>
        <w:spacing w:after="0" w:line="250" w:lineRule="auto"/>
        <w:rPr>
          <w:sz w:val="20"/>
          <w:szCs w:val="20"/>
          <w:color w:val="auto"/>
        </w:rPr>
      </w:pPr>
      <w:r>
        <w:rPr>
          <w:rFonts w:ascii="Arial" w:cs="Arial" w:eastAsia="Arial" w:hAnsi="Arial"/>
          <w:sz w:val="22"/>
          <w:szCs w:val="22"/>
          <w:color w:val="auto"/>
        </w:rPr>
        <w:t>IN WITNESS WHEREOF, the Executive and the Company have executed this Employment Agreement as of the date first above written.</w:t>
      </w:r>
    </w:p>
    <w:p>
      <w:pPr>
        <w:spacing w:after="0" w:line="209"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Luke A. Sarsfield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P10 INTERMEDIATE HOLDINGS, LLC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60"/>
        <w:spacing w:after="0"/>
        <w:tabs>
          <w:tab w:leader="none" w:pos="4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Name: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-17780</wp:posOffset>
            </wp:positionV>
            <wp:extent cx="762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ind w:left="3860"/>
        <w:spacing w:after="0"/>
        <w:rPr>
          <w:sz w:val="20"/>
          <w:szCs w:val="20"/>
          <w:color w:val="auto"/>
        </w:rPr>
      </w:pPr>
      <w:r>
        <w:rPr>
          <w:rFonts w:ascii="Arial" w:cs="Arial" w:eastAsia="Arial" w:hAnsi="Arial"/>
          <w:sz w:val="22"/>
          <w:szCs w:val="22"/>
          <w:color w:val="auto"/>
        </w:rPr>
        <w:t>Chief Financial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21</w:t>
      </w:r>
      <w:r>
        <w:rPr>
          <w:rFonts w:ascii="Arial" w:cs="Arial" w:eastAsia="Arial" w:hAnsi="Arial"/>
          <w:sz w:val="18"/>
          <w:szCs w:val="18"/>
          <w:color w:val="auto"/>
        </w:rPr>
        <w:t xml:space="preserve"> of </w:t>
      </w:r>
      <w:r>
        <w:rPr>
          <w:rFonts w:ascii="Arial" w:cs="Arial" w:eastAsia="Arial" w:hAnsi="Arial"/>
          <w:sz w:val="18"/>
          <w:szCs w:val="18"/>
          <w:b w:val="1"/>
          <w:bCs w:val="1"/>
          <w:color w:val="auto"/>
        </w:rPr>
        <w:t>NUMPAGES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2" w:right="499"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b w:val="1"/>
          <w:bCs w:val="1"/>
          <w:color w:val="auto"/>
        </w:rPr>
        <w:t>EXECUTIVE TRANSITION AGREEMENT</w:t>
      </w:r>
    </w:p>
    <w:p>
      <w:pPr>
        <w:spacing w:after="0" w:line="253" w:lineRule="exact"/>
        <w:rPr>
          <w:sz w:val="20"/>
          <w:szCs w:val="20"/>
          <w:color w:val="auto"/>
        </w:rPr>
      </w:pPr>
    </w:p>
    <w:p>
      <w:pPr>
        <w:jc w:val="both"/>
        <w:ind w:firstLine="747"/>
        <w:spacing w:after="0" w:line="238" w:lineRule="auto"/>
        <w:rPr>
          <w:sz w:val="20"/>
          <w:szCs w:val="20"/>
          <w:color w:val="auto"/>
        </w:rPr>
      </w:pPr>
      <w:r>
        <w:rPr>
          <w:rFonts w:ascii="Arial" w:cs="Arial" w:eastAsia="Arial" w:hAnsi="Arial"/>
          <w:sz w:val="22"/>
          <w:szCs w:val="22"/>
          <w:color w:val="auto"/>
        </w:rPr>
        <w:t>This Executive Transition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October 20, 2023 by and between Robert Alpert (the “</w:t>
      </w:r>
      <w:r>
        <w:rPr>
          <w:rFonts w:ascii="Arial" w:cs="Arial" w:eastAsia="Arial" w:hAnsi="Arial"/>
          <w:sz w:val="22"/>
          <w:szCs w:val="22"/>
          <w:u w:val="single" w:color="auto"/>
          <w:color w:val="auto"/>
        </w:rPr>
        <w:t>Executive</w:t>
      </w:r>
      <w:r>
        <w:rPr>
          <w:rFonts w:ascii="Arial" w:cs="Arial" w:eastAsia="Arial" w:hAnsi="Arial"/>
          <w:sz w:val="22"/>
          <w:szCs w:val="22"/>
          <w:color w:val="auto"/>
        </w:rPr>
        <w:t>”) and P10 Intermediate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on behalf of it and its parent, subsidiaries, successors, and assigns, including but not limited to P10, Inc. (“</w:t>
      </w:r>
      <w:r>
        <w:rPr>
          <w:rFonts w:ascii="Arial" w:cs="Arial" w:eastAsia="Arial" w:hAnsi="Arial"/>
          <w:sz w:val="22"/>
          <w:szCs w:val="22"/>
          <w:u w:val="single" w:color="auto"/>
          <w:color w:val="auto"/>
        </w:rPr>
        <w:t>P10</w:t>
      </w:r>
      <w:r>
        <w:rPr>
          <w:rFonts w:ascii="Arial" w:cs="Arial" w:eastAsia="Arial" w:hAnsi="Arial"/>
          <w:sz w:val="22"/>
          <w:szCs w:val="22"/>
          <w:color w:val="auto"/>
        </w:rPr>
        <w:t>”) (collectively with Executive,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RECITALS</w:t>
      </w:r>
    </w:p>
    <w:p>
      <w:pPr>
        <w:spacing w:after="0" w:line="253" w:lineRule="exact"/>
        <w:rPr>
          <w:sz w:val="20"/>
          <w:szCs w:val="20"/>
          <w:color w:val="auto"/>
        </w:rPr>
      </w:pPr>
    </w:p>
    <w:p>
      <w:pPr>
        <w:jc w:val="both"/>
        <w:ind w:firstLine="747"/>
        <w:spacing w:after="0" w:line="328" w:lineRule="auto"/>
        <w:rPr>
          <w:sz w:val="20"/>
          <w:szCs w:val="20"/>
          <w:color w:val="auto"/>
        </w:rPr>
      </w:pPr>
      <w:r>
        <w:rPr>
          <w:rFonts w:ascii="Arial" w:cs="Arial" w:eastAsia="Arial" w:hAnsi="Arial"/>
          <w:sz w:val="19"/>
          <w:szCs w:val="19"/>
          <w:color w:val="auto"/>
        </w:rPr>
        <w:t>WHEREAS, the Executive has been employed by the Company as co-Chief Executive Officer pursuant to the terms of the Amended and Restated Employment Agreement dated May 12, 2023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and</w:t>
      </w:r>
    </w:p>
    <w:p>
      <w:pPr>
        <w:spacing w:after="0" w:line="118" w:lineRule="exact"/>
        <w:rPr>
          <w:sz w:val="20"/>
          <w:szCs w:val="20"/>
          <w:color w:val="auto"/>
        </w:rPr>
      </w:pPr>
    </w:p>
    <w:p>
      <w:pPr>
        <w:jc w:val="both"/>
        <w:ind w:firstLine="747"/>
        <w:spacing w:after="0"/>
        <w:rPr>
          <w:sz w:val="20"/>
          <w:szCs w:val="20"/>
          <w:color w:val="auto"/>
        </w:rPr>
      </w:pPr>
      <w:r>
        <w:rPr>
          <w:rFonts w:ascii="Arial" w:cs="Arial" w:eastAsia="Arial" w:hAnsi="Arial"/>
          <w:sz w:val="22"/>
          <w:szCs w:val="22"/>
          <w:color w:val="auto"/>
        </w:rPr>
        <w:t>WHEREAS, the Parties wish to transition Executive from his current role as co- Chief Executive Officer to Executive Chairman in an orderly way to allow for the Company’s engagement of a new Chief Executive Officer pursuant to the terms and conditions expressed in this Agreement.</w:t>
      </w:r>
    </w:p>
    <w:p>
      <w:pPr>
        <w:spacing w:after="0" w:line="227" w:lineRule="exact"/>
        <w:rPr>
          <w:sz w:val="20"/>
          <w:szCs w:val="20"/>
          <w:color w:val="auto"/>
        </w:rPr>
      </w:pPr>
    </w:p>
    <w:p>
      <w:pPr>
        <w:jc w:val="both"/>
        <w:ind w:firstLine="747"/>
        <w:spacing w:after="0" w:line="250" w:lineRule="auto"/>
        <w:rPr>
          <w:sz w:val="20"/>
          <w:szCs w:val="20"/>
          <w:color w:val="auto"/>
        </w:rPr>
      </w:pPr>
      <w:r>
        <w:rPr>
          <w:rFonts w:ascii="Arial" w:cs="Arial" w:eastAsia="Arial" w:hAnsi="Arial"/>
          <w:sz w:val="22"/>
          <w:szCs w:val="22"/>
          <w:color w:val="auto"/>
        </w:rPr>
        <w:t>NOW THEREFORE, in consideration of the promises, representations, and conditions set forth herein, the sufficiency of which is hereby acknowledged, the Parties agree as follows:</w:t>
      </w:r>
    </w:p>
    <w:p>
      <w:pPr>
        <w:spacing w:after="0" w:line="202" w:lineRule="exact"/>
        <w:rPr>
          <w:sz w:val="20"/>
          <w:szCs w:val="20"/>
          <w:color w:val="auto"/>
        </w:rPr>
      </w:pPr>
    </w:p>
    <w:p>
      <w:pPr>
        <w:jc w:val="both"/>
        <w:ind w:firstLine="747"/>
        <w:spacing w:after="0" w:line="287" w:lineRule="auto"/>
        <w:tabs>
          <w:tab w:leader="none" w:pos="1309"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Transition Period</w:t>
      </w:r>
      <w:r>
        <w:rPr>
          <w:rFonts w:ascii="Arial" w:cs="Arial" w:eastAsia="Arial" w:hAnsi="Arial"/>
          <w:sz w:val="19"/>
          <w:szCs w:val="19"/>
          <w:color w:val="auto"/>
        </w:rPr>
        <w:t>. Executive will cease to serve as co-Chief Executive Officer effective as of October 23, 2023 (the “</w:t>
      </w:r>
      <w:r>
        <w:rPr>
          <w:rFonts w:ascii="Arial" w:cs="Arial" w:eastAsia="Arial" w:hAnsi="Arial"/>
          <w:sz w:val="19"/>
          <w:szCs w:val="19"/>
          <w:u w:val="single" w:color="auto"/>
          <w:color w:val="auto"/>
        </w:rPr>
        <w:t>Transition Date</w:t>
      </w:r>
      <w:r>
        <w:rPr>
          <w:rFonts w:ascii="Arial" w:cs="Arial" w:eastAsia="Arial" w:hAnsi="Arial"/>
          <w:sz w:val="19"/>
          <w:szCs w:val="19"/>
          <w:color w:val="auto"/>
        </w:rPr>
        <w:t>”) and shall continue as the Company’s Executive Chairman through the first anniversary of the Transition Date (the “</w:t>
      </w:r>
      <w:r>
        <w:rPr>
          <w:rFonts w:ascii="Arial" w:cs="Arial" w:eastAsia="Arial" w:hAnsi="Arial"/>
          <w:sz w:val="19"/>
          <w:szCs w:val="19"/>
          <w:u w:val="single" w:color="auto"/>
          <w:color w:val="auto"/>
        </w:rPr>
        <w:t>Transition End Date</w:t>
      </w:r>
      <w:r>
        <w:rPr>
          <w:rFonts w:ascii="Arial" w:cs="Arial" w:eastAsia="Arial" w:hAnsi="Arial"/>
          <w:sz w:val="19"/>
          <w:szCs w:val="19"/>
          <w:color w:val="auto"/>
        </w:rPr>
        <w:t>”), unless earlier terminated as provided in Section 5 of this Agreement. The period from the Transition Date until the close of business on the Transition End Date shall be referred to as the “</w:t>
      </w:r>
      <w:r>
        <w:rPr>
          <w:rFonts w:ascii="Arial" w:cs="Arial" w:eastAsia="Arial" w:hAnsi="Arial"/>
          <w:sz w:val="19"/>
          <w:szCs w:val="19"/>
          <w:u w:val="single" w:color="auto"/>
          <w:color w:val="auto"/>
        </w:rPr>
        <w:t>Transition Period</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firstLine="747"/>
        <w:spacing w:after="0" w:line="279" w:lineRule="auto"/>
        <w:tabs>
          <w:tab w:leader="none" w:pos="1309"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Transition Duties</w:t>
      </w:r>
      <w:r>
        <w:rPr>
          <w:rFonts w:ascii="Arial" w:cs="Arial" w:eastAsia="Arial" w:hAnsi="Arial"/>
          <w:sz w:val="19"/>
          <w:szCs w:val="19"/>
          <w:color w:val="auto"/>
        </w:rPr>
        <w:t>. During the Transition Period, Executive shall report to the Company’s Chief Executive Officer (“</w:t>
      </w:r>
      <w:r>
        <w:rPr>
          <w:rFonts w:ascii="Arial" w:cs="Arial" w:eastAsia="Arial" w:hAnsi="Arial"/>
          <w:sz w:val="19"/>
          <w:szCs w:val="19"/>
          <w:u w:val="single" w:color="auto"/>
          <w:color w:val="auto"/>
        </w:rPr>
        <w:t>CEO</w:t>
      </w:r>
      <w:r>
        <w:rPr>
          <w:rFonts w:ascii="Arial" w:cs="Arial" w:eastAsia="Arial" w:hAnsi="Arial"/>
          <w:sz w:val="19"/>
          <w:szCs w:val="19"/>
          <w:color w:val="auto"/>
        </w:rPr>
        <w:t>”) and shall perform the duties, authorities and responsibilities that are designated from time to time by the CEO (the “</w:t>
      </w:r>
      <w:r>
        <w:rPr>
          <w:rFonts w:ascii="Arial" w:cs="Arial" w:eastAsia="Arial" w:hAnsi="Arial"/>
          <w:sz w:val="19"/>
          <w:szCs w:val="19"/>
          <w:u w:val="single" w:color="auto"/>
          <w:color w:val="auto"/>
        </w:rPr>
        <w:t>Transition Services</w:t>
      </w:r>
      <w:r>
        <w:rPr>
          <w:rFonts w:ascii="Arial" w:cs="Arial" w:eastAsia="Arial" w:hAnsi="Arial"/>
          <w:sz w:val="19"/>
          <w:szCs w:val="19"/>
          <w:color w:val="auto"/>
        </w:rPr>
        <w:t>”). Beginning on the Transition Date through December 31, 2023, the Transition Services shall not exceed a total of thirty (30) hours. Beginning January 1, 2024, through the Transition End Date, the Transition Services shall not exceed thirty (30) hours per month. The Transition Salary and Transition Award (as defined below) and other consideration provided in this Agreement shall be the exclusive compensation for the Transition Services.</w:t>
      </w:r>
    </w:p>
    <w:p>
      <w:pPr>
        <w:spacing w:after="0" w:line="190" w:lineRule="exact"/>
        <w:rPr>
          <w:rFonts w:ascii="Arial" w:cs="Arial" w:eastAsia="Arial" w:hAnsi="Arial"/>
          <w:sz w:val="19"/>
          <w:szCs w:val="19"/>
          <w:color w:val="auto"/>
        </w:rPr>
      </w:pPr>
    </w:p>
    <w:p>
      <w:pPr>
        <w:ind w:right="20" w:firstLine="747"/>
        <w:spacing w:after="0" w:line="250" w:lineRule="auto"/>
        <w:tabs>
          <w:tab w:leader="none" w:pos="1309"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 During the Transition Period, the Executive shall be compensated by the Company for his Transition Services as follows:</w:t>
      </w:r>
    </w:p>
    <w:p>
      <w:pPr>
        <w:spacing w:after="0" w:line="215" w:lineRule="exact"/>
        <w:rPr>
          <w:rFonts w:ascii="Arial" w:cs="Arial" w:eastAsia="Arial" w:hAnsi="Arial"/>
          <w:sz w:val="22"/>
          <w:szCs w:val="22"/>
          <w:color w:val="auto"/>
        </w:rPr>
      </w:pPr>
    </w:p>
    <w:p>
      <w:pPr>
        <w:jc w:val="both"/>
        <w:ind w:firstLine="1495"/>
        <w:spacing w:after="0"/>
        <w:tabs>
          <w:tab w:leader="none" w:pos="1822"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Transition Salary</w:t>
      </w:r>
      <w:r>
        <w:rPr>
          <w:rFonts w:ascii="Arial" w:cs="Arial" w:eastAsia="Arial" w:hAnsi="Arial"/>
          <w:sz w:val="22"/>
          <w:szCs w:val="22"/>
          <w:color w:val="auto"/>
        </w:rPr>
        <w:t>. During the Transition Period, Executive shall receive a salary of $100,000.00 per annum (the “</w:t>
      </w:r>
      <w:r>
        <w:rPr>
          <w:rFonts w:ascii="Arial" w:cs="Arial" w:eastAsia="Arial" w:hAnsi="Arial"/>
          <w:sz w:val="22"/>
          <w:szCs w:val="22"/>
          <w:u w:val="single" w:color="auto"/>
          <w:color w:val="auto"/>
        </w:rPr>
        <w:t>Transition Salary</w:t>
      </w:r>
      <w:r>
        <w:rPr>
          <w:rFonts w:ascii="Arial" w:cs="Arial" w:eastAsia="Arial" w:hAnsi="Arial"/>
          <w:sz w:val="22"/>
          <w:szCs w:val="22"/>
          <w:color w:val="auto"/>
        </w:rPr>
        <w:t>”), payable in equal monthly or more frequent installments and subject to standard tax withholdings and deductions.</w:t>
      </w:r>
    </w:p>
    <w:p>
      <w:pPr>
        <w:spacing w:after="0" w:line="213" w:lineRule="exact"/>
        <w:rPr>
          <w:rFonts w:ascii="Arial" w:cs="Arial" w:eastAsia="Arial" w:hAnsi="Arial"/>
          <w:sz w:val="22"/>
          <w:szCs w:val="22"/>
          <w:color w:val="auto"/>
        </w:rPr>
      </w:pPr>
    </w:p>
    <w:p>
      <w:pPr>
        <w:jc w:val="both"/>
        <w:ind w:firstLine="1495"/>
        <w:spacing w:after="0" w:line="238" w:lineRule="auto"/>
        <w:tabs>
          <w:tab w:leader="none" w:pos="1822"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Transition Award</w:t>
      </w:r>
      <w:r>
        <w:rPr>
          <w:rFonts w:ascii="Arial" w:cs="Arial" w:eastAsia="Arial" w:hAnsi="Arial"/>
          <w:sz w:val="22"/>
          <w:szCs w:val="22"/>
          <w:color w:val="auto"/>
        </w:rPr>
        <w:t>. The Company will award Executive restricted stock units (the “</w:t>
      </w:r>
      <w:r>
        <w:rPr>
          <w:rFonts w:ascii="Arial" w:cs="Arial" w:eastAsia="Arial" w:hAnsi="Arial"/>
          <w:sz w:val="22"/>
          <w:szCs w:val="22"/>
          <w:u w:val="single" w:color="auto"/>
          <w:color w:val="auto"/>
        </w:rPr>
        <w:t>Transition RSUs</w:t>
      </w:r>
      <w:r>
        <w:rPr>
          <w:rFonts w:ascii="Arial" w:cs="Arial" w:eastAsia="Arial" w:hAnsi="Arial"/>
          <w:sz w:val="22"/>
          <w:szCs w:val="22"/>
          <w:color w:val="auto"/>
        </w:rPr>
        <w:t>”) with an aggregate gross value of $100,000.00 based on the fair market value of the Company’s common stock on the trading day preceding the grant date of such award. The Transition RSUs will be issued on the Transition Date under the P10, Inc.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49530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40" w:top="112" w:right="499" w:bottom="1440" w:gutter="0" w:footer="0" w:header="0"/>
        </w:sectPr>
      </w:pPr>
    </w:p>
    <w:bookmarkStart w:id="76" w:name="page77"/>
    <w:bookmarkEnd w:id="76"/>
    <w:p>
      <w:pPr>
        <w:jc w:val="both"/>
        <w:ind w:left="140" w:right="260"/>
        <w:spacing w:after="0" w:line="257" w:lineRule="auto"/>
        <w:rPr>
          <w:sz w:val="20"/>
          <w:szCs w:val="20"/>
          <w:color w:val="auto"/>
        </w:rPr>
      </w:pPr>
      <w:r>
        <w:rPr>
          <w:rFonts w:ascii="Arial" w:cs="Arial" w:eastAsia="Arial" w:hAnsi="Arial"/>
          <w:sz w:val="21"/>
          <w:szCs w:val="21"/>
          <w:color w:val="auto"/>
        </w:rPr>
        <w:t>Incentive Plan, as such plan may be amended from time to time or any successor plan thereto (the “</w:t>
      </w:r>
      <w:r>
        <w:rPr>
          <w:rFonts w:ascii="Arial" w:cs="Arial" w:eastAsia="Arial" w:hAnsi="Arial"/>
          <w:sz w:val="21"/>
          <w:szCs w:val="21"/>
          <w:u w:val="single" w:color="auto"/>
          <w:color w:val="auto"/>
        </w:rPr>
        <w:t>Incentive Plan</w:t>
      </w:r>
      <w:r>
        <w:rPr>
          <w:rFonts w:ascii="Arial" w:cs="Arial" w:eastAsia="Arial" w:hAnsi="Arial"/>
          <w:sz w:val="21"/>
          <w:szCs w:val="21"/>
          <w:color w:val="auto"/>
        </w:rPr>
        <w:t>”). The Transition RSUs shall fully vest on the first anniversary of the date of grant. The Transition RSUs will remain subject to the terms and conditions of the Incentive Plan and any award agreements issued thereunder.</w:t>
      </w:r>
    </w:p>
    <w:p>
      <w:pPr>
        <w:spacing w:after="0" w:line="210" w:lineRule="exact"/>
        <w:rPr>
          <w:sz w:val="20"/>
          <w:szCs w:val="20"/>
          <w:color w:val="auto"/>
        </w:rPr>
      </w:pPr>
    </w:p>
    <w:p>
      <w:pPr>
        <w:jc w:val="both"/>
        <w:ind w:left="140" w:right="260" w:firstLine="1495"/>
        <w:spacing w:after="0" w:line="236" w:lineRule="auto"/>
        <w:tabs>
          <w:tab w:leader="none" w:pos="1962"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Transition Bonus</w:t>
      </w:r>
      <w:r>
        <w:rPr>
          <w:rFonts w:ascii="Arial" w:cs="Arial" w:eastAsia="Arial" w:hAnsi="Arial"/>
          <w:sz w:val="22"/>
          <w:szCs w:val="22"/>
          <w:color w:val="auto"/>
        </w:rPr>
        <w:t>. Upon the completion of the Transition Period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may, in its sole discretion, award Executive additional bonus compensation (the “</w:t>
      </w:r>
      <w:r>
        <w:rPr>
          <w:rFonts w:ascii="Arial" w:cs="Arial" w:eastAsia="Arial" w:hAnsi="Arial"/>
          <w:sz w:val="22"/>
          <w:szCs w:val="22"/>
          <w:u w:val="single" w:color="auto"/>
          <w:color w:val="auto"/>
        </w:rPr>
        <w:t>Transition Bonus</w:t>
      </w:r>
      <w:r>
        <w:rPr>
          <w:rFonts w:ascii="Arial" w:cs="Arial" w:eastAsia="Arial" w:hAnsi="Arial"/>
          <w:sz w:val="22"/>
          <w:szCs w:val="22"/>
          <w:color w:val="auto"/>
        </w:rPr>
        <w:t>”) based upon the Executive’s and Company’s performance during the Transition Period. The Transition Bonus can be paid in the form of either cash, restricted stock, restricted stock units or a carried interest in the Company’s investment vehicles, at the discretion of the Board.</w:t>
      </w:r>
    </w:p>
    <w:p>
      <w:pPr>
        <w:spacing w:after="0" w:line="227" w:lineRule="exact"/>
        <w:rPr>
          <w:rFonts w:ascii="Arial" w:cs="Arial" w:eastAsia="Arial" w:hAnsi="Arial"/>
          <w:sz w:val="22"/>
          <w:szCs w:val="22"/>
          <w:color w:val="auto"/>
        </w:rPr>
      </w:pPr>
    </w:p>
    <w:p>
      <w:pPr>
        <w:jc w:val="both"/>
        <w:ind w:left="140" w:right="260" w:firstLine="1495"/>
        <w:spacing w:after="0"/>
        <w:tabs>
          <w:tab w:leader="none" w:pos="1962"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Executive shall be reimbursed by the Company for all reasonable expenses incurred by Executive during the Transition Period in his performance of the Transition Services as approved in advance by the CEO and in accordance with the Company’s reimbursement policy.</w:t>
      </w:r>
    </w:p>
    <w:p>
      <w:pPr>
        <w:spacing w:after="0" w:line="213" w:lineRule="exact"/>
        <w:rPr>
          <w:rFonts w:ascii="Arial" w:cs="Arial" w:eastAsia="Arial" w:hAnsi="Arial"/>
          <w:sz w:val="22"/>
          <w:szCs w:val="22"/>
          <w:color w:val="auto"/>
        </w:rPr>
      </w:pPr>
    </w:p>
    <w:p>
      <w:pPr>
        <w:jc w:val="both"/>
        <w:ind w:left="140" w:right="260" w:firstLine="1495"/>
        <w:spacing w:after="0" w:line="244" w:lineRule="auto"/>
        <w:tabs>
          <w:tab w:leader="none" w:pos="1962"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Employee Benefits</w:t>
      </w:r>
      <w:r>
        <w:rPr>
          <w:rFonts w:ascii="Arial" w:cs="Arial" w:eastAsia="Arial" w:hAnsi="Arial"/>
          <w:sz w:val="21"/>
          <w:szCs w:val="21"/>
          <w:color w:val="auto"/>
        </w:rPr>
        <w:t>. During the Transition Period Executive shall be entitled to continue to participate in all employee benefit plans, practices, and programs maintained by the Company, as in effect from time to time, that are available to other senior level executives, which includes health and dental insurance and Section 401(k) pension plan (collectively, “</w:t>
      </w:r>
      <w:r>
        <w:rPr>
          <w:rFonts w:ascii="Arial" w:cs="Arial" w:eastAsia="Arial" w:hAnsi="Arial"/>
          <w:sz w:val="21"/>
          <w:szCs w:val="21"/>
          <w:u w:val="single" w:color="auto"/>
          <w:color w:val="auto"/>
        </w:rPr>
        <w:t>Employee Benefit Plans</w:t>
      </w:r>
      <w:r>
        <w:rPr>
          <w:rFonts w:ascii="Arial" w:cs="Arial" w:eastAsia="Arial" w:hAnsi="Arial"/>
          <w:sz w:val="21"/>
          <w:szCs w:val="21"/>
          <w:color w:val="auto"/>
        </w:rPr>
        <w:t>”), on a basis which is no less favorable than is provided to other senior level executives of the Company, to the extent consistent with applicable law and the terms of the applicable Employee Benefit Plans. The Company reserves the right to amend or cancel any Employee Benefit Plan at any time in its sole discretion, subject to the terms of such Employee Benefit Plan and applicable law and provided such changes relate to other senior level executives of the Company in addition to Executive. Any benefits available to the Executive are subject to the rules of the relevant plan or program from time to time in force. Executive shall also receive reimbursement for Executive’s cost of COBRA premiums for health insurance coverage (to the extent such premiums exceed the contributory cost for the same coverage that the Company charges active employees) for a period of twelve (12) months following the Transition End Date or until Executive’s right to COBRA continuation expires, whichever is shorter, provided that Executive timely elects and is eligible for COBRA coverage.</w:t>
      </w:r>
    </w:p>
    <w:p>
      <w:pPr>
        <w:spacing w:after="0" w:line="223" w:lineRule="exact"/>
        <w:rPr>
          <w:rFonts w:ascii="Arial" w:cs="Arial" w:eastAsia="Arial" w:hAnsi="Arial"/>
          <w:sz w:val="21"/>
          <w:szCs w:val="21"/>
          <w:color w:val="auto"/>
        </w:rPr>
      </w:pPr>
    </w:p>
    <w:p>
      <w:pPr>
        <w:jc w:val="both"/>
        <w:ind w:left="140" w:right="260" w:firstLine="1495"/>
        <w:spacing w:after="0" w:line="279" w:lineRule="auto"/>
        <w:tabs>
          <w:tab w:leader="none" w:pos="1962"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Reaffirmation of Executive’s Right to Participate in P10 Funds</w:t>
      </w:r>
      <w:r>
        <w:rPr>
          <w:rFonts w:ascii="Arial" w:cs="Arial" w:eastAsia="Arial" w:hAnsi="Arial"/>
          <w:sz w:val="19"/>
          <w:szCs w:val="19"/>
          <w:color w:val="auto"/>
        </w:rPr>
        <w:t>. In accordance with Section 7(e) of the Employment Agreement, during the Transition Period and thereafter, Executive shall have the perpetual right and option to invest personally in all P10 funds, free from any fees or carry, subject only to such investment limits that the General Partner of such fund imposes on all P10 executives or employees not directly involved in such P10 fund, and any such investment limitations shall apply equally among all other P10 executives and employees, and Executive shall have an investment allocation no less than any other officer or employee of P10 or its affiliates not directly involved in such fund.</w:t>
      </w:r>
    </w:p>
    <w:p>
      <w:pPr>
        <w:spacing w:after="0" w:line="190" w:lineRule="exact"/>
        <w:rPr>
          <w:rFonts w:ascii="Arial" w:cs="Arial" w:eastAsia="Arial" w:hAnsi="Arial"/>
          <w:sz w:val="19"/>
          <w:szCs w:val="19"/>
          <w:color w:val="auto"/>
        </w:rPr>
      </w:pPr>
    </w:p>
    <w:p>
      <w:pPr>
        <w:ind w:left="140" w:firstLine="747"/>
        <w:spacing w:after="0"/>
        <w:tabs>
          <w:tab w:leader="none" w:pos="1449"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Payments Due Upon Transition Date</w:t>
      </w:r>
      <w:r>
        <w:rPr>
          <w:rFonts w:ascii="Arial" w:cs="Arial" w:eastAsia="Arial" w:hAnsi="Arial"/>
          <w:sz w:val="22"/>
          <w:szCs w:val="22"/>
          <w:color w:val="auto"/>
        </w:rPr>
        <w:t>. The Parties acknowledge that the cessation of Executive’s role as co Chief Executive Officer as of the Transition Date is without Cause, as defined in Section 4(a)(ii) the Employment Agreement. Accordingly, provided that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400" w:top="388" w:right="239" w:bottom="1440" w:gutter="0" w:footer="0" w:header="0"/>
        </w:sectPr>
      </w:pPr>
    </w:p>
    <w:bookmarkStart w:id="77" w:name="page78"/>
    <w:bookmarkEnd w:id="77"/>
    <w:p>
      <w:pPr>
        <w:jc w:val="both"/>
        <w:ind w:left="140"/>
        <w:spacing w:after="0"/>
        <w:rPr>
          <w:sz w:val="20"/>
          <w:szCs w:val="20"/>
          <w:color w:val="auto"/>
        </w:rPr>
      </w:pPr>
      <w:r>
        <w:rPr>
          <w:rFonts w:ascii="Arial" w:cs="Arial" w:eastAsia="Arial" w:hAnsi="Arial"/>
          <w:sz w:val="22"/>
          <w:szCs w:val="22"/>
          <w:color w:val="auto"/>
        </w:rPr>
        <w:t>Executive accepts and executes this Agreement and executes and does not revoke the General Release and Waiver of Claims (the “</w:t>
      </w:r>
      <w:r>
        <w:rPr>
          <w:rFonts w:ascii="Arial" w:cs="Arial" w:eastAsia="Arial" w:hAnsi="Arial"/>
          <w:sz w:val="22"/>
          <w:szCs w:val="22"/>
          <w:u w:val="single" w:color="auto"/>
          <w:color w:val="auto"/>
        </w:rPr>
        <w:t>Release</w:t>
      </w:r>
      <w:r>
        <w:rPr>
          <w:rFonts w:ascii="Arial" w:cs="Arial" w:eastAsia="Arial" w:hAnsi="Arial"/>
          <w:sz w:val="22"/>
          <w:szCs w:val="22"/>
          <w:color w:val="auto"/>
        </w:rPr>
        <w:t>”) attached hereto as Exhibit A within the time periods specified therein, the Company shall provide Executive with the following payments and benefits:</w:t>
      </w:r>
    </w:p>
    <w:p>
      <w:pPr>
        <w:spacing w:after="0" w:line="227" w:lineRule="exact"/>
        <w:rPr>
          <w:sz w:val="20"/>
          <w:szCs w:val="20"/>
          <w:color w:val="auto"/>
        </w:rPr>
      </w:pPr>
    </w:p>
    <w:p>
      <w:pPr>
        <w:jc w:val="both"/>
        <w:ind w:left="140" w:firstLine="1495"/>
        <w:spacing w:after="0" w:line="297" w:lineRule="auto"/>
        <w:tabs>
          <w:tab w:leader="none" w:pos="1962"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Transition Severance Payment</w:t>
      </w:r>
      <w:r>
        <w:rPr>
          <w:rFonts w:ascii="Arial" w:cs="Arial" w:eastAsia="Arial" w:hAnsi="Arial"/>
          <w:sz w:val="19"/>
          <w:szCs w:val="19"/>
          <w:color w:val="auto"/>
        </w:rPr>
        <w:t>. In accordance with Section 5(b)(ii) of the Employment Agreement, Executive shall receive a lump sum cash payment of $1,200,000.00 (the “</w:t>
      </w:r>
      <w:r>
        <w:rPr>
          <w:rFonts w:ascii="Arial" w:cs="Arial" w:eastAsia="Arial" w:hAnsi="Arial"/>
          <w:sz w:val="19"/>
          <w:szCs w:val="19"/>
          <w:u w:val="single" w:color="auto"/>
          <w:color w:val="auto"/>
        </w:rPr>
        <w:t>Transition Severance Payment</w:t>
      </w:r>
      <w:r>
        <w:rPr>
          <w:rFonts w:ascii="Arial" w:cs="Arial" w:eastAsia="Arial" w:hAnsi="Arial"/>
          <w:sz w:val="19"/>
          <w:szCs w:val="19"/>
          <w:color w:val="auto"/>
        </w:rPr>
        <w:t>”), subject to standard tax withholdings and deductions, payable within fifteen (15) days of the Transition Date;</w:t>
      </w:r>
    </w:p>
    <w:p>
      <w:pPr>
        <w:spacing w:after="0" w:line="174" w:lineRule="exact"/>
        <w:rPr>
          <w:rFonts w:ascii="Arial" w:cs="Arial" w:eastAsia="Arial" w:hAnsi="Arial"/>
          <w:sz w:val="19"/>
          <w:szCs w:val="19"/>
          <w:color w:val="auto"/>
        </w:rPr>
      </w:pPr>
    </w:p>
    <w:p>
      <w:pPr>
        <w:ind w:left="1960" w:hanging="325"/>
        <w:spacing w:after="0"/>
        <w:tabs>
          <w:tab w:leader="none" w:pos="1960"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In addition to the Transition Severance Payment and in satisfaction of Section 5(b)</w:t>
      </w:r>
    </w:p>
    <w:p>
      <w:pPr>
        <w:spacing w:after="0" w:line="42" w:lineRule="exact"/>
        <w:rPr>
          <w:rFonts w:ascii="Arial" w:cs="Arial" w:eastAsia="Arial" w:hAnsi="Arial"/>
          <w:sz w:val="19"/>
          <w:szCs w:val="19"/>
          <w:color w:val="auto"/>
        </w:rPr>
      </w:pPr>
    </w:p>
    <w:p>
      <w:pPr>
        <w:jc w:val="both"/>
        <w:ind w:left="140" w:hanging="2"/>
        <w:spacing w:after="0" w:line="280" w:lineRule="auto"/>
        <w:tabs>
          <w:tab w:leader="none" w:pos="549" w:val="left"/>
        </w:tabs>
        <w:numPr>
          <w:ilvl w:val="0"/>
          <w:numId w:val="46"/>
        </w:numPr>
        <w:rPr>
          <w:rFonts w:ascii="Arial" w:cs="Arial" w:eastAsia="Arial" w:hAnsi="Arial"/>
          <w:sz w:val="19"/>
          <w:szCs w:val="19"/>
          <w:color w:val="auto"/>
        </w:rPr>
      </w:pPr>
      <w:r>
        <w:rPr>
          <w:rFonts w:ascii="Arial" w:cs="Arial" w:eastAsia="Arial" w:hAnsi="Arial"/>
          <w:sz w:val="19"/>
          <w:szCs w:val="19"/>
          <w:color w:val="auto"/>
        </w:rPr>
        <w:t>of the Employment Agreement, the Company shall pay Executive an aggregate gross value of $5,650,000.00 (the “</w:t>
      </w:r>
      <w:r>
        <w:rPr>
          <w:rFonts w:ascii="Arial" w:cs="Arial" w:eastAsia="Arial" w:hAnsi="Arial"/>
          <w:sz w:val="19"/>
          <w:szCs w:val="19"/>
          <w:u w:val="single" w:color="auto"/>
          <w:color w:val="auto"/>
        </w:rPr>
        <w:t>Severance Payment</w:t>
      </w:r>
      <w:r>
        <w:rPr>
          <w:rFonts w:ascii="Arial" w:cs="Arial" w:eastAsia="Arial" w:hAnsi="Arial"/>
          <w:sz w:val="19"/>
          <w:szCs w:val="19"/>
          <w:color w:val="auto"/>
        </w:rPr>
        <w:t>”), which is the equivalent of the remaining Base Salary and Bonus (as defined in the Employment Agreement), that Executive would have otherwise been entitled had be remained employed with the Company as co-Chief Executive Officer for the remainder of the Term of the Employment Agreement, to be paid as follows:</w:t>
      </w:r>
    </w:p>
    <w:p>
      <w:pPr>
        <w:spacing w:after="0" w:line="150" w:lineRule="exact"/>
        <w:rPr>
          <w:sz w:val="20"/>
          <w:szCs w:val="20"/>
          <w:color w:val="auto"/>
        </w:rPr>
      </w:pPr>
    </w:p>
    <w:p>
      <w:pPr>
        <w:jc w:val="both"/>
        <w:ind w:left="1640" w:firstLine="749"/>
        <w:spacing w:after="0" w:line="250" w:lineRule="auto"/>
        <w:rPr>
          <w:sz w:val="20"/>
          <w:szCs w:val="20"/>
          <w:color w:val="auto"/>
        </w:rPr>
      </w:pPr>
      <w:r>
        <w:rPr>
          <w:rFonts w:ascii="Arial" w:cs="Arial" w:eastAsia="Arial" w:hAnsi="Arial"/>
          <w:sz w:val="22"/>
          <w:szCs w:val="22"/>
          <w:color w:val="auto"/>
        </w:rPr>
        <w:t>(i)one lump sum cash payment of $1,600,000.00, subject to standard tax withholdings and deductions, payable within fifteen (15) days of the Transition Date;</w:t>
      </w:r>
    </w:p>
    <w:p>
      <w:pPr>
        <w:spacing w:after="0" w:line="175" w:lineRule="exact"/>
        <w:rPr>
          <w:sz w:val="20"/>
          <w:szCs w:val="20"/>
          <w:color w:val="auto"/>
        </w:rPr>
      </w:pPr>
    </w:p>
    <w:p>
      <w:pPr>
        <w:jc w:val="both"/>
        <w:ind w:left="1640" w:firstLine="749"/>
        <w:spacing w:after="0" w:line="282" w:lineRule="auto"/>
        <w:rPr>
          <w:sz w:val="20"/>
          <w:szCs w:val="20"/>
          <w:color w:val="auto"/>
        </w:rPr>
      </w:pPr>
      <w:r>
        <w:rPr>
          <w:rFonts w:ascii="Arial" w:cs="Arial" w:eastAsia="Arial" w:hAnsi="Arial"/>
          <w:sz w:val="19"/>
          <w:szCs w:val="19"/>
          <w:color w:val="auto"/>
        </w:rPr>
        <w:t>(ii)an award of $3,400,000.00, payable within fifteen (15) days of the Transition Date provided that Executive signs and does not revoke the attached Exhibit A within the time periods specified therein, in the form of fully vested shares of the Company’s common stock (to be issued pursuant to the Incentive Plan) based on the fair market value of the Company’s common stock at the close of business on the trading day preceding the Transition Date, net of all standard tax withholdings and deductions; and</w:t>
      </w:r>
    </w:p>
    <w:p>
      <w:pPr>
        <w:spacing w:after="0" w:line="174" w:lineRule="exact"/>
        <w:rPr>
          <w:sz w:val="20"/>
          <w:szCs w:val="20"/>
          <w:color w:val="auto"/>
        </w:rPr>
      </w:pPr>
    </w:p>
    <w:p>
      <w:pPr>
        <w:jc w:val="both"/>
        <w:ind w:left="1640" w:firstLine="749"/>
        <w:spacing w:after="0" w:line="287" w:lineRule="auto"/>
        <w:rPr>
          <w:sz w:val="20"/>
          <w:szCs w:val="20"/>
          <w:color w:val="auto"/>
        </w:rPr>
      </w:pPr>
      <w:r>
        <w:rPr>
          <w:rFonts w:ascii="Arial" w:cs="Arial" w:eastAsia="Arial" w:hAnsi="Arial"/>
          <w:sz w:val="19"/>
          <w:szCs w:val="19"/>
          <w:color w:val="auto"/>
        </w:rPr>
        <w:t>(iii)an award of stock options under the Incentive Plan with an aggregate value of $650,000.00 based on a Black-Scholes valuation methodology consistent with the Company’s financial reporting, which shall be fully vested and exercisable as of the Transition Date, subject at all times to the terms and conditions of the Incentive Plan and award agreements granted thereunder.</w:t>
      </w:r>
    </w:p>
    <w:p>
      <w:pPr>
        <w:spacing w:after="0" w:line="183" w:lineRule="exact"/>
        <w:rPr>
          <w:sz w:val="20"/>
          <w:szCs w:val="20"/>
          <w:color w:val="auto"/>
        </w:rPr>
      </w:pPr>
    </w:p>
    <w:p>
      <w:pPr>
        <w:jc w:val="both"/>
        <w:ind w:left="140" w:right="20" w:firstLine="1495"/>
        <w:spacing w:after="0" w:line="235" w:lineRule="auto"/>
        <w:tabs>
          <w:tab w:leader="none" w:pos="196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Vesting of Equity Awards</w:t>
      </w:r>
      <w:r>
        <w:rPr>
          <w:rFonts w:ascii="Arial" w:cs="Arial" w:eastAsia="Arial" w:hAnsi="Arial"/>
          <w:sz w:val="22"/>
          <w:szCs w:val="22"/>
          <w:color w:val="auto"/>
        </w:rPr>
        <w:t>. Pursuant to Section 5(b)(v) of the Employment Agreement, any and all options, restricted stock, and restricted stock units owned directly or beneficially by Executive or his affiliates and carried interests in the investment vehicles of the Affiliated Entities (as defined below) previously granted to Executive or his affiliates shall become fully vested and exercisable immediately on the Transition Date. The terms of Section 4(c) of this Agreement are subject to the provisions of the Carried Interest Allocation Agreement dated as of the date hereof between Executive and the Company.</w:t>
      </w:r>
    </w:p>
    <w:p>
      <w:pPr>
        <w:spacing w:after="0" w:line="228" w:lineRule="exact"/>
        <w:rPr>
          <w:rFonts w:ascii="Arial" w:cs="Arial" w:eastAsia="Arial" w:hAnsi="Arial"/>
          <w:sz w:val="22"/>
          <w:szCs w:val="22"/>
          <w:color w:val="auto"/>
        </w:rPr>
      </w:pPr>
    </w:p>
    <w:p>
      <w:pPr>
        <w:jc w:val="both"/>
        <w:ind w:left="140" w:firstLine="1495"/>
        <w:spacing w:after="0"/>
        <w:tabs>
          <w:tab w:leader="none" w:pos="196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Release of Lock Up Restrictions</w:t>
      </w:r>
      <w:r>
        <w:rPr>
          <w:rFonts w:ascii="Arial" w:cs="Arial" w:eastAsia="Arial" w:hAnsi="Arial"/>
          <w:sz w:val="22"/>
          <w:szCs w:val="22"/>
          <w:color w:val="auto"/>
        </w:rPr>
        <w:t>. On the Transition Date, Executive shall be released from all lock up restrictions including, without limitation, under the Company Control Agreement entered into as of October 9, 2021 by and among P10 and the parties listed 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388" w:right="499" w:bottom="1440" w:gutter="0" w:footer="0" w:header="0"/>
        </w:sectPr>
      </w:pPr>
    </w:p>
    <w:bookmarkStart w:id="78" w:name="page79"/>
    <w:bookmarkEnd w:id="78"/>
    <w:p>
      <w:pPr>
        <w:jc w:val="both"/>
        <w:ind w:left="140" w:right="20"/>
        <w:spacing w:after="0"/>
        <w:rPr>
          <w:sz w:val="20"/>
          <w:szCs w:val="20"/>
          <w:color w:val="auto"/>
        </w:rPr>
      </w:pPr>
      <w:r>
        <w:rPr>
          <w:rFonts w:ascii="Arial" w:cs="Arial" w:eastAsia="Arial" w:hAnsi="Arial"/>
          <w:sz w:val="22"/>
          <w:szCs w:val="22"/>
          <w:color w:val="auto"/>
        </w:rPr>
        <w:t>the signature pages thereto (the “Company Control Agreement”) with respect to any and all Equity Securities (as defined in the Company Control Agreement) owned directly or beneficially by Executive or his Affiliates (as defined in the Company Control Agreement) in accordance with Section 5(b)(vi) of the Employment Agreement.</w:t>
      </w:r>
    </w:p>
    <w:p>
      <w:pPr>
        <w:spacing w:after="0" w:line="227" w:lineRule="exact"/>
        <w:rPr>
          <w:sz w:val="20"/>
          <w:szCs w:val="20"/>
          <w:color w:val="auto"/>
        </w:rPr>
      </w:pPr>
    </w:p>
    <w:p>
      <w:pPr>
        <w:ind w:left="40" w:right="20" w:firstLine="749"/>
        <w:spacing w:after="0" w:line="239" w:lineRule="auto"/>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Termination</w:t>
      </w:r>
      <w:r>
        <w:rPr>
          <w:rFonts w:ascii="Arial" w:cs="Arial" w:eastAsia="Arial" w:hAnsi="Arial"/>
          <w:sz w:val="22"/>
          <w:szCs w:val="22"/>
          <w:color w:val="auto"/>
        </w:rPr>
        <w:t>. The Company or Executive may terminate this Agreement prior to the Transition End Date by providing at least ninety (90) days’ written notice. Upon the earlier of</w:t>
      </w:r>
    </w:p>
    <w:p>
      <w:pPr>
        <w:jc w:val="both"/>
        <w:ind w:left="40" w:firstLine="2"/>
        <w:spacing w:after="0" w:line="233" w:lineRule="auto"/>
        <w:tabs>
          <w:tab w:leader="none" w:pos="298"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Transition End Date, or (ii) in the event the Company or the Executive terminates this Agreement prior to the Transition End Date, the Transition RSUs shall: (1) be subject to pro-rata vesting based on multiplying the total Transition RSUs by a fraction, the numerator of which is the number of days during the Transition Period in which Executive remained employed with the Company and the denominator of which is 366; and (2) receive the pro-rata share of the Transition Salary based on the same calculation.</w:t>
      </w:r>
    </w:p>
    <w:p>
      <w:pPr>
        <w:spacing w:after="0" w:line="226" w:lineRule="exact"/>
        <w:rPr>
          <w:sz w:val="20"/>
          <w:szCs w:val="20"/>
          <w:color w:val="auto"/>
        </w:rPr>
      </w:pPr>
    </w:p>
    <w:p>
      <w:pPr>
        <w:ind w:left="1640" w:hanging="753"/>
        <w:spacing w:after="0"/>
        <w:tabs>
          <w:tab w:leader="none" w:pos="164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Mutual Release of Claims</w:t>
      </w:r>
      <w:r>
        <w:rPr>
          <w:rFonts w:ascii="Arial" w:cs="Arial" w:eastAsia="Arial" w:hAnsi="Arial"/>
          <w:sz w:val="22"/>
          <w:szCs w:val="22"/>
          <w:color w:val="auto"/>
        </w:rPr>
        <w:t>.</w:t>
      </w:r>
    </w:p>
    <w:p>
      <w:pPr>
        <w:spacing w:after="0" w:line="233" w:lineRule="exact"/>
        <w:rPr>
          <w:sz w:val="20"/>
          <w:szCs w:val="20"/>
          <w:color w:val="auto"/>
        </w:rPr>
      </w:pPr>
    </w:p>
    <w:p>
      <w:pPr>
        <w:ind w:left="140" w:right="340" w:firstLine="1498"/>
        <w:spacing w:after="0" w:line="239"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Release of Company by Executive</w:t>
      </w:r>
      <w:r>
        <w:rPr>
          <w:rFonts w:ascii="Arial" w:cs="Arial" w:eastAsia="Arial" w:hAnsi="Arial"/>
          <w:sz w:val="22"/>
          <w:szCs w:val="22"/>
          <w:color w:val="auto"/>
        </w:rPr>
        <w:t>. Executive hereby KNOWINGLY AND VOLUNTARILY WAIVES, RELEASES AND DISCHARGES the Company, P10, and the</w:t>
      </w:r>
    </w:p>
    <w:p>
      <w:pPr>
        <w:jc w:val="both"/>
        <w:ind w:left="140"/>
        <w:spacing w:after="0" w:line="269" w:lineRule="auto"/>
        <w:rPr>
          <w:sz w:val="20"/>
          <w:szCs w:val="20"/>
          <w:color w:val="auto"/>
        </w:rPr>
      </w:pPr>
      <w:r>
        <w:rPr>
          <w:rFonts w:ascii="Arial" w:cs="Arial" w:eastAsia="Arial" w:hAnsi="Arial"/>
          <w:sz w:val="19"/>
          <w:szCs w:val="19"/>
          <w:color w:val="auto"/>
        </w:rPr>
        <w:t>Company’s past, present and future parent, subsidiary, affiliated, or related companies, including but not limited to P10 Holdings, Inc. and P10 Intermediate Holdings, Inc. (collectively, the “</w:t>
      </w:r>
      <w:r>
        <w:rPr>
          <w:rFonts w:ascii="Arial" w:cs="Arial" w:eastAsia="Arial" w:hAnsi="Arial"/>
          <w:sz w:val="19"/>
          <w:szCs w:val="19"/>
          <w:u w:val="single" w:color="auto"/>
          <w:color w:val="auto"/>
        </w:rPr>
        <w:t>Affiliated Entities</w:t>
      </w:r>
      <w:r>
        <w:rPr>
          <w:rFonts w:ascii="Arial" w:cs="Arial" w:eastAsia="Arial" w:hAnsi="Arial"/>
          <w:sz w:val="19"/>
          <w:szCs w:val="19"/>
          <w:color w:val="auto"/>
        </w:rPr>
        <w:t>”), together with each and all of their respective past, present and future shareholders, investors, officers, directors, partners, members, managers, principals, servants, employees, agents, contractors, representatives, attorneys, insurers, predecessors, successors, and assigns (collectively, the “</w:t>
      </w:r>
      <w:r>
        <w:rPr>
          <w:rFonts w:ascii="Arial" w:cs="Arial" w:eastAsia="Arial" w:hAnsi="Arial"/>
          <w:sz w:val="19"/>
          <w:szCs w:val="19"/>
          <w:u w:val="single" w:color="auto"/>
          <w:color w:val="auto"/>
        </w:rPr>
        <w:t>Company Released Parties</w:t>
      </w:r>
      <w:r>
        <w:rPr>
          <w:rFonts w:ascii="Arial" w:cs="Arial" w:eastAsia="Arial" w:hAnsi="Arial"/>
          <w:sz w:val="19"/>
          <w:szCs w:val="19"/>
          <w:color w:val="auto"/>
        </w:rPr>
        <w:t>”) from and against any and all rights, claims, complaints, debts, losses, liabilities, demands, obligations, promises, acts, agreements, grievances, losses, arbitrations, defenses, actions, causes of action and/or damages, whether in law or in equity, known or unknown, accrued or unaccrued, direct or derivative, liquidated or unliquidated, and suspected or unsuspected, that are based upon facts, events, acts, or omissions occurring on or before the date of this Agreement, including, but not limited to, any matter or action related to Executive’s employment with or separation from the Company or any claims under the Employment Agreement. Executive understands and agrees that the release of claims contained in this Section 6 includes, but is not limited to, any and all claims arising under any state or local laws, rules, regulations or ordinances, including but not limited to all claims arising under any federal laws, rules or regulations, including but not limited to, Title VII of the Civil Rights Act of 1964, the Civil Rights Act of 1866, the Family and Medical Leave Act, the Americans With Disabilities Act, the ADA Amendments Act, the Fair Labor Standards Act, the Age Discrimination in Employment Act, including the Older Workers Benefit Protection Act, the Genetic Information Nondiscrimination Act, the Employee Retirement Income Security Act, the Sarbanes-Oxley Act, the False Claims Act, the Dodd-Frank Wall Street Reform and Consumer Protection Act, the Texas Labor Code (specifically including the Texas Payday Act, the Texas Anti-Retaliation Act, and the Texas Commission on Human Rights Act), the Texas Whistleblower Act, and any other federal, state, or local laws, rules, or regulations, whether equal employment opportunity laws, rules, or regulations or otherwise that may be applicable to Executive during the term of his employment with the Company as well as any and all tort, contract, statutory or common law claims, matters or actions.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388" w:right="499" w:bottom="1440" w:gutter="0" w:footer="0" w:header="0"/>
        </w:sectPr>
      </w:pPr>
    </w:p>
    <w:bookmarkStart w:id="79" w:name="page80"/>
    <w:bookmarkEnd w:id="79"/>
    <w:p>
      <w:pPr>
        <w:jc w:val="both"/>
        <w:ind w:left="140" w:firstLine="1495"/>
        <w:spacing w:after="0" w:line="246" w:lineRule="auto"/>
        <w:tabs>
          <w:tab w:leader="none" w:pos="1962" w:val="left"/>
        </w:tabs>
        <w:numPr>
          <w:ilvl w:val="1"/>
          <w:numId w:val="50"/>
        </w:numPr>
        <w:rPr>
          <w:rFonts w:ascii="Arial" w:cs="Arial" w:eastAsia="Arial" w:hAnsi="Arial"/>
          <w:sz w:val="21"/>
          <w:szCs w:val="21"/>
          <w:color w:val="auto"/>
        </w:rPr>
      </w:pPr>
      <w:r>
        <w:rPr>
          <w:rFonts w:ascii="Arial" w:cs="Arial" w:eastAsia="Arial" w:hAnsi="Arial"/>
          <w:sz w:val="21"/>
          <w:szCs w:val="21"/>
          <w:u w:val="single" w:color="auto"/>
          <w:color w:val="auto"/>
        </w:rPr>
        <w:t>Release of Executive by the Company</w:t>
      </w:r>
      <w:r>
        <w:rPr>
          <w:rFonts w:ascii="Arial" w:cs="Arial" w:eastAsia="Arial" w:hAnsi="Arial"/>
          <w:sz w:val="21"/>
          <w:szCs w:val="21"/>
          <w:color w:val="auto"/>
        </w:rPr>
        <w:t>. The Company, P10, and Company Released Parties agree that subject to the exceptions set forth herein, they will release all Company Claims against Executive in exchange for the mutual promises and covenants in this Agreement. “Company Claims” covers any and all charges, complaints, claims, actions, causes of action, suits, rights, demands, liabilities, obligations, costs, losses, debts, and expenses (including any attorneys’ fees and costs incurred) of any nature whatsoever, whether in law or in equity, whether known or unknown, whether suspected or unsuspected, whether accrued or unaccrued, arising from the beginning of time up to and including the date of this Agreement. Company Claims includes without limitation all actions or demands of any kind that Company Releasors now have or may have had or claim to have in the future.</w:t>
      </w:r>
    </w:p>
    <w:p>
      <w:pPr>
        <w:spacing w:after="0" w:line="220" w:lineRule="exact"/>
        <w:rPr>
          <w:rFonts w:ascii="Arial" w:cs="Arial" w:eastAsia="Arial" w:hAnsi="Arial"/>
          <w:sz w:val="21"/>
          <w:szCs w:val="21"/>
          <w:color w:val="auto"/>
        </w:rPr>
      </w:pPr>
    </w:p>
    <w:p>
      <w:pPr>
        <w:ind w:left="1640" w:hanging="753"/>
        <w:spacing w:after="0"/>
        <w:tabs>
          <w:tab w:leader="none" w:pos="164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Exceptions to Release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40" w:firstLine="1495"/>
        <w:spacing w:after="0" w:line="271" w:lineRule="auto"/>
        <w:tabs>
          <w:tab w:leader="none" w:pos="1962" w:val="left"/>
        </w:tabs>
        <w:numPr>
          <w:ilvl w:val="1"/>
          <w:numId w:val="51"/>
        </w:numPr>
        <w:rPr>
          <w:rFonts w:ascii="Arial" w:cs="Arial" w:eastAsia="Arial" w:hAnsi="Arial"/>
          <w:sz w:val="19"/>
          <w:szCs w:val="19"/>
          <w:color w:val="auto"/>
        </w:rPr>
      </w:pPr>
      <w:r>
        <w:rPr>
          <w:rFonts w:ascii="Arial" w:cs="Arial" w:eastAsia="Arial" w:hAnsi="Arial"/>
          <w:sz w:val="19"/>
          <w:szCs w:val="19"/>
          <w:color w:val="auto"/>
        </w:rPr>
        <w:t>Notwithstanding the foregoing Release in Section 6(a), Executive does not waive any rights Executive may have (i) under COBRA; (ii) to Executive’s currently vested rights under the Company’s benefit plans; (iii) to benefits and/or the right to seek benefits under applicable workers’ compensation and/or unemployment compensation statutes; (iv) to pursue claims which by law cannot be waived; and (v) to Executive’s rights to indemnification from the Company as an officer or director whether pursuant to any agreement or by operation of law, including, without limitation, pursuant to the Employment Agreement. This Agreement does not limit Executive’s ability to bring an administrative charge with an administrative agency, including the Equal Employment Opportunity Commission or a similar state or local agency, or with the National Labor Relations Board, but Executive expressly waives and releases any right to recover any type of personal relief from the Company, including monetary damages or reinstatement, in any administrative action or proceeding, whether federal, state, or local, and whether brought by Executive or on Executive’s behalf by an administrative agency, related in any way to the matters released in this Agreement. Nothing in this Agreement is intended to or shall prevent, impede, or interfere with Executive’s non-waivable right, without prior notice to the Company, to provide information to the government, participate in investigations, file a complaint, testify in proceedings regarding the Company’s, P10’s, or Company Released Parties’ past or future conduct, engage in any future activities protected under the whistleblower statutes, or to receive and fully retain a monetary award from a government-administered whistleblower award program for providing information directly to a government agency.</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left="140" w:right="20" w:firstLine="1495"/>
        <w:spacing w:after="0" w:line="236" w:lineRule="auto"/>
        <w:tabs>
          <w:tab w:leader="none" w:pos="1962" w:val="left"/>
        </w:tabs>
        <w:numPr>
          <w:ilvl w:val="1"/>
          <w:numId w:val="51"/>
        </w:numPr>
        <w:rPr>
          <w:rFonts w:ascii="Arial" w:cs="Arial" w:eastAsia="Arial" w:hAnsi="Arial"/>
          <w:sz w:val="22"/>
          <w:szCs w:val="22"/>
          <w:color w:val="auto"/>
        </w:rPr>
      </w:pPr>
      <w:r>
        <w:rPr>
          <w:rFonts w:ascii="Arial" w:cs="Arial" w:eastAsia="Arial" w:hAnsi="Arial"/>
          <w:sz w:val="22"/>
          <w:szCs w:val="22"/>
          <w:color w:val="auto"/>
        </w:rPr>
        <w:t>Notwithstanding the foregoing Release in Section 6(b), in the event Executive is found guilty of or enters a plea of nolo contendere to any criminal action based upon conduct occurring during the Term of the Employment Agreement or Transition Period, the Company, P10, and Company Released Parties do not waive any rights they may have to assert claims for civil damages or injunctive relief arising out of the same conduct or actions forming the basis of the criminal conviction.</w:t>
      </w:r>
    </w:p>
    <w:p>
      <w:pPr>
        <w:spacing w:after="0" w:line="227" w:lineRule="exact"/>
        <w:rPr>
          <w:rFonts w:ascii="Arial" w:cs="Arial" w:eastAsia="Arial" w:hAnsi="Arial"/>
          <w:sz w:val="22"/>
          <w:szCs w:val="22"/>
          <w:color w:val="auto"/>
        </w:rPr>
      </w:pPr>
    </w:p>
    <w:p>
      <w:pPr>
        <w:jc w:val="both"/>
        <w:ind w:left="140" w:firstLine="747"/>
        <w:spacing w:after="0" w:line="287" w:lineRule="auto"/>
        <w:tabs>
          <w:tab w:leader="none" w:pos="1449"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Executive’s Affirmation</w:t>
      </w:r>
      <w:r>
        <w:rPr>
          <w:rFonts w:ascii="Arial" w:cs="Arial" w:eastAsia="Arial" w:hAnsi="Arial"/>
          <w:sz w:val="19"/>
          <w:szCs w:val="19"/>
          <w:color w:val="auto"/>
        </w:rPr>
        <w:t>. Executive affirms that as of the date of this Agreement, he has been paid and/or has received all leave (paid or unpaid); compensation, wages, bonuses, commissions, and/or benefits to which he may be entitled, and that no other leave (paid or unpaid), compensation, wages, bonuses, commissions, and/or benefits are due to Executive except as provided under this Agreement. Executive further affirms that he has not been retaliated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388" w:right="499" w:bottom="1440" w:gutter="0" w:footer="0" w:header="0"/>
        </w:sectPr>
      </w:pPr>
    </w:p>
    <w:bookmarkStart w:id="80" w:name="page81"/>
    <w:bookmarkEnd w:id="80"/>
    <w:p>
      <w:pPr>
        <w:jc w:val="both"/>
        <w:ind w:left="140"/>
        <w:spacing w:after="0"/>
        <w:rPr>
          <w:sz w:val="20"/>
          <w:szCs w:val="20"/>
          <w:color w:val="auto"/>
        </w:rPr>
      </w:pPr>
      <w:r>
        <w:rPr>
          <w:rFonts w:ascii="Arial" w:cs="Arial" w:eastAsia="Arial" w:hAnsi="Arial"/>
          <w:sz w:val="22"/>
          <w:szCs w:val="22"/>
          <w:color w:val="auto"/>
        </w:rPr>
        <w:t>against for reporting any allegations of wrongdoing by the Company, P10, or its officers, including any allegations of corporate fraud or discriminated against based on Executive’s actual or perceived status in any protected class or status recognized by state or federal law.</w:t>
      </w:r>
    </w:p>
    <w:p>
      <w:pPr>
        <w:spacing w:after="0" w:line="227" w:lineRule="exact"/>
        <w:rPr>
          <w:sz w:val="20"/>
          <w:szCs w:val="20"/>
          <w:color w:val="auto"/>
        </w:rPr>
      </w:pPr>
    </w:p>
    <w:p>
      <w:pPr>
        <w:jc w:val="both"/>
        <w:ind w:left="140" w:firstLine="747"/>
        <w:spacing w:after="0" w:line="233" w:lineRule="auto"/>
        <w:tabs>
          <w:tab w:leader="none" w:pos="144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 Initiated Claims</w:t>
      </w:r>
      <w:r>
        <w:rPr>
          <w:rFonts w:ascii="Arial" w:cs="Arial" w:eastAsia="Arial" w:hAnsi="Arial"/>
          <w:sz w:val="22"/>
          <w:szCs w:val="22"/>
          <w:color w:val="auto"/>
        </w:rPr>
        <w:t>. Executive represents, warrants, and agrees that he has not filed any lawsuits or arbitrations against the Company, P10, Affiliated Entities, or any Company Released Parties, or filed or caused to be filed any claims, charges, or complaints against the Company, Affiliated Entities, or any Company Released Parties, in any administrative, judicial, arbitral, or other forum, including any charges or complaints against the Company, P10, Affiliated Entities, or any Company Released Parties with any international, federal, state, or local agency charged with the enforcement of any law or any self-regulatory organization, and Executive is not aware of any factual or legal basis for any legitimate claim that the Company, P10, Affiliated Entities, or any Company Released Parties are in violation of any whistleblower, corporate compliance, or other regulatory obligation under international, federal, state, or local law, rule, or Company policy. Executive further represents, warrants, and agrees that if he were ever aware of any such basis for a legitimate claim against the Company, P10, Affiliated Entities, or any Related Parties, Executive informed the Company of same.</w:t>
      </w:r>
    </w:p>
    <w:p>
      <w:pPr>
        <w:spacing w:after="0" w:line="228" w:lineRule="exact"/>
        <w:rPr>
          <w:rFonts w:ascii="Arial" w:cs="Arial" w:eastAsia="Arial" w:hAnsi="Arial"/>
          <w:sz w:val="22"/>
          <w:szCs w:val="22"/>
          <w:color w:val="auto"/>
        </w:rPr>
      </w:pPr>
    </w:p>
    <w:p>
      <w:pPr>
        <w:ind w:left="140" w:right="40" w:firstLine="747"/>
        <w:spacing w:after="0" w:line="250" w:lineRule="auto"/>
        <w:tabs>
          <w:tab w:leader="none" w:pos="144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 Admission</w:t>
      </w:r>
      <w:r>
        <w:rPr>
          <w:rFonts w:ascii="Arial" w:cs="Arial" w:eastAsia="Arial" w:hAnsi="Arial"/>
          <w:sz w:val="22"/>
          <w:szCs w:val="22"/>
          <w:color w:val="auto"/>
        </w:rPr>
        <w:t>. This Agreement shall not be construed as an admission by either the Company, P10, the Affiliated Entities, Company Released Parties, or Executive that they acted wrongfully.</w:t>
      </w:r>
    </w:p>
    <w:p>
      <w:pPr>
        <w:spacing w:after="0" w:line="201" w:lineRule="exact"/>
        <w:rPr>
          <w:rFonts w:ascii="Arial" w:cs="Arial" w:eastAsia="Arial" w:hAnsi="Arial"/>
          <w:sz w:val="22"/>
          <w:szCs w:val="22"/>
          <w:color w:val="auto"/>
        </w:rPr>
      </w:pPr>
    </w:p>
    <w:p>
      <w:pPr>
        <w:jc w:val="both"/>
        <w:ind w:left="140" w:firstLine="747"/>
        <w:spacing w:after="0" w:line="244" w:lineRule="auto"/>
        <w:tabs>
          <w:tab w:leader="none" w:pos="1449"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Return of Property</w:t>
      </w:r>
      <w:r>
        <w:rPr>
          <w:rFonts w:ascii="Arial" w:cs="Arial" w:eastAsia="Arial" w:hAnsi="Arial"/>
          <w:sz w:val="21"/>
          <w:szCs w:val="21"/>
          <w:color w:val="auto"/>
        </w:rPr>
        <w:t>. Executive agrees that within ten (10) business days of the Transition Date, he shall return all of the Company’s, P10’s, and the Affiliated Entities’ property in his possession, including without limitation, all documents, records, files, notebooks, manuals, letters, notes, reports, customer and supplier lists, cost and profit data, e-mail, apparatus, laptops, computers, smartphones, tablets or other PDAs, hardware, software, drawings, blueprints, and any other material of the Company, P10, P10 Holdings, or any Affiliated Entities or clients, including all materials pertaining to Confidential Information developed by Executive or others, and all copies of such materials, whether of a technical, business or fiscal nature, whether on the hard drive of a laptop or desktop computer, in hard copy, disk or any other format, which are in his possession, custody or control; provided, however, that (i) Executive may retain such property, documents, and information as are required in connection with his role as Executive Chairman, it being understood that the Executive shall be obliged to return such materials on or before the Transition End Date. Executive agrees that in the event Executive subsequently discovers any Company, P10, or Affiliated Entities’ property in Executive’s possession, Executive will promptly return such property. This Section 11 shall supersede and replace Executive’s obligations in Section 6(a)(ii) of the Employment Agreement.</w:t>
      </w:r>
    </w:p>
    <w:p>
      <w:pPr>
        <w:spacing w:after="0" w:line="223" w:lineRule="exact"/>
        <w:rPr>
          <w:rFonts w:ascii="Arial" w:cs="Arial" w:eastAsia="Arial" w:hAnsi="Arial"/>
          <w:sz w:val="21"/>
          <w:szCs w:val="21"/>
          <w:color w:val="auto"/>
        </w:rPr>
      </w:pPr>
    </w:p>
    <w:p>
      <w:pPr>
        <w:jc w:val="both"/>
        <w:ind w:left="140" w:firstLine="747"/>
        <w:spacing w:after="0" w:line="245" w:lineRule="auto"/>
        <w:tabs>
          <w:tab w:leader="none" w:pos="1449"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Reaffirmation of Confidentiality Obligations and Restrictive Covenants</w:t>
      </w:r>
      <w:r>
        <w:rPr>
          <w:rFonts w:ascii="Arial" w:cs="Arial" w:eastAsia="Arial" w:hAnsi="Arial"/>
          <w:sz w:val="21"/>
          <w:szCs w:val="21"/>
          <w:color w:val="auto"/>
        </w:rPr>
        <w:t>. Executive acknowledges that during the Transition Period he will have access to and be given Confidential Information (defined in the Employment Agreement) of P10, the Company, the Affiliated Entities, and its clients that Executive did not have access to or was not given prior to the execution of this Agreement. Accordingly, in order to continue to protect the legitimate business interests of the Company, P10, and the Affiliated Entities, Executive reaffirms his obligations under the Section</w:t>
      </w:r>
    </w:p>
    <w:p>
      <w:pPr>
        <w:ind w:left="140"/>
        <w:spacing w:after="0"/>
        <w:rPr>
          <w:rFonts w:ascii="Arial" w:cs="Arial" w:eastAsia="Arial" w:hAnsi="Arial"/>
          <w:sz w:val="21"/>
          <w:szCs w:val="21"/>
          <w:color w:val="auto"/>
        </w:rPr>
      </w:pPr>
      <w:r>
        <w:rPr>
          <w:rFonts w:ascii="Arial" w:cs="Arial" w:eastAsia="Arial" w:hAnsi="Arial"/>
          <w:sz w:val="22"/>
          <w:szCs w:val="22"/>
          <w:color w:val="auto"/>
        </w:rPr>
        <w:t>6 of the Employment Agreement (other than Section 6(a)(ii)), including his obligations of</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388" w:right="499" w:bottom="1440" w:gutter="0" w:footer="0" w:header="0"/>
        </w:sectPr>
      </w:pPr>
    </w:p>
    <w:bookmarkStart w:id="81" w:name="page82"/>
    <w:bookmarkEnd w:id="81"/>
    <w:p>
      <w:pPr>
        <w:jc w:val="both"/>
        <w:ind w:left="140"/>
        <w:spacing w:after="0" w:line="272" w:lineRule="auto"/>
        <w:rPr>
          <w:sz w:val="20"/>
          <w:szCs w:val="20"/>
          <w:color w:val="auto"/>
        </w:rPr>
      </w:pPr>
      <w:r>
        <w:rPr>
          <w:rFonts w:ascii="Arial" w:cs="Arial" w:eastAsia="Arial" w:hAnsi="Arial"/>
          <w:sz w:val="19"/>
          <w:szCs w:val="19"/>
          <w:color w:val="auto"/>
        </w:rPr>
        <w:t>confidentiality and non-solicitation obligations, represents and warrants that he has not breached the same, and understands that such obligations continue after the Transition Date throughout the Transition Period. The Parties incorporate such obligations into this Agreement as if fully set forth herein and acknowledge that Executive’s breach of those obligations shall constitute a breach of this Agreement; provided, however, that the non-solicitation restrictions found in Section 6 of the Employment Agreement shall not prohibit Executive from soliciting or hiring Caryn Peeples for employment after the Transition End Date. Notwithstanding the foregoing, the Parties agreement that the Restricted Period, as that term is used in Section 6(b) of the Employment Agreement shall run for the Transition Period and for a period of one (1) year following the Transition End Date. The Executive acknowledges that the Company, P10, and/or the Affiliated Entities would be irreparably injured by a violation of the confidentiality obligations and non-solicitation restrictions and agrees that the Company shall be entitled to an injunction restraining the Executive from any actual or threatened breach of these restrictive covenants, or to any other appropriate equitable remedy without bond or other security being required. Any such relief shall be in addition to and not in lieu of any appropriate relief in the way of monetary damages that the parties may seek in arbitration.</w:t>
      </w:r>
    </w:p>
    <w:p>
      <w:pPr>
        <w:spacing w:after="0" w:line="201" w:lineRule="exact"/>
        <w:rPr>
          <w:sz w:val="20"/>
          <w:szCs w:val="20"/>
          <w:color w:val="auto"/>
        </w:rPr>
      </w:pPr>
    </w:p>
    <w:p>
      <w:pPr>
        <w:jc w:val="both"/>
        <w:ind w:left="140" w:firstLine="747"/>
        <w:spacing w:after="0" w:line="270" w:lineRule="auto"/>
        <w:tabs>
          <w:tab w:leader="none" w:pos="144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In exchange for the Company’s agreement to execute this Agreement and its promise to provide Executive with access to and be given Confidential Information of P10, the Company, the Affiliated Entities, and its clients, during the Transition Period and for a period of one year following the Transition End Date, Executive agrees that, Executive will not, directly or indirectly, acquire a partial or controlling stake in an alternative asset manager that: (1) exceeds $25 million in purchase price; or (2) directly competes with a Company vertical or was reviewed by the Company as an acquisition target within the Transition Period (each a “</w:t>
      </w:r>
      <w:r>
        <w:rPr>
          <w:rFonts w:ascii="Arial" w:cs="Arial" w:eastAsia="Arial" w:hAnsi="Arial"/>
          <w:sz w:val="19"/>
          <w:szCs w:val="19"/>
          <w:u w:val="single" w:color="auto"/>
          <w:color w:val="auto"/>
        </w:rPr>
        <w:t>Restricted Entity</w:t>
      </w:r>
      <w:r>
        <w:rPr>
          <w:rFonts w:ascii="Arial" w:cs="Arial" w:eastAsia="Arial" w:hAnsi="Arial"/>
          <w:sz w:val="19"/>
          <w:szCs w:val="19"/>
          <w:color w:val="auto"/>
        </w:rPr>
        <w:t>”). In addition, during the Restricted Period, Executive will not become an employee of an alternative asset manager that is part of a publicly traded company. Notwithstanding the restrictions contained in this Section 13, Executive may own or acquire an aggregate of not more than 4.9% of any publicly traded Restricted Entity without violating the provisions of this Section 13, provided that Executive remains a passive owner of common stock during the Restricted Period and does not have the power, directly or indirectly, to control or direct the management or affairs of any such corporation and is not involved in the management of such Restricted Entity. Executive acknowledges that the Company would be irreparably injured by a violation of this Section 13 and the Parties agree that the sole and exclusive remedy available to the Company for any breach by Executive of this Section 13 shall be a temporary restraining order and other injunctive relief prohibiting the Executive from any actual or threatened breach of this Section 13 without bond or other security being required as well as the Company’s attorneys’ fees incurred in obtaining injunctive relief. No additional monetary remedy shall be available to the Company for any breach by Executive of this Section 13.</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jc w:val="both"/>
        <w:ind w:left="140" w:firstLine="747"/>
        <w:spacing w:after="0" w:line="238" w:lineRule="auto"/>
        <w:tabs>
          <w:tab w:leader="none" w:pos="1449"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Survival and Reaffirmation of Employment Agreement Terms</w:t>
      </w:r>
      <w:r>
        <w:rPr>
          <w:rFonts w:ascii="Arial" w:cs="Arial" w:eastAsia="Arial" w:hAnsi="Arial"/>
          <w:sz w:val="22"/>
          <w:szCs w:val="22"/>
          <w:color w:val="auto"/>
        </w:rPr>
        <w:t>. The Parties acknowledges that certain provisions of the Employment Agreement survive the termination of Executive’s employment and remain in full force and effect and are incorporated herein by reference, including but not limited to the terms and obligations set forth in Sections 5(b), 7, and 8 of the Employment Agreement.</w:t>
      </w:r>
    </w:p>
    <w:p>
      <w:pPr>
        <w:spacing w:after="0" w:line="22" w:lineRule="exact"/>
        <w:rPr>
          <w:rFonts w:ascii="Arial" w:cs="Arial" w:eastAsia="Arial" w:hAnsi="Arial"/>
          <w:sz w:val="22"/>
          <w:szCs w:val="22"/>
          <w:color w:val="auto"/>
        </w:rPr>
      </w:pPr>
    </w:p>
    <w:p>
      <w:pPr>
        <w:ind w:left="140" w:right="20" w:firstLine="747"/>
        <w:spacing w:after="0" w:line="250" w:lineRule="auto"/>
        <w:tabs>
          <w:tab w:leader="none" w:pos="1449"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Executive agrees that he will not make any statement to any third party that is intended to or is reasonably likely to disparage, slander, or otherwise damage the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388" w:right="499" w:bottom="1440" w:gutter="0" w:footer="0" w:header="0"/>
        </w:sectPr>
      </w:pPr>
    </w:p>
    <w:bookmarkStart w:id="82" w:name="page83"/>
    <w:bookmarkEnd w:id="82"/>
    <w:p>
      <w:pPr>
        <w:jc w:val="both"/>
        <w:ind w:left="140"/>
        <w:spacing w:after="0" w:line="275" w:lineRule="auto"/>
        <w:rPr>
          <w:sz w:val="20"/>
          <w:szCs w:val="20"/>
          <w:color w:val="auto"/>
        </w:rPr>
      </w:pPr>
      <w:r>
        <w:rPr>
          <w:rFonts w:ascii="Arial" w:cs="Arial" w:eastAsia="Arial" w:hAnsi="Arial"/>
          <w:sz w:val="19"/>
          <w:szCs w:val="19"/>
          <w:color w:val="auto"/>
        </w:rPr>
        <w:t>business reputation of the Company, P10, Affiliated Entities, or Company Released Parties, other than statements to any government agencies or statements under oath in connection with a legal proceeding or other compulsory legal process. The Company agrees that (a) it shall not issue any statement on behalf of the Company, P10, or the Affiliated Entities concerning the Executive that is intended to or are reasonably likely to disparage, slander, or otherwise damage the business reputation of Executive except to the extent required by law, and (b) it shall instruct its directors and officers not to make any statement concerning Executive that is intended to or is reasonably likely to disparage, slander, or otherwise damage the business reputation of Executive (other than statements to any government agencies or statements under oath in connection with a legal proceeding or other compulsory legal process).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388" w:right="499" w:bottom="1440" w:gutter="0" w:footer="0" w:header="0"/>
        </w:sectPr>
      </w:pPr>
    </w:p>
    <w:bookmarkStart w:id="83" w:name="page84"/>
    <w:bookmarkEnd w:id="83"/>
    <w:p>
      <w:pPr>
        <w:jc w:val="both"/>
        <w:ind w:left="140" w:firstLine="747"/>
        <w:spacing w:after="0"/>
        <w:tabs>
          <w:tab w:leader="none" w:pos="144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either the Company or the Executive of a breach of any provision of this Agreement shall not operate as or be deemed a waiver of any subsequent breach by either the Company or the Executive. Any waiver must be in writing.</w:t>
      </w:r>
    </w:p>
    <w:p>
      <w:pPr>
        <w:spacing w:after="0" w:line="213" w:lineRule="exact"/>
        <w:rPr>
          <w:rFonts w:ascii="Arial" w:cs="Arial" w:eastAsia="Arial" w:hAnsi="Arial"/>
          <w:sz w:val="22"/>
          <w:szCs w:val="22"/>
          <w:color w:val="auto"/>
        </w:rPr>
      </w:pPr>
    </w:p>
    <w:p>
      <w:pPr>
        <w:jc w:val="both"/>
        <w:ind w:left="140" w:firstLine="747"/>
        <w:spacing w:after="0" w:line="257" w:lineRule="auto"/>
        <w:tabs>
          <w:tab w:leader="none" w:pos="1449"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This Agreement may not be amended orally in any manner or in writing without the written consent of the Company and the Executive. No provision of this Agreement may be waived, delayed, modified, terminated, or otherwise impaired without the prior written consent of the Company and the Executive.</w:t>
      </w:r>
    </w:p>
    <w:p>
      <w:pPr>
        <w:spacing w:after="0" w:line="209" w:lineRule="exact"/>
        <w:rPr>
          <w:rFonts w:ascii="Arial" w:cs="Arial" w:eastAsia="Arial" w:hAnsi="Arial"/>
          <w:sz w:val="21"/>
          <w:szCs w:val="21"/>
          <w:color w:val="auto"/>
        </w:rPr>
      </w:pPr>
    </w:p>
    <w:p>
      <w:pPr>
        <w:jc w:val="both"/>
        <w:ind w:left="140" w:firstLine="747"/>
        <w:spacing w:after="0" w:line="233" w:lineRule="auto"/>
        <w:tabs>
          <w:tab w:leader="none" w:pos="144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represents and contains the entire understanding between the Parties in connection with its subject matter, subject to the terms of the Carried Interest Allocation Agreement and any other agreements specifically referenced in this Agreement as continuing after the execution of this Agreement. Executive acknowledges that in signing this Agreement, Executive has not relied upon any representation or statement not set forth in this Agreement made by the Company, P10, the Affiliated Entities, or any of their representatives. The Company makes no representations regarding its relationship with or obligations to Executive, or as to the tax consequences of Executive entering into this Agreement, and none it may have made in the past survive, except as expressly set forth in this Agreement. Executive expressly agrees that the Company shall have no liability to him for any tax or penalty imposed on him by this Agreement.</w:t>
      </w:r>
    </w:p>
    <w:p>
      <w:pPr>
        <w:spacing w:after="0" w:line="233" w:lineRule="exact"/>
        <w:rPr>
          <w:rFonts w:ascii="Arial" w:cs="Arial" w:eastAsia="Arial" w:hAnsi="Arial"/>
          <w:sz w:val="22"/>
          <w:szCs w:val="22"/>
          <w:color w:val="auto"/>
        </w:rPr>
      </w:pPr>
    </w:p>
    <w:p>
      <w:pPr>
        <w:ind w:left="1440" w:hanging="553"/>
        <w:spacing w:after="0"/>
        <w:tabs>
          <w:tab w:leader="none" w:pos="144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The provisions of this Agreement shall be construed in accordance with the laws of the State</w:t>
      </w:r>
    </w:p>
    <w:p>
      <w:pPr>
        <w:spacing w:after="0" w:line="42" w:lineRule="exact"/>
        <w:rPr>
          <w:rFonts w:ascii="Arial" w:cs="Arial" w:eastAsia="Arial" w:hAnsi="Arial"/>
          <w:sz w:val="19"/>
          <w:szCs w:val="19"/>
          <w:color w:val="auto"/>
        </w:rPr>
      </w:pPr>
    </w:p>
    <w:p>
      <w:pPr>
        <w:ind w:left="140"/>
        <w:spacing w:after="0"/>
        <w:rPr>
          <w:rFonts w:ascii="Arial" w:cs="Arial" w:eastAsia="Arial" w:hAnsi="Arial"/>
          <w:sz w:val="19"/>
          <w:szCs w:val="19"/>
          <w:color w:val="auto"/>
        </w:rPr>
      </w:pPr>
      <w:r>
        <w:rPr>
          <w:rFonts w:ascii="Arial" w:cs="Arial" w:eastAsia="Arial" w:hAnsi="Arial"/>
          <w:sz w:val="22"/>
          <w:szCs w:val="22"/>
          <w:color w:val="auto"/>
        </w:rPr>
        <w:t>of Texas.</w:t>
      </w:r>
    </w:p>
    <w:p>
      <w:pPr>
        <w:spacing w:after="0" w:line="215" w:lineRule="exact"/>
        <w:rPr>
          <w:rFonts w:ascii="Arial" w:cs="Arial" w:eastAsia="Arial" w:hAnsi="Arial"/>
          <w:sz w:val="19"/>
          <w:szCs w:val="19"/>
          <w:color w:val="auto"/>
        </w:rPr>
      </w:pPr>
    </w:p>
    <w:p>
      <w:pPr>
        <w:jc w:val="both"/>
        <w:ind w:left="140" w:firstLine="747"/>
        <w:spacing w:after="0" w:line="297" w:lineRule="auto"/>
        <w:tabs>
          <w:tab w:leader="none" w:pos="1449"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Unless otherwise expressly provided, the respective rights and obligations of the parties hereunder, including, without limitation, the rights and obligations set forth in Sections 6, 12, 13, 14, and 15 of this Agreement, shall survive any termination of this Agreement to the extent necessary to the intended preservation of such rights and obligations.</w:t>
      </w:r>
    </w:p>
    <w:p>
      <w:pPr>
        <w:spacing w:after="0" w:line="174" w:lineRule="exact"/>
        <w:rPr>
          <w:rFonts w:ascii="Arial" w:cs="Arial" w:eastAsia="Arial" w:hAnsi="Arial"/>
          <w:sz w:val="19"/>
          <w:szCs w:val="19"/>
          <w:color w:val="auto"/>
        </w:rPr>
      </w:pPr>
    </w:p>
    <w:p>
      <w:pPr>
        <w:jc w:val="both"/>
        <w:ind w:left="140" w:firstLine="747"/>
        <w:spacing w:after="0"/>
        <w:tabs>
          <w:tab w:leader="none" w:pos="144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Except as otherwise herein expressly provided, this Agreement shall be binding upon and shall inure to the benefit of Executive and his personal representatives and shall inure to the benefit of and be binding upon the Company and its successors and assigns,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591" w:right="499" w:bottom="1440" w:gutter="0" w:footer="0" w:header="0"/>
        </w:sectPr>
      </w:pPr>
    </w:p>
    <w:bookmarkStart w:id="84" w:name="page85"/>
    <w:bookmarkEnd w:id="84"/>
    <w:p>
      <w:pPr>
        <w:ind w:left="140"/>
        <w:spacing w:after="0" w:line="250" w:lineRule="auto"/>
        <w:rPr>
          <w:sz w:val="20"/>
          <w:szCs w:val="20"/>
          <w:color w:val="auto"/>
        </w:rPr>
      </w:pPr>
      <w:r>
        <w:rPr>
          <w:rFonts w:ascii="Arial" w:cs="Arial" w:eastAsia="Arial" w:hAnsi="Arial"/>
          <w:sz w:val="22"/>
          <w:szCs w:val="22"/>
          <w:color w:val="auto"/>
        </w:rPr>
        <w:t>except that the Company may not assign this Agreement without Executive’s prior written consent, except to an acquirer of all or substantially all of the assets of the Company.</w:t>
      </w:r>
    </w:p>
    <w:p>
      <w:pPr>
        <w:spacing w:after="0" w:line="215" w:lineRule="exact"/>
        <w:rPr>
          <w:sz w:val="20"/>
          <w:szCs w:val="20"/>
          <w:color w:val="auto"/>
        </w:rPr>
      </w:pPr>
    </w:p>
    <w:p>
      <w:pPr>
        <w:jc w:val="both"/>
        <w:ind w:left="140" w:right="60" w:firstLine="747"/>
        <w:spacing w:after="0" w:line="282" w:lineRule="auto"/>
        <w:tabs>
          <w:tab w:leader="none" w:pos="144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7" w:lineRule="exact"/>
        <w:rPr>
          <w:rFonts w:ascii="Arial" w:cs="Arial" w:eastAsia="Arial" w:hAnsi="Arial"/>
          <w:sz w:val="19"/>
          <w:szCs w:val="19"/>
          <w:color w:val="auto"/>
        </w:rPr>
      </w:pPr>
    </w:p>
    <w:p>
      <w:pPr>
        <w:jc w:val="both"/>
        <w:ind w:left="140" w:right="60" w:firstLine="747"/>
        <w:spacing w:after="0" w:line="238" w:lineRule="auto"/>
        <w:tabs>
          <w:tab w:leader="none" w:pos="144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electronic, or .pdf signatures shall have the same force and effect as original signatures.</w:t>
      </w:r>
    </w:p>
    <w:p>
      <w:pPr>
        <w:spacing w:after="0" w:line="211" w:lineRule="exact"/>
        <w:rPr>
          <w:rFonts w:ascii="Arial" w:cs="Arial" w:eastAsia="Arial" w:hAnsi="Arial"/>
          <w:sz w:val="22"/>
          <w:szCs w:val="22"/>
          <w:color w:val="auto"/>
        </w:rPr>
      </w:pPr>
    </w:p>
    <w:p>
      <w:pPr>
        <w:jc w:val="both"/>
        <w:ind w:left="140" w:right="60" w:firstLine="747"/>
        <w:spacing w:after="0" w:line="271" w:lineRule="auto"/>
        <w:tabs>
          <w:tab w:leader="none" w:pos="144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All disputes and disagreements arising from, relating to, or otherwise connected with this Agreement, the breach of this Agreement, Executive’s employment with the Company or providing services to the Company, P10, or any Affiliated Entity, the enforcement, interpretation or validity of this Agreement, or the employment relationship (including any wage claim, 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(“JAMS”) pursuant to its Comprehensive Arbitration Rules and Procedures applicable at the time the arbitration is commenced. A copy of the current version of the JAMS Rules will be made available to Executive upon request. The Rules may be amended from time to time and are also available online https://www.jamsadr.com/rules-employment- 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the Executive and the Company. Each of the parties shall bear the fees and expenses of its own legal counsel.</w:t>
      </w: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jc w:val="both"/>
        <w:ind w:left="140" w:right="60" w:firstLine="747"/>
        <w:spacing w:after="0" w:line="277" w:lineRule="auto"/>
        <w:tabs>
          <w:tab w:leader="none" w:pos="144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This Agreement is intended to comply with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 term deferral shall be excluded from Section 409A to the maximum extent possible. Notwithstanding the foregoing, the Company makes no representations that the payments and benefits provided under this Agreement comply with Section 409A and in no event shall the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388" w:right="439" w:bottom="1440" w:gutter="0" w:footer="0" w:header="0"/>
        </w:sectPr>
      </w:pPr>
    </w:p>
    <w:bookmarkStart w:id="85" w:name="page86"/>
    <w:bookmarkEnd w:id="85"/>
    <w:p>
      <w:pPr>
        <w:ind w:left="140" w:right="700"/>
        <w:spacing w:after="0" w:line="250" w:lineRule="auto"/>
        <w:rPr>
          <w:sz w:val="20"/>
          <w:szCs w:val="20"/>
          <w:color w:val="auto"/>
        </w:rPr>
      </w:pPr>
      <w:r>
        <w:rPr>
          <w:rFonts w:ascii="Arial" w:cs="Arial" w:eastAsia="Arial" w:hAnsi="Arial"/>
          <w:sz w:val="22"/>
          <w:szCs w:val="22"/>
          <w:color w:val="auto"/>
        </w:rPr>
        <w:t>Company be liable for all or any portion of any taxes, penalties, interest, or other expenses that may be incurred by the Executive on account of non-compliance with Section 409A.</w:t>
      </w:r>
    </w:p>
    <w:p>
      <w:pPr>
        <w:spacing w:after="0" w:line="215" w:lineRule="exact"/>
        <w:rPr>
          <w:sz w:val="20"/>
          <w:szCs w:val="20"/>
          <w:color w:val="auto"/>
        </w:rPr>
      </w:pPr>
    </w:p>
    <w:p>
      <w:pPr>
        <w:ind w:left="140" w:firstLine="747"/>
        <w:spacing w:after="0" w:line="250" w:lineRule="auto"/>
        <w:rPr>
          <w:sz w:val="20"/>
          <w:szCs w:val="20"/>
          <w:color w:val="auto"/>
        </w:rPr>
      </w:pPr>
      <w:r>
        <w:rPr>
          <w:rFonts w:ascii="Arial" w:cs="Arial" w:eastAsia="Arial" w:hAnsi="Arial"/>
          <w:sz w:val="22"/>
          <w:szCs w:val="22"/>
          <w:color w:val="auto"/>
        </w:rPr>
        <w:t>IN WITNESS WHEREOF, the Executive and the Company have executed this Employment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450215</wp:posOffset>
            </wp:positionV>
            <wp:extent cx="831215" cy="3689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8312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Robert Alpert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-17780</wp:posOffset>
            </wp:positionV>
            <wp:extent cx="14478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19"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Amanda Coussens, Chief Financial Officer</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P10 Intermediate Holdings, Inc.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388" w:right="419" w:bottom="1440" w:gutter="0" w:footer="0" w:header="0"/>
        </w:sectPr>
      </w:pPr>
    </w:p>
    <w:bookmarkStart w:id="86" w:name="page87"/>
    <w:bookmarkEnd w:id="86"/>
    <w:p>
      <w:pPr>
        <w:jc w:val="center"/>
        <w:ind w:right="-1"/>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ind w:right="-1"/>
        <w:spacing w:after="0"/>
        <w:rPr>
          <w:sz w:val="20"/>
          <w:szCs w:val="20"/>
          <w:color w:val="auto"/>
        </w:rPr>
      </w:pPr>
      <w:r>
        <w:rPr>
          <w:rFonts w:ascii="Arial" w:cs="Arial" w:eastAsia="Arial" w:hAnsi="Arial"/>
          <w:sz w:val="22"/>
          <w:szCs w:val="22"/>
          <w:b w:val="1"/>
          <w:bCs w:val="1"/>
          <w:color w:val="auto"/>
        </w:rPr>
        <w:t>GENERAL RELEASE AND WAIVER OF CLAIMS</w:t>
      </w:r>
    </w:p>
    <w:p>
      <w:pPr>
        <w:spacing w:after="0" w:line="253" w:lineRule="exact"/>
        <w:rPr>
          <w:sz w:val="20"/>
          <w:szCs w:val="20"/>
          <w:color w:val="auto"/>
        </w:rPr>
      </w:pPr>
    </w:p>
    <w:p>
      <w:pPr>
        <w:jc w:val="both"/>
        <w:ind w:left="2" w:firstLine="747"/>
        <w:spacing w:after="0" w:line="279" w:lineRule="auto"/>
        <w:rPr>
          <w:sz w:val="20"/>
          <w:szCs w:val="20"/>
          <w:color w:val="auto"/>
        </w:rPr>
      </w:pPr>
      <w:r>
        <w:rPr>
          <w:rFonts w:ascii="Arial" w:cs="Arial" w:eastAsia="Arial" w:hAnsi="Arial"/>
          <w:sz w:val="19"/>
          <w:szCs w:val="19"/>
          <w:color w:val="auto"/>
        </w:rPr>
        <w:t>This GENERAL RELEASE AND WAIVER OF CLAIMS (“</w:t>
      </w:r>
      <w:r>
        <w:rPr>
          <w:rFonts w:ascii="Arial" w:cs="Arial" w:eastAsia="Arial" w:hAnsi="Arial"/>
          <w:sz w:val="19"/>
          <w:szCs w:val="19"/>
          <w:u w:val="single" w:color="auto"/>
          <w:color w:val="auto"/>
        </w:rPr>
        <w:t>General Release</w:t>
      </w:r>
      <w:r>
        <w:rPr>
          <w:rFonts w:ascii="Arial" w:cs="Arial" w:eastAsia="Arial" w:hAnsi="Arial"/>
          <w:sz w:val="19"/>
          <w:szCs w:val="19"/>
          <w:color w:val="auto"/>
        </w:rPr>
        <w:t>”) is made and entered into by and between Robert Alpert (“</w:t>
      </w:r>
      <w:r>
        <w:rPr>
          <w:rFonts w:ascii="Arial" w:cs="Arial" w:eastAsia="Arial" w:hAnsi="Arial"/>
          <w:sz w:val="19"/>
          <w:szCs w:val="19"/>
          <w:u w:val="single" w:color="auto"/>
          <w:color w:val="auto"/>
        </w:rPr>
        <w:t>Executive</w:t>
      </w:r>
      <w:r>
        <w:rPr>
          <w:rFonts w:ascii="Arial" w:cs="Arial" w:eastAsia="Arial" w:hAnsi="Arial"/>
          <w:sz w:val="19"/>
          <w:szCs w:val="19"/>
          <w:color w:val="auto"/>
        </w:rPr>
        <w:t>”) and P10 Intermediate Holdings, Inc. (the “</w:t>
      </w:r>
      <w:r>
        <w:rPr>
          <w:rFonts w:ascii="Arial" w:cs="Arial" w:eastAsia="Arial" w:hAnsi="Arial"/>
          <w:sz w:val="19"/>
          <w:szCs w:val="19"/>
          <w:u w:val="single" w:color="auto"/>
          <w:color w:val="auto"/>
        </w:rPr>
        <w:t>Company</w:t>
      </w:r>
      <w:r>
        <w:rPr>
          <w:rFonts w:ascii="Arial" w:cs="Arial" w:eastAsia="Arial" w:hAnsi="Arial"/>
          <w:sz w:val="19"/>
          <w:szCs w:val="19"/>
          <w:color w:val="auto"/>
        </w:rPr>
        <w:t>”) on behalf of it and its parent, subsidiaries, successors, and assigns, including but not limited to P10, Inc. (“</w:t>
      </w:r>
      <w:r>
        <w:rPr>
          <w:rFonts w:ascii="Arial" w:cs="Arial" w:eastAsia="Arial" w:hAnsi="Arial"/>
          <w:sz w:val="19"/>
          <w:szCs w:val="19"/>
          <w:u w:val="single" w:color="auto"/>
          <w:color w:val="auto"/>
        </w:rPr>
        <w:t>P10</w:t>
      </w:r>
      <w:r>
        <w:rPr>
          <w:rFonts w:ascii="Arial" w:cs="Arial" w:eastAsia="Arial" w:hAnsi="Arial"/>
          <w:sz w:val="19"/>
          <w:szCs w:val="19"/>
          <w:color w:val="auto"/>
        </w:rPr>
        <w:t>”) (collectively with Executive, the “</w:t>
      </w:r>
      <w:r>
        <w:rPr>
          <w:rFonts w:ascii="Arial" w:cs="Arial" w:eastAsia="Arial" w:hAnsi="Arial"/>
          <w:sz w:val="19"/>
          <w:szCs w:val="19"/>
          <w:u w:val="single" w:color="auto"/>
          <w:color w:val="auto"/>
        </w:rPr>
        <w:t>Parties</w:t>
      </w:r>
      <w:r>
        <w:rPr>
          <w:rFonts w:ascii="Arial" w:cs="Arial" w:eastAsia="Arial" w:hAnsi="Arial"/>
          <w:sz w:val="19"/>
          <w:szCs w:val="19"/>
          <w:color w:val="auto"/>
        </w:rPr>
        <w:t>”). Capitalized, undefined terms used in this General Release shall have the meaning ascribed to them in the Executive Transition Agreement (the “</w:t>
      </w:r>
      <w:r>
        <w:rPr>
          <w:rFonts w:ascii="Arial" w:cs="Arial" w:eastAsia="Arial" w:hAnsi="Arial"/>
          <w:sz w:val="19"/>
          <w:szCs w:val="19"/>
          <w:u w:val="single" w:color="auto"/>
          <w:color w:val="auto"/>
        </w:rPr>
        <w:t>Transition Agreement</w:t>
      </w:r>
      <w:r>
        <w:rPr>
          <w:rFonts w:ascii="Arial" w:cs="Arial" w:eastAsia="Arial" w:hAnsi="Arial"/>
          <w:sz w:val="19"/>
          <w:szCs w:val="19"/>
          <w:color w:val="auto"/>
        </w:rPr>
        <w:t>”) between Executive and the Company dated October 20, 2023. In accordance with the terms and conditions set forth in the Transition Agreement, Executive agrees as follows:</w:t>
      </w:r>
    </w:p>
    <w:p>
      <w:pPr>
        <w:spacing w:after="0" w:line="177" w:lineRule="exact"/>
        <w:rPr>
          <w:sz w:val="20"/>
          <w:szCs w:val="20"/>
          <w:color w:val="auto"/>
        </w:rPr>
      </w:pPr>
    </w:p>
    <w:p>
      <w:pPr>
        <w:jc w:val="both"/>
        <w:ind w:left="2" w:firstLine="747"/>
        <w:spacing w:after="0" w:line="238" w:lineRule="auto"/>
        <w:tabs>
          <w:tab w:leader="none" w:pos="1311"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Execution and Effective Date</w:t>
      </w:r>
      <w:r>
        <w:rPr>
          <w:rFonts w:ascii="Arial" w:cs="Arial" w:eastAsia="Arial" w:hAnsi="Arial"/>
          <w:sz w:val="22"/>
          <w:szCs w:val="22"/>
          <w:color w:val="auto"/>
        </w:rPr>
        <w:t xml:space="preserve">. Executive understands and agrees that he will not be eligible to receive any of the payments and benefits specified in Section 4 of the Transition Agreement or the payments and benefits set forth in Section 5(b) of the Employment Agreement unless Executive executes this Agreement </w:t>
      </w:r>
      <w:r>
        <w:rPr>
          <w:rFonts w:ascii="Arial" w:cs="Arial" w:eastAsia="Arial" w:hAnsi="Arial"/>
          <w:sz w:val="22"/>
          <w:szCs w:val="22"/>
          <w:u w:val="single" w:color="auto"/>
          <w:color w:val="auto"/>
        </w:rPr>
        <w:t>on or after</w:t>
      </w:r>
      <w:r>
        <w:rPr>
          <w:rFonts w:ascii="Arial" w:cs="Arial" w:eastAsia="Arial" w:hAnsi="Arial"/>
          <w:sz w:val="22"/>
          <w:szCs w:val="22"/>
          <w:color w:val="auto"/>
        </w:rPr>
        <w:t xml:space="preserve"> the Transition Date and does not revoke this General Release in accordance with Section 9 herein.</w:t>
      </w:r>
    </w:p>
    <w:p>
      <w:pPr>
        <w:spacing w:after="0" w:line="211" w:lineRule="exact"/>
        <w:rPr>
          <w:rFonts w:ascii="Arial" w:cs="Arial" w:eastAsia="Arial" w:hAnsi="Arial"/>
          <w:sz w:val="22"/>
          <w:szCs w:val="22"/>
          <w:color w:val="auto"/>
        </w:rPr>
      </w:pPr>
    </w:p>
    <w:p>
      <w:pPr>
        <w:jc w:val="both"/>
        <w:ind w:left="2" w:firstLine="747"/>
        <w:spacing w:after="0" w:line="276" w:lineRule="auto"/>
        <w:tabs>
          <w:tab w:leader="none" w:pos="1311"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This General Release will become final, binding and enforceable on the eighth (8th) day after Executive signs this Agreement, provided that Executive does not revoke (cancel) this General Release during the seven</w:t>
      </w:r>
    </w:p>
    <w:p>
      <w:pPr>
        <w:spacing w:after="0" w:line="1" w:lineRule="exact"/>
        <w:rPr>
          <w:rFonts w:ascii="Arial" w:cs="Arial" w:eastAsia="Arial" w:hAnsi="Arial"/>
          <w:sz w:val="19"/>
          <w:szCs w:val="19"/>
          <w:color w:val="auto"/>
        </w:rPr>
      </w:pPr>
    </w:p>
    <w:p>
      <w:pPr>
        <w:ind w:left="302" w:hanging="302"/>
        <w:spacing w:after="0"/>
        <w:tabs>
          <w:tab w:leader="none" w:pos="302" w:val="left"/>
        </w:tabs>
        <w:numPr>
          <w:ilvl w:val="0"/>
          <w:numId w:val="57"/>
        </w:numPr>
        <w:rPr>
          <w:rFonts w:ascii="Arial" w:cs="Arial" w:eastAsia="Arial" w:hAnsi="Arial"/>
          <w:sz w:val="22"/>
          <w:szCs w:val="22"/>
          <w:color w:val="auto"/>
        </w:rPr>
      </w:pPr>
      <w:r>
        <w:rPr>
          <w:rFonts w:ascii="Arial" w:cs="Arial" w:eastAsia="Arial" w:hAnsi="Arial"/>
          <w:sz w:val="22"/>
          <w:szCs w:val="22"/>
          <w:color w:val="auto"/>
        </w:rPr>
        <w:t>day Revocation Period as defined in Section 9 of this Agreement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jc w:val="both"/>
        <w:ind w:left="2" w:firstLine="747"/>
        <w:spacing w:after="0" w:line="234" w:lineRule="auto"/>
        <w:tabs>
          <w:tab w:leader="none" w:pos="1311"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Consideration for the General Release</w:t>
      </w:r>
      <w:r>
        <w:rPr>
          <w:rFonts w:ascii="Arial" w:cs="Arial" w:eastAsia="Arial" w:hAnsi="Arial"/>
          <w:sz w:val="22"/>
          <w:szCs w:val="22"/>
          <w:color w:val="auto"/>
        </w:rPr>
        <w:t>. In accordance with Section 4 of the Transition Agreement and Section 5(b) of the Employment Agreement, the Parties agree that the payments and benefits and other consideration that will be provided to Executive under the Transition Agreement are in consideration for the release and waiver of any and all claims set forth in this General Release and all other promises and obligations made by Executive in this General Release and the Transition Agreement. Executive understands that the payments and benefits granted to him under the Transition Agreement represent, in part, consideration for signing this General Release, and are not salary, wages, or benefits to which he is already entitled.</w:t>
      </w:r>
    </w:p>
    <w:p>
      <w:pPr>
        <w:spacing w:after="0" w:line="231" w:lineRule="exact"/>
        <w:rPr>
          <w:rFonts w:ascii="Arial" w:cs="Arial" w:eastAsia="Arial" w:hAnsi="Arial"/>
          <w:sz w:val="22"/>
          <w:szCs w:val="22"/>
          <w:color w:val="auto"/>
        </w:rPr>
      </w:pPr>
    </w:p>
    <w:p>
      <w:pPr>
        <w:ind w:left="2" w:right="20" w:firstLine="747"/>
        <w:spacing w:after="0" w:line="239" w:lineRule="auto"/>
        <w:tabs>
          <w:tab w:leader="none" w:pos="1311"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General Release of Claims</w:t>
      </w:r>
      <w:r>
        <w:rPr>
          <w:rFonts w:ascii="Arial" w:cs="Arial" w:eastAsia="Arial" w:hAnsi="Arial"/>
          <w:sz w:val="22"/>
          <w:szCs w:val="22"/>
          <w:color w:val="auto"/>
        </w:rPr>
        <w:t>. Executive hereby KNOWINGLY AND VOLUNTARILY WAIVES, RELEASES AND DISCHARGES the Company, P10, and the</w:t>
      </w:r>
    </w:p>
    <w:p>
      <w:pPr>
        <w:jc w:val="both"/>
        <w:ind w:left="2"/>
        <w:spacing w:after="0" w:line="271" w:lineRule="auto"/>
        <w:rPr>
          <w:rFonts w:ascii="Arial" w:cs="Arial" w:eastAsia="Arial" w:hAnsi="Arial"/>
          <w:sz w:val="22"/>
          <w:szCs w:val="22"/>
          <w:color w:val="auto"/>
        </w:rPr>
      </w:pPr>
      <w:r>
        <w:rPr>
          <w:rFonts w:ascii="Arial" w:cs="Arial" w:eastAsia="Arial" w:hAnsi="Arial"/>
          <w:sz w:val="19"/>
          <w:szCs w:val="19"/>
          <w:color w:val="auto"/>
        </w:rPr>
        <w:t>Company’s past, present and future parent, subsidiary, affiliated, or related companies, including but not limited to P10 Holdings, Inc. and P10 Intermediate Holdings, Inc. (collectively, the “</w:t>
      </w:r>
      <w:r>
        <w:rPr>
          <w:rFonts w:ascii="Arial" w:cs="Arial" w:eastAsia="Arial" w:hAnsi="Arial"/>
          <w:sz w:val="19"/>
          <w:szCs w:val="19"/>
          <w:u w:val="single" w:color="auto"/>
          <w:color w:val="auto"/>
        </w:rPr>
        <w:t>Affiliated Entities</w:t>
      </w:r>
      <w:r>
        <w:rPr>
          <w:rFonts w:ascii="Arial" w:cs="Arial" w:eastAsia="Arial" w:hAnsi="Arial"/>
          <w:sz w:val="19"/>
          <w:szCs w:val="19"/>
          <w:color w:val="auto"/>
        </w:rPr>
        <w:t>”), together with each and all of their respective past, present and future shareholders, investors, officers, directors, partners, members, managers, principals, servants, employees, agents, contractors, representatives, attorneys, insurers, predecessors, successors, and assigns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and against any and all rights, claims, complaints, debts, losses, liabilities, demands, obligations, promises, acts, agreements, grievances, losses, arbitrations, defenses, actions, causes of action and/or damages, whether in law or in equity, known or unknown, accrued or unaccrued, direct or derivative, liquidated or unliquidated, and suspected or unsuspected, that are based upon facts, events, acts or omissions occurring on or before the date of this General Release, including, but not limited to, any matter or action related to Executive’s employment with or separation from the Company or any claims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200025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2"/>
          </w:cols>
          <w:pgMar w:left="538" w:top="396" w:right="499" w:bottom="1440" w:gutter="0" w:footer="0" w:header="0"/>
        </w:sectPr>
      </w:pPr>
    </w:p>
    <w:bookmarkStart w:id="87" w:name="page88"/>
    <w:bookmarkEnd w:id="87"/>
    <w:p>
      <w:pPr>
        <w:jc w:val="both"/>
        <w:ind w:left="140" w:right="20"/>
        <w:spacing w:after="0" w:line="244" w:lineRule="auto"/>
        <w:rPr>
          <w:sz w:val="20"/>
          <w:szCs w:val="20"/>
          <w:color w:val="auto"/>
        </w:rPr>
      </w:pPr>
      <w:r>
        <w:rPr>
          <w:rFonts w:ascii="Arial" w:cs="Arial" w:eastAsia="Arial" w:hAnsi="Arial"/>
          <w:sz w:val="21"/>
          <w:szCs w:val="21"/>
          <w:color w:val="auto"/>
        </w:rPr>
        <w:t>Employment Agreement. Executive understands and agrees that the release of claims contained in this Section includes, but is not limited to, any and all claims arising under any state or local laws, rules, regulations or ordinances, including but not limited to all claims arising under any federal laws, rules or regulations, including but not limited to, Title VII of the Civil Rights Act of 1964, the Civil Rights Act of 1866, the Family and Medical Leave Act, the Americans With Disabilities Act, the ADA Amendments Act, the Fair Labor Standards Act, the Age Discrimination in Employment Act, including the Older Workers Benefit Protection Act, the Genetic Information Nondiscrimination Act, the Employee Retirement Income Security Act, the Sarbanes-Oxley Act, the False Claims Act, the Dodd-Frank Wall Street Reform and Consumer Protection Act, the Texas Labor Code (specifically including the Texas Payday Act, the Texas Anti-Retaliation Act, and the Texas Commission on Human Rights Act), the Texas Whistleblower Act, and any other federal, state, or local laws, rules, or regulations, whether equal employment opportunity laws, rules, or regulations or otherwise that may be applicable to Executive during the term of his employment with the Company as well as any and all tort, contract, statutory or common law claims, matters or actions.</w:t>
      </w:r>
    </w:p>
    <w:p>
      <w:pPr>
        <w:spacing w:after="0" w:line="226" w:lineRule="exact"/>
        <w:rPr>
          <w:sz w:val="20"/>
          <w:szCs w:val="20"/>
          <w:color w:val="auto"/>
        </w:rPr>
      </w:pPr>
    </w:p>
    <w:p>
      <w:pPr>
        <w:jc w:val="both"/>
        <w:ind w:left="140" w:firstLine="746"/>
        <w:spacing w:after="0" w:line="271" w:lineRule="auto"/>
        <w:tabs>
          <w:tab w:leader="none" w:pos="145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Exceptions to Release</w:t>
      </w:r>
      <w:r>
        <w:rPr>
          <w:rFonts w:ascii="Arial" w:cs="Arial" w:eastAsia="Arial" w:hAnsi="Arial"/>
          <w:sz w:val="19"/>
          <w:szCs w:val="19"/>
          <w:color w:val="auto"/>
        </w:rPr>
        <w:t>. Notwithstanding the foregoing, Executive does not waive any rights Executive may have (i) under COBRA; (ii) to Executive’s currently vested rights under the Company’s benefit plans; (iii) to benefits and/or the right to seek benefits under applicable workers’ compensation and/or unemployment compensation statutes; to pursue claims which by law cannot be waived; (iv) for any claims arising after the date Executive signs this General Release; and (v) to his rights to indemnification from the Company as an officer or director whether pursuant to any agreement or by operation of law, including, without limitation, pursuant to the Employment Agreement. This General Release does not limit Executive’s ability to bring an administrative charge with an administrative agency, including the Equal Employment Opportunity Commission or a similar state or local agency, or with the National Labor Relations Board, but Executive expressly waives and releases any right to recover any type of personal relief from the Company, including monetary damages or reinstatement, in any administrative action or proceeding, whether federal, state, or local, and whether brought by Executive or on Executive’s behalf by an administrative agency, related in any way to the matters released in this General Release. Nothing in this Agreement is intended to or shall prevent, impede, or interfere with Executive’s non-waivable right, without prior notice to the Company, to provide information to the government, participate in investigations, file a complaint, testify in proceedings regarding the Company’s, P10’s, or Released Parties’ past or future conduct, or engage in any future activities protected under the whistleblower statutes, or to receive and fully retain a monetary award from a government-administered whistleblower award program for providing information directly to a government agency.</w:t>
      </w:r>
    </w:p>
    <w:p>
      <w:pPr>
        <w:spacing w:after="0" w:line="197" w:lineRule="exact"/>
        <w:rPr>
          <w:rFonts w:ascii="Arial" w:cs="Arial" w:eastAsia="Arial" w:hAnsi="Arial"/>
          <w:sz w:val="19"/>
          <w:szCs w:val="19"/>
          <w:color w:val="auto"/>
        </w:rPr>
      </w:pPr>
    </w:p>
    <w:p>
      <w:pPr>
        <w:jc w:val="both"/>
        <w:ind w:left="140" w:right="20" w:firstLine="747"/>
        <w:spacing w:after="0" w:line="248" w:lineRule="auto"/>
        <w:tabs>
          <w:tab w:leader="none" w:pos="1449"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Executive’s Affirmation</w:t>
      </w:r>
      <w:r>
        <w:rPr>
          <w:rFonts w:ascii="Arial" w:cs="Arial" w:eastAsia="Arial" w:hAnsi="Arial"/>
          <w:sz w:val="21"/>
          <w:szCs w:val="21"/>
          <w:color w:val="auto"/>
        </w:rPr>
        <w:t>. Executive affirms that as of the date of this General Release, he has been paid and/or has received all leave (paid or unpaid), compensation, wages, bonuses, commissions, and/or benefits to which he may be entitled, and that no other leave (paid or unpaid), compensation, wages, bonuses, commissions, and/or benefits are due to Executive except the compensation and benefits provided for in the Transition Agreement. Executive further affirms that he has not been retaliated against for reporting any allegations of wrongdoing by the Company, P10, the Affiliated Entities, or their officers, including any allegations of corporate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388" w:right="479" w:bottom="1440" w:gutter="0" w:footer="0" w:header="0"/>
        </w:sectPr>
      </w:pPr>
    </w:p>
    <w:bookmarkStart w:id="88" w:name="page89"/>
    <w:bookmarkEnd w:id="88"/>
    <w:p>
      <w:pPr>
        <w:ind w:left="140" w:right="20"/>
        <w:spacing w:after="0" w:line="250" w:lineRule="auto"/>
        <w:rPr>
          <w:sz w:val="20"/>
          <w:szCs w:val="20"/>
          <w:color w:val="auto"/>
        </w:rPr>
      </w:pPr>
      <w:r>
        <w:rPr>
          <w:rFonts w:ascii="Arial" w:cs="Arial" w:eastAsia="Arial" w:hAnsi="Arial"/>
          <w:sz w:val="22"/>
          <w:szCs w:val="22"/>
          <w:color w:val="auto"/>
        </w:rPr>
        <w:t>fraud or discriminated against based on Executive’s actual or perceived status in any protected class or status recognized by state or federal law.</w:t>
      </w:r>
    </w:p>
    <w:p>
      <w:pPr>
        <w:spacing w:after="0" w:line="215" w:lineRule="exact"/>
        <w:rPr>
          <w:sz w:val="20"/>
          <w:szCs w:val="20"/>
          <w:color w:val="auto"/>
        </w:rPr>
      </w:pPr>
    </w:p>
    <w:p>
      <w:pPr>
        <w:jc w:val="both"/>
        <w:ind w:left="140" w:firstLine="747"/>
        <w:spacing w:after="0" w:line="273" w:lineRule="auto"/>
        <w:tabs>
          <w:tab w:leader="none" w:pos="1449"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No Initiated Claims</w:t>
      </w:r>
      <w:r>
        <w:rPr>
          <w:rFonts w:ascii="Arial" w:cs="Arial" w:eastAsia="Arial" w:hAnsi="Arial"/>
          <w:sz w:val="19"/>
          <w:szCs w:val="19"/>
          <w:color w:val="auto"/>
        </w:rPr>
        <w:t>. Executive represents, warrants, and agrees that he has not filed any lawsuits or arbitrations against the Company, P10, Affiliated Entities, or any Released Parties, or filed or caused to be filed any claims, charges, or complaints against the Company, P10, Affiliated Entities, or any Released Parties, in any administrative, judicial, arbitral, or other forum, including any charges or complaints against the Company, P10, Affiliated Entities, or any Released Parties with any international, federal, state, or local agency charged with the enforcement of any law or any self-regulatory organization, and Executive is not aware of any factual or legal basis for any legitimate claim that the Company, P10, Affiliated Entities, or any Released Parties are in violation of any whistleblower, corporate compliance, or other regulatory obligation under international, federal, state, or local law, rule, or Company policy. Executive further represents, warrants, and agrees that if he were ever aware of any such basis for a legitimate claim against the Company, P10, Affiliated Entities, or any Related Parties, Executive informed the Company of same.</w:t>
      </w:r>
    </w:p>
    <w:p>
      <w:pPr>
        <w:spacing w:after="0" w:line="201" w:lineRule="exact"/>
        <w:rPr>
          <w:rFonts w:ascii="Arial" w:cs="Arial" w:eastAsia="Arial" w:hAnsi="Arial"/>
          <w:sz w:val="19"/>
          <w:szCs w:val="19"/>
          <w:color w:val="auto"/>
        </w:rPr>
      </w:pPr>
    </w:p>
    <w:p>
      <w:pPr>
        <w:jc w:val="both"/>
        <w:ind w:left="140" w:firstLine="747"/>
        <w:spacing w:after="0" w:line="234" w:lineRule="auto"/>
        <w:tabs>
          <w:tab w:leader="none" w:pos="1449"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AGE DISCRIMINATION IN EMPLOYMENT ACT AND OLDER WORKERS BENEFIT PROTECTION ACT DISCLOSURE</w:t>
      </w:r>
      <w:r>
        <w:rPr>
          <w:rFonts w:ascii="Arial" w:cs="Arial" w:eastAsia="Arial" w:hAnsi="Arial"/>
          <w:sz w:val="22"/>
          <w:szCs w:val="22"/>
          <w:color w:val="auto"/>
        </w:rPr>
        <w:t>. THIS GENERAL RELEASE SPECIFICALLY WAIVES ALL OF EXECUTIVE’S CLAIMS ARISING UNDER THE AGE DISCRIMINATION IN EMPLOYMENT ACT OF 1967 (29 U.S.C. § 621 et seq.), AS AMENDED, AND THE OLDER</w:t>
      </w:r>
    </w:p>
    <w:p>
      <w:pPr>
        <w:spacing w:after="0" w:line="3" w:lineRule="exact"/>
        <w:rPr>
          <w:rFonts w:ascii="Arial" w:cs="Arial" w:eastAsia="Arial" w:hAnsi="Arial"/>
          <w:sz w:val="22"/>
          <w:szCs w:val="22"/>
          <w:color w:val="auto"/>
        </w:rPr>
      </w:pPr>
    </w:p>
    <w:p>
      <w:pPr>
        <w:ind w:left="140" w:right="20"/>
        <w:spacing w:after="0" w:line="236" w:lineRule="auto"/>
        <w:rPr>
          <w:rFonts w:ascii="Arial" w:cs="Arial" w:eastAsia="Arial" w:hAnsi="Arial"/>
          <w:sz w:val="22"/>
          <w:szCs w:val="22"/>
          <w:color w:val="auto"/>
        </w:rPr>
      </w:pPr>
      <w:r>
        <w:rPr>
          <w:rFonts w:ascii="Arial" w:cs="Arial" w:eastAsia="Arial" w:hAnsi="Arial"/>
          <w:sz w:val="22"/>
          <w:szCs w:val="22"/>
          <w:color w:val="auto"/>
        </w:rPr>
        <w:t>WORKERS BENEFIT PROTECTION ACT, AS AMENDED. In order to comply with statutory requirements in connection with this waiver, by Executive’s signature below Executive acknowledges and agrees that:</w:t>
      </w:r>
    </w:p>
    <w:p>
      <w:pPr>
        <w:spacing w:after="0" w:line="200" w:lineRule="exact"/>
        <w:rPr>
          <w:sz w:val="20"/>
          <w:szCs w:val="20"/>
          <w:color w:val="auto"/>
        </w:rPr>
      </w:pPr>
    </w:p>
    <w:p>
      <w:pPr>
        <w:jc w:val="both"/>
        <w:ind w:left="140" w:firstLine="1507"/>
        <w:spacing w:after="0" w:line="250" w:lineRule="auto"/>
        <w:rPr>
          <w:sz w:val="20"/>
          <w:szCs w:val="20"/>
          <w:color w:val="auto"/>
        </w:rPr>
      </w:pPr>
      <w:r>
        <w:rPr>
          <w:sz w:val="1"/>
          <w:szCs w:val="1"/>
          <w:color w:val="auto"/>
        </w:rPr>
        <w:drawing>
          <wp:inline distT="0" distB="0" distL="0" distR="0">
            <wp:extent cx="145415" cy="12827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145415" cy="128270"/>
                    </a:xfrm>
                    <a:prstGeom prst="rect">
                      <a:avLst/>
                    </a:prstGeom>
                    <a:noFill/>
                    <a:ln>
                      <a:noFill/>
                    </a:ln>
                  </pic:spPr>
                </pic:pic>
              </a:graphicData>
            </a:graphic>
          </wp:inline>
        </w:drawing>
      </w:r>
      <w:r>
        <w:rPr>
          <w:rFonts w:ascii="Arial" w:cs="Arial" w:eastAsia="Arial" w:hAnsi="Arial"/>
          <w:sz w:val="22"/>
          <w:szCs w:val="22"/>
          <w:color w:val="auto"/>
        </w:rPr>
        <w:t xml:space="preserve"> Executive is waiving rights or claims under the Age Discrimination in Employment Act in exchange for consideration that is in addition to anything of value to which he is already entitled;</w:t>
      </w:r>
    </w:p>
    <w:p>
      <w:pPr>
        <w:spacing w:after="0" w:line="188" w:lineRule="exact"/>
        <w:rPr>
          <w:sz w:val="20"/>
          <w:szCs w:val="20"/>
          <w:color w:val="auto"/>
        </w:rPr>
      </w:pPr>
    </w:p>
    <w:p>
      <w:pPr>
        <w:jc w:val="both"/>
        <w:ind w:left="140" w:right="20" w:firstLine="1507"/>
        <w:spacing w:after="0"/>
        <w:rPr>
          <w:sz w:val="20"/>
          <w:szCs w:val="20"/>
          <w:color w:val="auto"/>
        </w:rPr>
      </w:pPr>
      <w:r>
        <w:rPr>
          <w:sz w:val="1"/>
          <w:szCs w:val="1"/>
          <w:color w:val="auto"/>
        </w:rPr>
        <w:drawing>
          <wp:inline distT="0" distB="0" distL="0" distR="0">
            <wp:extent cx="154305" cy="12890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Arial" w:cs="Arial" w:eastAsia="Arial" w:hAnsi="Arial"/>
          <w:sz w:val="22"/>
          <w:szCs w:val="22"/>
          <w:color w:val="auto"/>
        </w:rPr>
        <w:t xml:space="preserve"> Executive has been encouraged in writing (and is hereby encouraged in writing) to review this General Release with an attorney prior to executing it, and that he has had sufficient opportunity to consult with an attorney prior to executing this General Release;</w:t>
      </w:r>
    </w:p>
    <w:p>
      <w:pPr>
        <w:spacing w:after="0" w:line="200" w:lineRule="exact"/>
        <w:rPr>
          <w:sz w:val="20"/>
          <w:szCs w:val="20"/>
          <w:color w:val="auto"/>
        </w:rPr>
      </w:pPr>
    </w:p>
    <w:p>
      <w:pPr>
        <w:jc w:val="both"/>
        <w:ind w:left="140" w:firstLine="1507"/>
        <w:spacing w:after="0"/>
        <w:rPr>
          <w:sz w:val="20"/>
          <w:szCs w:val="20"/>
          <w:color w:val="auto"/>
        </w:rPr>
      </w:pPr>
      <w:r>
        <w:rPr>
          <w:sz w:val="1"/>
          <w:szCs w:val="1"/>
          <w:color w:val="auto"/>
        </w:rPr>
        <w:drawing>
          <wp:inline distT="0" distB="0" distL="0" distR="0">
            <wp:extent cx="145415" cy="12827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145415" cy="128270"/>
                    </a:xfrm>
                    <a:prstGeom prst="rect">
                      <a:avLst/>
                    </a:prstGeom>
                    <a:noFill/>
                    <a:ln>
                      <a:noFill/>
                    </a:ln>
                  </pic:spPr>
                </pic:pic>
              </a:graphicData>
            </a:graphic>
          </wp:inline>
        </w:drawing>
      </w:r>
      <w:r>
        <w:rPr>
          <w:rFonts w:ascii="Arial" w:cs="Arial" w:eastAsia="Arial" w:hAnsi="Arial"/>
          <w:sz w:val="22"/>
          <w:szCs w:val="22"/>
          <w:color w:val="auto"/>
        </w:rPr>
        <w:t xml:space="preserve"> Executive has carefully read and fully understand all of the provisions and effects of this General Release knowingly and voluntarily (and of his/her own free will) has entered into all of the terms set forth in this General Release;</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Executive knowingly and voluntarily intend to be legally bound by all of the terms set forth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-147955</wp:posOffset>
            </wp:positionV>
            <wp:extent cx="154305"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22"/>
          <w:szCs w:val="22"/>
          <w:color w:val="auto"/>
        </w:rPr>
        <w:t>General Release;</w:t>
      </w:r>
    </w:p>
    <w:p>
      <w:pPr>
        <w:spacing w:after="0" w:line="242" w:lineRule="exact"/>
        <w:rPr>
          <w:sz w:val="20"/>
          <w:szCs w:val="20"/>
          <w:color w:val="auto"/>
        </w:rPr>
      </w:pPr>
    </w:p>
    <w:p>
      <w:pPr>
        <w:jc w:val="both"/>
        <w:ind w:left="140" w:right="20" w:firstLine="1507"/>
        <w:spacing w:after="0" w:line="250" w:lineRule="auto"/>
        <w:rPr>
          <w:sz w:val="20"/>
          <w:szCs w:val="20"/>
          <w:color w:val="auto"/>
        </w:rPr>
      </w:pPr>
      <w:r>
        <w:rPr>
          <w:sz w:val="1"/>
          <w:szCs w:val="1"/>
          <w:color w:val="auto"/>
        </w:rPr>
        <w:drawing>
          <wp:inline distT="0" distB="0" distL="0" distR="0">
            <wp:extent cx="145415" cy="12890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r>
        <w:rPr>
          <w:rFonts w:ascii="Arial" w:cs="Arial" w:eastAsia="Arial" w:hAnsi="Arial"/>
          <w:sz w:val="22"/>
          <w:szCs w:val="22"/>
          <w:color w:val="auto"/>
        </w:rPr>
        <w:t xml:space="preserve"> Executive relied solely and completely upon his/her own judgment or the advice of his attorney in entering into this General Release;</w:t>
      </w:r>
    </w:p>
    <w:p>
      <w:pPr>
        <w:spacing w:after="0" w:line="229" w:lineRule="exact"/>
        <w:rPr>
          <w:sz w:val="20"/>
          <w:szCs w:val="20"/>
          <w:color w:val="auto"/>
        </w:rPr>
      </w:pPr>
    </w:p>
    <w:p>
      <w:pPr>
        <w:jc w:val="both"/>
        <w:ind w:left="140" w:firstLine="1507"/>
        <w:spacing w:after="0"/>
        <w:rPr>
          <w:sz w:val="20"/>
          <w:szCs w:val="20"/>
          <w:color w:val="auto"/>
        </w:rPr>
      </w:pPr>
      <w:r>
        <w:rPr>
          <w:sz w:val="1"/>
          <w:szCs w:val="1"/>
          <w:color w:val="auto"/>
        </w:rPr>
        <w:drawing>
          <wp:inline distT="0" distB="0" distL="0" distR="0">
            <wp:extent cx="128905" cy="12890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Executive has been given at least twenty-one (21) days to consider the terms of this General Release before signing it, and acknowledge that any changes to the terms or conditions of this General Release (whether material or immaterial) will not restart the running of the twenty-one-day period; and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388" w:right="499" w:bottom="1440" w:gutter="0" w:footer="0" w:header="0"/>
        </w:sectPr>
      </w:pPr>
    </w:p>
    <w:bookmarkStart w:id="89" w:name="page90"/>
    <w:bookmarkEnd w:id="89"/>
    <w:p>
      <w:pPr>
        <w:jc w:val="both"/>
        <w:ind w:left="140" w:firstLine="1507"/>
        <w:spacing w:after="0" w:line="236" w:lineRule="auto"/>
        <w:rPr>
          <w:sz w:val="20"/>
          <w:szCs w:val="20"/>
          <w:color w:val="auto"/>
        </w:rPr>
      </w:pPr>
      <w:r>
        <w:rPr>
          <w:sz w:val="1"/>
          <w:szCs w:val="1"/>
          <w:color w:val="auto"/>
        </w:rPr>
        <w:drawing>
          <wp:inline distT="0" distB="0" distL="0" distR="0">
            <wp:extent cx="154305" cy="12890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Arial" w:cs="Arial" w:eastAsia="Arial" w:hAnsi="Arial"/>
          <w:sz w:val="22"/>
          <w:szCs w:val="22"/>
          <w:color w:val="auto"/>
        </w:rPr>
        <w:t xml:space="preserve"> Executive may execute this General Release prior to the end of the twenty- one (21) day time period referenced above but, if he does so, in accordance with 29 CFR § 1625.22(e)(6), he knowingly and voluntarily decided to sign the General Release after considering it for fewer than twenty-one (21) days and such decision was not induced by the Company in any way, including by fraud, misrepresentation, or a threat to withdraw or alter the offer prior to the expiration of the twenty-one-day time period.</w:t>
      </w:r>
    </w:p>
    <w:p>
      <w:pPr>
        <w:spacing w:after="0" w:line="228" w:lineRule="exact"/>
        <w:rPr>
          <w:sz w:val="20"/>
          <w:szCs w:val="20"/>
          <w:color w:val="auto"/>
        </w:rPr>
      </w:pPr>
    </w:p>
    <w:p>
      <w:pPr>
        <w:jc w:val="both"/>
        <w:ind w:left="140" w:firstLine="747"/>
        <w:spacing w:after="0" w:line="234" w:lineRule="auto"/>
        <w:tabs>
          <w:tab w:leader="none" w:pos="1449"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Revocation Rights</w:t>
      </w:r>
      <w:r>
        <w:rPr>
          <w:rFonts w:ascii="Arial" w:cs="Arial" w:eastAsia="Arial" w:hAnsi="Arial"/>
          <w:sz w:val="22"/>
          <w:szCs w:val="22"/>
          <w:color w:val="auto"/>
        </w:rPr>
        <w:t>. Executive acknowledges and agrees that for a period of seven (7) days following the date the Executive signs this General Release he may revoke his consent to this Agreement (the “</w:t>
      </w:r>
      <w:r>
        <w:rPr>
          <w:rFonts w:ascii="Arial" w:cs="Arial" w:eastAsia="Arial" w:hAnsi="Arial"/>
          <w:sz w:val="22"/>
          <w:szCs w:val="22"/>
          <w:u w:val="single" w:color="auto"/>
          <w:color w:val="auto"/>
        </w:rPr>
        <w:t>Revocation Period</w:t>
      </w:r>
      <w:r>
        <w:rPr>
          <w:rFonts w:ascii="Arial" w:cs="Arial" w:eastAsia="Arial" w:hAnsi="Arial"/>
          <w:sz w:val="22"/>
          <w:szCs w:val="22"/>
          <w:color w:val="auto"/>
        </w:rPr>
        <w:t>”) which they may do by sending notice of such revocation to Amanda Coussens, Chief Financial Officer of P10. Executive further acknowledges that this General Release shall not become effective or enforceable until after the seven-day Revocation Period has expired. Executive understands and agrees that if Executive revokes this General Release before the end of the Revocation Period, Executive shall not receive the compensation and benefits set forth in Section 4 of the Transition Agreement.</w:t>
      </w:r>
    </w:p>
    <w:p>
      <w:pPr>
        <w:spacing w:after="0" w:line="217" w:lineRule="exact"/>
        <w:rPr>
          <w:rFonts w:ascii="Arial" w:cs="Arial" w:eastAsia="Arial" w:hAnsi="Arial"/>
          <w:sz w:val="22"/>
          <w:szCs w:val="22"/>
          <w:color w:val="auto"/>
        </w:rPr>
      </w:pPr>
    </w:p>
    <w:p>
      <w:pPr>
        <w:jc w:val="both"/>
        <w:ind w:left="140" w:firstLine="747"/>
        <w:spacing w:after="0" w:line="246" w:lineRule="auto"/>
        <w:tabs>
          <w:tab w:leader="none" w:pos="1449"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No Admission of Liability</w:t>
      </w:r>
      <w:r>
        <w:rPr>
          <w:rFonts w:ascii="Arial" w:cs="Arial" w:eastAsia="Arial" w:hAnsi="Arial"/>
          <w:sz w:val="21"/>
          <w:szCs w:val="21"/>
          <w:color w:val="auto"/>
        </w:rPr>
        <w:t>. Neither the payment of any consideration under this General Release, nor the execution or delivery of this General Release shall in any way constitute or be construed as an admission, express or implied, by the Company or Executive of any improper actions or liability. The parties each specifically deny and disclaim any alleged liability or wrongdoing. Nothing contained in this General Release shall acknowledge or imply that either Executive or the Company violated any federal, state or local laws, rules, regulations or ordinances. Executive hereby acknowledges, promises and represents that Executive has no knowledge of any fraud, illegal activity or violation of federal, state or local law by the Company.</w:t>
      </w:r>
    </w:p>
    <w:p>
      <w:pPr>
        <w:spacing w:after="0" w:line="224" w:lineRule="exact"/>
        <w:rPr>
          <w:rFonts w:ascii="Arial" w:cs="Arial" w:eastAsia="Arial" w:hAnsi="Arial"/>
          <w:sz w:val="21"/>
          <w:szCs w:val="21"/>
          <w:color w:val="auto"/>
        </w:rPr>
      </w:pPr>
    </w:p>
    <w:p>
      <w:pPr>
        <w:ind w:left="1440" w:hanging="553"/>
        <w:spacing w:after="0"/>
        <w:tabs>
          <w:tab w:leader="none" w:pos="144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The provisions of this General Release shall be construed in accordance with the laws of the</w:t>
      </w:r>
    </w:p>
    <w:p>
      <w:pPr>
        <w:spacing w:after="0" w:line="42" w:lineRule="exact"/>
        <w:rPr>
          <w:rFonts w:ascii="Arial" w:cs="Arial" w:eastAsia="Arial" w:hAnsi="Arial"/>
          <w:sz w:val="19"/>
          <w:szCs w:val="19"/>
          <w:color w:val="auto"/>
        </w:rPr>
      </w:pPr>
    </w:p>
    <w:p>
      <w:pPr>
        <w:ind w:left="140"/>
        <w:spacing w:after="0"/>
        <w:rPr>
          <w:rFonts w:ascii="Arial" w:cs="Arial" w:eastAsia="Arial" w:hAnsi="Arial"/>
          <w:sz w:val="19"/>
          <w:szCs w:val="19"/>
          <w:color w:val="auto"/>
        </w:rPr>
      </w:pPr>
      <w:r>
        <w:rPr>
          <w:rFonts w:ascii="Arial" w:cs="Arial" w:eastAsia="Arial" w:hAnsi="Arial"/>
          <w:sz w:val="22"/>
          <w:szCs w:val="22"/>
          <w:color w:val="auto"/>
        </w:rPr>
        <w:t>State of Texas.</w:t>
      </w:r>
    </w:p>
    <w:p>
      <w:pPr>
        <w:spacing w:after="0" w:line="228" w:lineRule="exact"/>
        <w:rPr>
          <w:rFonts w:ascii="Arial" w:cs="Arial" w:eastAsia="Arial" w:hAnsi="Arial"/>
          <w:sz w:val="19"/>
          <w:szCs w:val="19"/>
          <w:color w:val="auto"/>
        </w:rPr>
      </w:pPr>
    </w:p>
    <w:p>
      <w:pPr>
        <w:ind w:left="140" w:right="20" w:firstLine="747"/>
        <w:spacing w:after="0" w:line="250" w:lineRule="auto"/>
        <w:tabs>
          <w:tab w:leader="none" w:pos="1449"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General Release may not be altered, amended, modified, superseded, canceled or terminated except by an express written agreement duly executed by all of the Parties.</w:t>
      </w:r>
    </w:p>
    <w:p>
      <w:pPr>
        <w:spacing w:after="0" w:line="201" w:lineRule="exact"/>
        <w:rPr>
          <w:rFonts w:ascii="Arial" w:cs="Arial" w:eastAsia="Arial" w:hAnsi="Arial"/>
          <w:sz w:val="22"/>
          <w:szCs w:val="22"/>
          <w:color w:val="auto"/>
        </w:rPr>
      </w:pPr>
    </w:p>
    <w:p>
      <w:pPr>
        <w:jc w:val="both"/>
        <w:ind w:left="140" w:firstLine="746"/>
        <w:spacing w:after="0" w:line="279" w:lineRule="auto"/>
        <w:tabs>
          <w:tab w:leader="none" w:pos="145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Modification; Severability</w:t>
      </w:r>
      <w:r>
        <w:rPr>
          <w:rFonts w:ascii="Arial" w:cs="Arial" w:eastAsia="Arial" w:hAnsi="Arial"/>
          <w:sz w:val="19"/>
          <w:szCs w:val="19"/>
          <w:color w:val="auto"/>
        </w:rPr>
        <w:t>. If any of the provisions, terms, clauses, waivers or releases of claims and rights contained in this General Release are declared illegal, unenforceable, or ineffective in a legal forum of competent jurisdiction, such provisions, terms, clauses, waivers or releases of claims or rights shall be modified, if possible, in order to achieve, to the extent possible, the intentions of the parties and, if necessary, such provisions, terms clauses, waivers and releases of claims and rights shall be deemed severable, such that all other provisions, terms, clauses and waivers and releases of claims and rights contained in this General Release shall remain valid and binding upon both parties.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402" w:right="499" w:bottom="1440" w:gutter="0" w:footer="0" w:header="0"/>
        </w:sectPr>
      </w:pPr>
    </w:p>
    <w:bookmarkStart w:id="90" w:name="page91"/>
    <w:bookmarkEnd w:id="90"/>
    <w:p>
      <w:pPr>
        <w:jc w:val="center"/>
        <w:ind w:right="-139"/>
        <w:spacing w:after="0"/>
        <w:rPr>
          <w:sz w:val="20"/>
          <w:szCs w:val="20"/>
          <w:color w:val="auto"/>
        </w:rPr>
      </w:pPr>
      <w:r>
        <w:rPr>
          <w:rFonts w:ascii="Arial" w:cs="Arial" w:eastAsia="Arial" w:hAnsi="Arial"/>
          <w:sz w:val="22"/>
          <w:szCs w:val="22"/>
          <w:b w:val="1"/>
          <w:bCs w:val="1"/>
          <w:i w:val="1"/>
          <w:iCs w:val="1"/>
          <w:u w:val="single" w:color="auto"/>
          <w:color w:val="auto"/>
        </w:rPr>
        <w:t>READ CAREFULLY BEFORE SIGNING</w:t>
      </w:r>
    </w:p>
    <w:p>
      <w:pPr>
        <w:spacing w:after="0" w:line="241" w:lineRule="exact"/>
        <w:rPr>
          <w:sz w:val="20"/>
          <w:szCs w:val="20"/>
          <w:color w:val="auto"/>
        </w:rPr>
      </w:pPr>
    </w:p>
    <w:p>
      <w:pPr>
        <w:jc w:val="both"/>
        <w:ind w:left="140"/>
        <w:spacing w:after="0" w:line="245" w:lineRule="auto"/>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his is a legally binding document</w:t>
      </w:r>
      <w:r>
        <w:rPr>
          <w:rFonts w:ascii="Arial" w:cs="Arial" w:eastAsia="Arial" w:hAnsi="Arial"/>
          <w:sz w:val="22"/>
          <w:szCs w:val="22"/>
          <w:b w:val="1"/>
          <w:bCs w:val="1"/>
          <w:color w:val="auto"/>
        </w:rPr>
        <w:t>. T</w:t>
      </w:r>
      <w:r>
        <w:rPr>
          <w:rFonts w:ascii="Arial" w:cs="Arial" w:eastAsia="Arial" w:hAnsi="Arial"/>
          <w:sz w:val="14"/>
          <w:szCs w:val="14"/>
          <w:b w:val="1"/>
          <w:bCs w:val="1"/>
          <w:color w:val="auto"/>
        </w:rPr>
        <w:t>his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contains a release and waiver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22"/>
          <w:szCs w:val="22"/>
          <w:b w:val="1"/>
          <w:bCs w:val="1"/>
          <w:color w:val="auto"/>
        </w:rPr>
        <w:t>’</w:t>
      </w:r>
      <w:r>
        <w:rPr>
          <w:rFonts w:ascii="Arial" w:cs="Arial" w:eastAsia="Arial" w:hAnsi="Arial"/>
          <w:sz w:val="14"/>
          <w:szCs w:val="14"/>
          <w:b w:val="1"/>
          <w:bCs w:val="1"/>
          <w:color w:val="auto"/>
        </w:rPr>
        <w:t>s rights under</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federal</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state and local laws</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rules</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regulations and ordinances</w:t>
      </w:r>
      <w:r>
        <w:rPr>
          <w:rFonts w:ascii="Arial" w:cs="Arial" w:eastAsia="Arial" w:hAnsi="Arial"/>
          <w:sz w:val="21"/>
          <w:szCs w:val="21"/>
          <w:b w:val="1"/>
          <w:bCs w:val="1"/>
          <w:color w:val="auto"/>
        </w:rPr>
        <w:t>. B</w:t>
      </w:r>
      <w:r>
        <w:rPr>
          <w:rFonts w:ascii="Arial" w:cs="Arial" w:eastAsia="Arial" w:hAnsi="Arial"/>
          <w:sz w:val="14"/>
          <w:szCs w:val="14"/>
          <w:b w:val="1"/>
          <w:bCs w:val="1"/>
          <w:color w:val="auto"/>
        </w:rPr>
        <w:t xml:space="preserve">y signing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 E</w:t>
      </w:r>
      <w:r>
        <w:rPr>
          <w:rFonts w:ascii="Arial" w:cs="Arial" w:eastAsia="Arial" w:hAnsi="Arial"/>
          <w:sz w:val="14"/>
          <w:szCs w:val="14"/>
          <w:b w:val="1"/>
          <w:bCs w:val="1"/>
          <w:color w:val="auto"/>
        </w:rPr>
        <w:t xml:space="preserve">xecutive understands that </w:t>
      </w:r>
      <w:r>
        <w:rPr>
          <w:rFonts w:ascii="Arial" w:cs="Arial" w:eastAsia="Arial" w:hAnsi="Arial"/>
          <w:sz w:val="21"/>
          <w:szCs w:val="21"/>
          <w:b w:val="1"/>
          <w:bCs w:val="1"/>
          <w:color w:val="auto"/>
        </w:rPr>
        <w:t>E</w:t>
      </w:r>
      <w:r>
        <w:rPr>
          <w:rFonts w:ascii="Arial" w:cs="Arial" w:eastAsia="Arial" w:hAnsi="Arial"/>
          <w:sz w:val="14"/>
          <w:szCs w:val="14"/>
          <w:b w:val="1"/>
          <w:bCs w:val="1"/>
          <w:color w:val="auto"/>
        </w:rPr>
        <w:t xml:space="preserve">xecutive is waiving any and all rights </w:t>
      </w:r>
      <w:r>
        <w:rPr>
          <w:rFonts w:ascii="Arial" w:cs="Arial" w:eastAsia="Arial" w:hAnsi="Arial"/>
          <w:sz w:val="21"/>
          <w:szCs w:val="21"/>
          <w:b w:val="1"/>
          <w:bCs w:val="1"/>
          <w:color w:val="auto"/>
        </w:rPr>
        <w:t>E</w:t>
      </w:r>
      <w:r>
        <w:rPr>
          <w:rFonts w:ascii="Arial" w:cs="Arial" w:eastAsia="Arial" w:hAnsi="Arial"/>
          <w:sz w:val="14"/>
          <w:szCs w:val="14"/>
          <w:b w:val="1"/>
          <w:bCs w:val="1"/>
          <w:color w:val="auto"/>
        </w:rPr>
        <w:t>xecutive has</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had</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may have or may have had against the </w:t>
      </w:r>
      <w:r>
        <w:rPr>
          <w:rFonts w:ascii="Arial" w:cs="Arial" w:eastAsia="Arial" w:hAnsi="Arial"/>
          <w:sz w:val="21"/>
          <w:szCs w:val="21"/>
          <w:b w:val="1"/>
          <w:bCs w:val="1"/>
          <w:color w:val="auto"/>
        </w:rPr>
        <w:t>C</w:t>
      </w:r>
      <w:r>
        <w:rPr>
          <w:rFonts w:ascii="Arial" w:cs="Arial" w:eastAsia="Arial" w:hAnsi="Arial"/>
          <w:sz w:val="14"/>
          <w:szCs w:val="14"/>
          <w:b w:val="1"/>
          <w:bCs w:val="1"/>
          <w:color w:val="auto"/>
        </w:rPr>
        <w:t>ompany under such laws</w:t>
      </w:r>
      <w:r>
        <w:rPr>
          <w:rFonts w:ascii="Arial" w:cs="Arial" w:eastAsia="Arial" w:hAnsi="Arial"/>
          <w:sz w:val="21"/>
          <w:szCs w:val="21"/>
          <w:b w:val="1"/>
          <w:bCs w:val="1"/>
          <w:color w:val="auto"/>
        </w:rPr>
        <w:t>. B</w:t>
      </w:r>
      <w:r>
        <w:rPr>
          <w:rFonts w:ascii="Arial" w:cs="Arial" w:eastAsia="Arial" w:hAnsi="Arial"/>
          <w:sz w:val="14"/>
          <w:szCs w:val="14"/>
          <w:b w:val="1"/>
          <w:bCs w:val="1"/>
          <w:color w:val="auto"/>
        </w:rPr>
        <w:t>efore signing</w:t>
      </w:r>
      <w:r>
        <w:rPr>
          <w:rFonts w:ascii="Arial" w:cs="Arial" w:eastAsia="Arial" w:hAnsi="Arial"/>
          <w:sz w:val="21"/>
          <w:szCs w:val="21"/>
          <w:b w:val="1"/>
          <w:bCs w:val="1"/>
          <w:color w:val="auto"/>
        </w:rPr>
        <w:t>, E</w:t>
      </w:r>
      <w:r>
        <w:rPr>
          <w:rFonts w:ascii="Arial" w:cs="Arial" w:eastAsia="Arial" w:hAnsi="Arial"/>
          <w:sz w:val="14"/>
          <w:szCs w:val="14"/>
          <w:b w:val="1"/>
          <w:bCs w:val="1"/>
          <w:color w:val="auto"/>
        </w:rPr>
        <w:t xml:space="preserve">xecutive should review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 xml:space="preserve">greement carefully and seek the advice of an attorney to discuss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 xml:space="preserve">greement including the legal effect of signing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 B</w:t>
      </w:r>
      <w:r>
        <w:rPr>
          <w:rFonts w:ascii="Arial" w:cs="Arial" w:eastAsia="Arial" w:hAnsi="Arial"/>
          <w:sz w:val="14"/>
          <w:szCs w:val="14"/>
          <w:b w:val="1"/>
          <w:bCs w:val="1"/>
          <w:color w:val="auto"/>
        </w:rPr>
        <w:t>y signing below</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21"/>
          <w:szCs w:val="21"/>
          <w:b w:val="1"/>
          <w:bCs w:val="1"/>
          <w:color w:val="auto"/>
        </w:rPr>
        <w:t>P</w:t>
      </w:r>
      <w:r>
        <w:rPr>
          <w:rFonts w:ascii="Arial" w:cs="Arial" w:eastAsia="Arial" w:hAnsi="Arial"/>
          <w:sz w:val="14"/>
          <w:szCs w:val="14"/>
          <w:b w:val="1"/>
          <w:bCs w:val="1"/>
          <w:color w:val="auto"/>
        </w:rPr>
        <w:t xml:space="preserve">arties represent to each other that they have reviewed and discussed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 with an attorney</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have satisfied themselves that they fully understand the terms of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and are voluntarily executing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 only after such consultation</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Robert Alpert</w:t>
      </w:r>
    </w:p>
    <w:p>
      <w:pPr>
        <w:spacing w:after="0" w:line="38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16"/>
          <w:szCs w:val="16"/>
          <w:color w:val="auto"/>
        </w:rPr>
        <w:t>10/20/2023 | 5:29 PM EDT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388" w:right="49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b w:val="1"/>
          <w:bCs w:val="1"/>
          <w:color w:val="auto"/>
        </w:rPr>
        <w:t>EXECUTIVE TRANSITION AGREEMENT</w:t>
      </w:r>
    </w:p>
    <w:p>
      <w:pPr>
        <w:spacing w:after="0" w:line="240" w:lineRule="exact"/>
        <w:rPr>
          <w:sz w:val="20"/>
          <w:szCs w:val="20"/>
          <w:color w:val="auto"/>
        </w:rPr>
      </w:pPr>
    </w:p>
    <w:p>
      <w:pPr>
        <w:jc w:val="both"/>
        <w:ind w:firstLine="747"/>
        <w:spacing w:after="0" w:line="238" w:lineRule="auto"/>
        <w:rPr>
          <w:sz w:val="20"/>
          <w:szCs w:val="20"/>
          <w:color w:val="auto"/>
        </w:rPr>
      </w:pPr>
      <w:r>
        <w:rPr>
          <w:rFonts w:ascii="Arial" w:cs="Arial" w:eastAsia="Arial" w:hAnsi="Arial"/>
          <w:sz w:val="22"/>
          <w:szCs w:val="22"/>
          <w:color w:val="auto"/>
        </w:rPr>
        <w:t>This Executive Transition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October 20, 2023 by and between C. Clark Webb (the “</w:t>
      </w:r>
      <w:r>
        <w:rPr>
          <w:rFonts w:ascii="Arial" w:cs="Arial" w:eastAsia="Arial" w:hAnsi="Arial"/>
          <w:sz w:val="22"/>
          <w:szCs w:val="22"/>
          <w:u w:val="single" w:color="auto"/>
          <w:color w:val="auto"/>
        </w:rPr>
        <w:t>Executive</w:t>
      </w:r>
      <w:r>
        <w:rPr>
          <w:rFonts w:ascii="Arial" w:cs="Arial" w:eastAsia="Arial" w:hAnsi="Arial"/>
          <w:sz w:val="22"/>
          <w:szCs w:val="22"/>
          <w:color w:val="auto"/>
        </w:rPr>
        <w:t>”) and P10 Intermediate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on behalf of it and its parent, subsidiaries, successors, and assigns, including but not limited to P10, Inc. (“</w:t>
      </w:r>
      <w:r>
        <w:rPr>
          <w:rFonts w:ascii="Arial" w:cs="Arial" w:eastAsia="Arial" w:hAnsi="Arial"/>
          <w:sz w:val="22"/>
          <w:szCs w:val="22"/>
          <w:u w:val="single" w:color="auto"/>
          <w:color w:val="auto"/>
        </w:rPr>
        <w:t>P10</w:t>
      </w:r>
      <w:r>
        <w:rPr>
          <w:rFonts w:ascii="Arial" w:cs="Arial" w:eastAsia="Arial" w:hAnsi="Arial"/>
          <w:sz w:val="22"/>
          <w:szCs w:val="22"/>
          <w:color w:val="auto"/>
        </w:rPr>
        <w:t>”) (collectively with Executive,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firstLine="747"/>
        <w:spacing w:after="0" w:line="328" w:lineRule="auto"/>
        <w:rPr>
          <w:sz w:val="20"/>
          <w:szCs w:val="20"/>
          <w:color w:val="auto"/>
        </w:rPr>
      </w:pPr>
      <w:r>
        <w:rPr>
          <w:rFonts w:ascii="Arial" w:cs="Arial" w:eastAsia="Arial" w:hAnsi="Arial"/>
          <w:sz w:val="19"/>
          <w:szCs w:val="19"/>
          <w:color w:val="auto"/>
        </w:rPr>
        <w:t>WHEREAS, the Executive has been employed by the Company as co-Chief Executive Officer pursuant to the terms of the Amended and Restated Employment Agreement dated May 12, 2023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and</w:t>
      </w:r>
    </w:p>
    <w:p>
      <w:pPr>
        <w:spacing w:after="0" w:line="118" w:lineRule="exact"/>
        <w:rPr>
          <w:sz w:val="20"/>
          <w:szCs w:val="20"/>
          <w:color w:val="auto"/>
        </w:rPr>
      </w:pPr>
    </w:p>
    <w:p>
      <w:pPr>
        <w:jc w:val="both"/>
        <w:ind w:right="20" w:firstLine="747"/>
        <w:spacing w:after="0"/>
        <w:rPr>
          <w:sz w:val="20"/>
          <w:szCs w:val="20"/>
          <w:color w:val="auto"/>
        </w:rPr>
      </w:pPr>
      <w:r>
        <w:rPr>
          <w:rFonts w:ascii="Arial" w:cs="Arial" w:eastAsia="Arial" w:hAnsi="Arial"/>
          <w:sz w:val="22"/>
          <w:szCs w:val="22"/>
          <w:color w:val="auto"/>
        </w:rPr>
        <w:t>WHEREAS, the Parties wish to transition Executive from his current role as co- Chief Executive Officer to Executive Vice Chairman in an orderly way to allow for the Company’s engagement of a new Chief Executive Officer pursuant to the terms and conditions expressed in this Agreement.</w:t>
      </w:r>
    </w:p>
    <w:p>
      <w:pPr>
        <w:spacing w:after="0" w:line="227" w:lineRule="exact"/>
        <w:rPr>
          <w:sz w:val="20"/>
          <w:szCs w:val="20"/>
          <w:color w:val="auto"/>
        </w:rPr>
      </w:pPr>
    </w:p>
    <w:p>
      <w:pPr>
        <w:jc w:val="both"/>
        <w:ind w:firstLine="747"/>
        <w:spacing w:after="0" w:line="250" w:lineRule="auto"/>
        <w:rPr>
          <w:sz w:val="20"/>
          <w:szCs w:val="20"/>
          <w:color w:val="auto"/>
        </w:rPr>
      </w:pPr>
      <w:r>
        <w:rPr>
          <w:rFonts w:ascii="Arial" w:cs="Arial" w:eastAsia="Arial" w:hAnsi="Arial"/>
          <w:sz w:val="22"/>
          <w:szCs w:val="22"/>
          <w:color w:val="auto"/>
        </w:rPr>
        <w:t>NOW THEREFORE, in consideration of the promises, representations, and conditions set forth herein, the sufficiency of which is hereby acknowledged, the Parties agree as follows:</w:t>
      </w:r>
    </w:p>
    <w:p>
      <w:pPr>
        <w:spacing w:after="0" w:line="20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1.</w:t>
      </w:r>
      <w:r>
        <w:rPr>
          <w:rFonts w:ascii="Arial" w:cs="Arial" w:eastAsia="Arial" w:hAnsi="Arial"/>
          <w:sz w:val="19"/>
          <w:szCs w:val="19"/>
          <w:u w:val="single" w:color="auto"/>
          <w:color w:val="auto"/>
        </w:rPr>
        <w:t>Transition Period</w:t>
      </w:r>
      <w:r>
        <w:rPr>
          <w:rFonts w:ascii="Arial" w:cs="Arial" w:eastAsia="Arial" w:hAnsi="Arial"/>
          <w:sz w:val="19"/>
          <w:szCs w:val="19"/>
          <w:color w:val="auto"/>
        </w:rPr>
        <w:t>. Executive will cease to serve as co-Chief Executive Officer effective as of October 23, 2023 (the “</w:t>
      </w:r>
      <w:r>
        <w:rPr>
          <w:rFonts w:ascii="Arial" w:cs="Arial" w:eastAsia="Arial" w:hAnsi="Arial"/>
          <w:sz w:val="19"/>
          <w:szCs w:val="19"/>
          <w:u w:val="single" w:color="auto"/>
          <w:color w:val="auto"/>
        </w:rPr>
        <w:t>Transition Date</w:t>
      </w:r>
      <w:r>
        <w:rPr>
          <w:rFonts w:ascii="Arial" w:cs="Arial" w:eastAsia="Arial" w:hAnsi="Arial"/>
          <w:sz w:val="19"/>
          <w:szCs w:val="19"/>
          <w:color w:val="auto"/>
        </w:rPr>
        <w:t>”) and shall continue as the Company’s Executive Vice Chairman through the first anniversary of the Transition Date (the “</w:t>
      </w:r>
      <w:r>
        <w:rPr>
          <w:rFonts w:ascii="Arial" w:cs="Arial" w:eastAsia="Arial" w:hAnsi="Arial"/>
          <w:sz w:val="19"/>
          <w:szCs w:val="19"/>
          <w:u w:val="single" w:color="auto"/>
          <w:color w:val="auto"/>
        </w:rPr>
        <w:t>Transition End Date</w:t>
      </w:r>
      <w:r>
        <w:rPr>
          <w:rFonts w:ascii="Arial" w:cs="Arial" w:eastAsia="Arial" w:hAnsi="Arial"/>
          <w:sz w:val="19"/>
          <w:szCs w:val="19"/>
          <w:color w:val="auto"/>
        </w:rPr>
        <w:t>”), unless earlier terminated as provided in Section 5 of this Agreement. The period from the Transition Date until the close of business on the Transition End Date shall be referred to as the “</w:t>
      </w:r>
      <w:r>
        <w:rPr>
          <w:rFonts w:ascii="Arial" w:cs="Arial" w:eastAsia="Arial" w:hAnsi="Arial"/>
          <w:sz w:val="19"/>
          <w:szCs w:val="19"/>
          <w:u w:val="single" w:color="auto"/>
          <w:color w:val="auto"/>
        </w:rPr>
        <w:t>Transition Period</w:t>
      </w:r>
      <w:r>
        <w:rPr>
          <w:rFonts w:ascii="Arial" w:cs="Arial" w:eastAsia="Arial" w:hAnsi="Arial"/>
          <w:sz w:val="19"/>
          <w:szCs w:val="19"/>
          <w:color w:val="auto"/>
        </w:rPr>
        <w:t>.”</w:t>
      </w:r>
    </w:p>
    <w:p>
      <w:pPr>
        <w:spacing w:after="0" w:line="18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2.</w:t>
      </w:r>
      <w:r>
        <w:rPr>
          <w:rFonts w:ascii="Arial" w:cs="Arial" w:eastAsia="Arial" w:hAnsi="Arial"/>
          <w:sz w:val="21"/>
          <w:szCs w:val="21"/>
          <w:u w:val="single" w:color="auto"/>
          <w:color w:val="auto"/>
        </w:rPr>
        <w:t>Transition Duties</w:t>
      </w:r>
      <w:r>
        <w:rPr>
          <w:rFonts w:ascii="Arial" w:cs="Arial" w:eastAsia="Arial" w:hAnsi="Arial"/>
          <w:sz w:val="21"/>
          <w:szCs w:val="21"/>
          <w:color w:val="auto"/>
        </w:rPr>
        <w:t>. During the Transition Period, Executive shall report to the Company’s Chief Executive Officer (“</w:t>
      </w:r>
      <w:r>
        <w:rPr>
          <w:rFonts w:ascii="Arial" w:cs="Arial" w:eastAsia="Arial" w:hAnsi="Arial"/>
          <w:sz w:val="21"/>
          <w:szCs w:val="21"/>
          <w:u w:val="single" w:color="auto"/>
          <w:color w:val="auto"/>
        </w:rPr>
        <w:t>CEO</w:t>
      </w:r>
      <w:r>
        <w:rPr>
          <w:rFonts w:ascii="Arial" w:cs="Arial" w:eastAsia="Arial" w:hAnsi="Arial"/>
          <w:sz w:val="21"/>
          <w:szCs w:val="21"/>
          <w:color w:val="auto"/>
        </w:rPr>
        <w:t>”) and shall perform the duties, authorities and responsibilities that are designated from time to time by the CEO (the “</w:t>
      </w:r>
      <w:r>
        <w:rPr>
          <w:rFonts w:ascii="Arial" w:cs="Arial" w:eastAsia="Arial" w:hAnsi="Arial"/>
          <w:sz w:val="21"/>
          <w:szCs w:val="21"/>
          <w:u w:val="single" w:color="auto"/>
          <w:color w:val="auto"/>
        </w:rPr>
        <w:t>Transition Services</w:t>
      </w:r>
      <w:r>
        <w:rPr>
          <w:rFonts w:ascii="Arial" w:cs="Arial" w:eastAsia="Arial" w:hAnsi="Arial"/>
          <w:sz w:val="21"/>
          <w:szCs w:val="21"/>
          <w:color w:val="auto"/>
        </w:rPr>
        <w:t>”). During the Transition Period, Executive shall be expected to spend forty (40) hours a week performing the Transition Services. The Transition Salary and Transition Award (as defined below) and other consideration provided in this Agreement shall be the exclusive compensation for the Transition Services.</w:t>
      </w:r>
    </w:p>
    <w:p>
      <w:pPr>
        <w:spacing w:after="0" w:line="21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3.</w:t>
      </w: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 During the Transition Period, the Executive shall be compensated by the Company for his Transition Services as follows:</w:t>
      </w:r>
    </w:p>
    <w:p>
      <w:pPr>
        <w:spacing w:after="0" w:line="202" w:lineRule="exact"/>
        <w:rPr>
          <w:sz w:val="20"/>
          <w:szCs w:val="20"/>
          <w:color w:val="auto"/>
        </w:rPr>
      </w:pPr>
    </w:p>
    <w:p>
      <w:pPr>
        <w:jc w:val="both"/>
        <w:ind w:firstLine="1490"/>
        <w:spacing w:after="0"/>
        <w:tabs>
          <w:tab w:leader="none" w:pos="1925"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Transition Salary</w:t>
      </w:r>
      <w:r>
        <w:rPr>
          <w:rFonts w:ascii="Arial" w:cs="Arial" w:eastAsia="Arial" w:hAnsi="Arial"/>
          <w:sz w:val="22"/>
          <w:szCs w:val="22"/>
          <w:color w:val="auto"/>
        </w:rPr>
        <w:t>. During the Transition Period, Executive shall receive a salary of $100,000.00 per annum (the “</w:t>
      </w:r>
      <w:r>
        <w:rPr>
          <w:rFonts w:ascii="Arial" w:cs="Arial" w:eastAsia="Arial" w:hAnsi="Arial"/>
          <w:sz w:val="22"/>
          <w:szCs w:val="22"/>
          <w:u w:val="single" w:color="auto"/>
          <w:color w:val="auto"/>
        </w:rPr>
        <w:t>Transition Salary</w:t>
      </w:r>
      <w:r>
        <w:rPr>
          <w:rFonts w:ascii="Arial" w:cs="Arial" w:eastAsia="Arial" w:hAnsi="Arial"/>
          <w:sz w:val="22"/>
          <w:szCs w:val="22"/>
          <w:color w:val="auto"/>
        </w:rPr>
        <w:t>”), payable in equal monthly or more frequent installments and subject to standard tax withholdings and deductions.</w:t>
      </w:r>
    </w:p>
    <w:p>
      <w:pPr>
        <w:spacing w:after="0" w:line="226" w:lineRule="exact"/>
        <w:rPr>
          <w:rFonts w:ascii="Arial" w:cs="Arial" w:eastAsia="Arial" w:hAnsi="Arial"/>
          <w:sz w:val="22"/>
          <w:szCs w:val="22"/>
          <w:color w:val="auto"/>
        </w:rPr>
      </w:pPr>
    </w:p>
    <w:p>
      <w:pPr>
        <w:jc w:val="both"/>
        <w:ind w:firstLine="1490"/>
        <w:spacing w:after="0" w:line="287" w:lineRule="auto"/>
        <w:tabs>
          <w:tab w:leader="none" w:pos="1925"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Transition Award</w:t>
      </w:r>
      <w:r>
        <w:rPr>
          <w:rFonts w:ascii="Arial" w:cs="Arial" w:eastAsia="Arial" w:hAnsi="Arial"/>
          <w:sz w:val="19"/>
          <w:szCs w:val="19"/>
          <w:color w:val="auto"/>
        </w:rPr>
        <w:t>. The Company will award Executive restricted stock units (the “</w:t>
      </w:r>
      <w:r>
        <w:rPr>
          <w:rFonts w:ascii="Arial" w:cs="Arial" w:eastAsia="Arial" w:hAnsi="Arial"/>
          <w:sz w:val="19"/>
          <w:szCs w:val="19"/>
          <w:u w:val="single" w:color="auto"/>
          <w:color w:val="auto"/>
        </w:rPr>
        <w:t>Transition RSUs</w:t>
      </w:r>
      <w:r>
        <w:rPr>
          <w:rFonts w:ascii="Arial" w:cs="Arial" w:eastAsia="Arial" w:hAnsi="Arial"/>
          <w:sz w:val="19"/>
          <w:szCs w:val="19"/>
          <w:color w:val="auto"/>
        </w:rPr>
        <w:t>”) with an aggregate gross value of $4,000,000.00 based on the fair market value of the Company’s common stock on the trading day preceding the respective grant dates of such awards. The Transition RSUs will be issued in four quarterly installments beginning on the Transition Date under the P10 Inc. 2021 Incentive Plan, as such plan may be amended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22860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111" w:right="499" w:bottom="1440" w:gutter="0" w:footer="0" w:header="0"/>
        </w:sectPr>
      </w:pPr>
    </w:p>
    <w:bookmarkStart w:id="92" w:name="page93"/>
    <w:bookmarkEnd w:id="92"/>
    <w:p>
      <w:pPr>
        <w:jc w:val="both"/>
        <w:ind w:left="100" w:right="20"/>
        <w:spacing w:after="0" w:line="238" w:lineRule="auto"/>
        <w:rPr>
          <w:sz w:val="20"/>
          <w:szCs w:val="20"/>
          <w:color w:val="auto"/>
        </w:rPr>
      </w:pPr>
      <w:r>
        <w:rPr>
          <w:rFonts w:ascii="Arial" w:cs="Arial" w:eastAsia="Arial" w:hAnsi="Arial"/>
          <w:sz w:val="22"/>
          <w:szCs w:val="22"/>
          <w:color w:val="auto"/>
        </w:rPr>
        <w:t>time to time or any successor plan thereto (the “</w:t>
      </w:r>
      <w:r>
        <w:rPr>
          <w:rFonts w:ascii="Arial" w:cs="Arial" w:eastAsia="Arial" w:hAnsi="Arial"/>
          <w:sz w:val="22"/>
          <w:szCs w:val="22"/>
          <w:u w:val="single" w:color="auto"/>
          <w:color w:val="auto"/>
        </w:rPr>
        <w:t>Incentive Plan</w:t>
      </w:r>
      <w:r>
        <w:rPr>
          <w:rFonts w:ascii="Arial" w:cs="Arial" w:eastAsia="Arial" w:hAnsi="Arial"/>
          <w:sz w:val="22"/>
          <w:szCs w:val="22"/>
          <w:color w:val="auto"/>
        </w:rPr>
        <w:t>”), and then on the first day of the subsequent three quarters). Each respective award of the Transition RSUs shall fully vest on the first anniversary of the corresponding date of grant. The Transition RSUs will remain subject to the terms and conditions of the Incentive Plan and any award agreements issued thereunder.</w:t>
      </w:r>
    </w:p>
    <w:p>
      <w:pPr>
        <w:spacing w:after="0" w:line="225" w:lineRule="exact"/>
        <w:rPr>
          <w:sz w:val="20"/>
          <w:szCs w:val="20"/>
          <w:color w:val="auto"/>
        </w:rPr>
      </w:pPr>
    </w:p>
    <w:p>
      <w:pPr>
        <w:jc w:val="both"/>
        <w:ind w:left="100" w:firstLine="1490"/>
        <w:spacing w:after="0" w:line="236" w:lineRule="auto"/>
        <w:tabs>
          <w:tab w:leader="none" w:pos="2025"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Transition Bonus</w:t>
      </w:r>
      <w:r>
        <w:rPr>
          <w:rFonts w:ascii="Arial" w:cs="Arial" w:eastAsia="Arial" w:hAnsi="Arial"/>
          <w:sz w:val="22"/>
          <w:szCs w:val="22"/>
          <w:color w:val="auto"/>
        </w:rPr>
        <w:t>. Upon the completion of the Transition Period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may, in its sole discretion, award Executive additional bonus compensation (the “</w:t>
      </w:r>
      <w:r>
        <w:rPr>
          <w:rFonts w:ascii="Arial" w:cs="Arial" w:eastAsia="Arial" w:hAnsi="Arial"/>
          <w:sz w:val="22"/>
          <w:szCs w:val="22"/>
          <w:u w:val="single" w:color="auto"/>
          <w:color w:val="auto"/>
        </w:rPr>
        <w:t>Transition Bonus</w:t>
      </w:r>
      <w:r>
        <w:rPr>
          <w:rFonts w:ascii="Arial" w:cs="Arial" w:eastAsia="Arial" w:hAnsi="Arial"/>
          <w:sz w:val="22"/>
          <w:szCs w:val="22"/>
          <w:color w:val="auto"/>
        </w:rPr>
        <w:t>”) based upon the Executive’s and Company’s performance during the Transition Period. The Transition Bonus can be paid in the form of either cash, restricted stock, restricted stock units or a carried interest in the Company’s investment vehicles, at the discretion of the Board.</w:t>
      </w:r>
    </w:p>
    <w:p>
      <w:pPr>
        <w:spacing w:after="0" w:line="214" w:lineRule="exact"/>
        <w:rPr>
          <w:rFonts w:ascii="Arial" w:cs="Arial" w:eastAsia="Arial" w:hAnsi="Arial"/>
          <w:sz w:val="22"/>
          <w:szCs w:val="22"/>
          <w:color w:val="auto"/>
        </w:rPr>
      </w:pPr>
    </w:p>
    <w:p>
      <w:pPr>
        <w:jc w:val="both"/>
        <w:ind w:left="100" w:firstLine="1490"/>
        <w:spacing w:after="0"/>
        <w:tabs>
          <w:tab w:leader="none" w:pos="2025"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Executive shall be reimbursed by the Company for all reasonable expenses incurred by Executive during the Transition Period in his performance of the Transition Services as approved in advance by the CEO and in accordance with the Company’s reimbursement policy.</w:t>
      </w:r>
    </w:p>
    <w:p>
      <w:pPr>
        <w:spacing w:after="0" w:line="226" w:lineRule="exact"/>
        <w:rPr>
          <w:rFonts w:ascii="Arial" w:cs="Arial" w:eastAsia="Arial" w:hAnsi="Arial"/>
          <w:sz w:val="22"/>
          <w:szCs w:val="22"/>
          <w:color w:val="auto"/>
        </w:rPr>
      </w:pPr>
    </w:p>
    <w:p>
      <w:pPr>
        <w:jc w:val="both"/>
        <w:ind w:left="100" w:firstLine="1490"/>
        <w:spacing w:after="0" w:line="244" w:lineRule="auto"/>
        <w:tabs>
          <w:tab w:leader="none" w:pos="2025"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Employee Benefits</w:t>
      </w:r>
      <w:r>
        <w:rPr>
          <w:rFonts w:ascii="Arial" w:cs="Arial" w:eastAsia="Arial" w:hAnsi="Arial"/>
          <w:sz w:val="21"/>
          <w:szCs w:val="21"/>
          <w:color w:val="auto"/>
        </w:rPr>
        <w:t>. During the Transition Period Executive shall be entitled to continue to participate in all employee benefit plans, practices, and programs maintained by the Company, as in effect from time to time, that are available to other senior level executives, which includes health and dental insurance and Section 401(k) pension plan (collectively, “</w:t>
      </w:r>
      <w:r>
        <w:rPr>
          <w:rFonts w:ascii="Arial" w:cs="Arial" w:eastAsia="Arial" w:hAnsi="Arial"/>
          <w:sz w:val="21"/>
          <w:szCs w:val="21"/>
          <w:u w:val="single" w:color="auto"/>
          <w:color w:val="auto"/>
        </w:rPr>
        <w:t>Employee Benefit Plans</w:t>
      </w:r>
      <w:r>
        <w:rPr>
          <w:rFonts w:ascii="Arial" w:cs="Arial" w:eastAsia="Arial" w:hAnsi="Arial"/>
          <w:sz w:val="21"/>
          <w:szCs w:val="21"/>
          <w:color w:val="auto"/>
        </w:rPr>
        <w:t>”), on a basis which is no less favorable than is provided to other senior level executives of the Company, to the extent consistent with applicable law and the terms of the applicable Employee Benefit Plans. The Company reserves the right to amend or cancel any Employee Benefit Plan at any time in its sole discretion, subject to the terms of such Employee Benefit Plan and applicable law and provided such changes relate to other senior level executives of the Company in addition to Executive. Any benefits available to the Executive are subject to the rules of the relevant plan or program from time to time in force. Executive shall also receive reimbursement for Executive’s cost of COBRA premiums for health insurance coverage (to the extent such premiums exceed the contributory cost for the same coverage that the Company charges active employees) for a period of twelve (12) months following the Transition End Date or until Executive’s right to COBRA continuation expires, whichever is shorter, provided that Executive timely elects and is eligible for COBRA coverage.</w:t>
      </w:r>
    </w:p>
    <w:p>
      <w:pPr>
        <w:spacing w:after="0" w:line="223" w:lineRule="exact"/>
        <w:rPr>
          <w:rFonts w:ascii="Arial" w:cs="Arial" w:eastAsia="Arial" w:hAnsi="Arial"/>
          <w:sz w:val="21"/>
          <w:szCs w:val="21"/>
          <w:color w:val="auto"/>
        </w:rPr>
      </w:pPr>
    </w:p>
    <w:p>
      <w:pPr>
        <w:jc w:val="both"/>
        <w:ind w:left="100" w:firstLine="1490"/>
        <w:spacing w:after="0" w:line="279" w:lineRule="auto"/>
        <w:tabs>
          <w:tab w:leader="none" w:pos="2025"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Reaffirmation of Executive’s Right to Participate in P10 Funds</w:t>
      </w:r>
      <w:r>
        <w:rPr>
          <w:rFonts w:ascii="Arial" w:cs="Arial" w:eastAsia="Arial" w:hAnsi="Arial"/>
          <w:sz w:val="19"/>
          <w:szCs w:val="19"/>
          <w:color w:val="auto"/>
        </w:rPr>
        <w:t>. In accordance with Section 7(e) of the Employment Agreement, during the Transition Period and thereafter, Executive shall have the perpetual right and option to invest personally in all P10 funds, free from any fees or carry, subject only to such investment limits that the General Partner of such fund imposes on all P10 executives or employees not directly involved in such P10 fund, and any such investment limitations shall apply equally among all other P10 executives and employees, and Executive shall have an investment allocation no less than any other officer or employee of P10 or its affiliates not directly involved in such fund.</w:t>
      </w:r>
    </w:p>
    <w:p>
      <w:pPr>
        <w:spacing w:after="0" w:line="177" w:lineRule="exact"/>
        <w:rPr>
          <w:sz w:val="20"/>
          <w:szCs w:val="20"/>
          <w:color w:val="auto"/>
        </w:rPr>
      </w:pPr>
    </w:p>
    <w:p>
      <w:pPr>
        <w:ind w:left="100" w:right="320" w:firstLine="749"/>
        <w:spacing w:after="0" w:line="250" w:lineRule="auto"/>
        <w:rPr>
          <w:sz w:val="20"/>
          <w:szCs w:val="20"/>
          <w:color w:val="auto"/>
        </w:rPr>
      </w:pPr>
      <w:r>
        <w:rPr>
          <w:rFonts w:ascii="Arial" w:cs="Arial" w:eastAsia="Arial" w:hAnsi="Arial"/>
          <w:sz w:val="22"/>
          <w:szCs w:val="22"/>
          <w:color w:val="auto"/>
        </w:rPr>
        <w:t>4.</w:t>
      </w:r>
      <w:r>
        <w:rPr>
          <w:rFonts w:ascii="Arial" w:cs="Arial" w:eastAsia="Arial" w:hAnsi="Arial"/>
          <w:sz w:val="22"/>
          <w:szCs w:val="22"/>
          <w:u w:val="single" w:color="auto"/>
          <w:color w:val="auto"/>
        </w:rPr>
        <w:t>Payments Due Upon Transition Date</w:t>
      </w:r>
      <w:r>
        <w:rPr>
          <w:rFonts w:ascii="Arial" w:cs="Arial" w:eastAsia="Arial" w:hAnsi="Arial"/>
          <w:sz w:val="22"/>
          <w:szCs w:val="22"/>
          <w:color w:val="auto"/>
        </w:rPr>
        <w:t>. The Parties acknowledge that the cessation of Executive’s role as co-Chief Executive Officer as of the Transition Date is without</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88" w:right="499" w:bottom="1440" w:gutter="0" w:footer="0" w:header="0"/>
        </w:sectPr>
      </w:pPr>
    </w:p>
    <w:bookmarkStart w:id="93" w:name="page94"/>
    <w:bookmarkEnd w:id="93"/>
    <w:p>
      <w:pPr>
        <w:jc w:val="both"/>
        <w:ind w:left="100" w:right="20"/>
        <w:spacing w:after="0" w:line="238" w:lineRule="auto"/>
        <w:rPr>
          <w:sz w:val="20"/>
          <w:szCs w:val="20"/>
          <w:color w:val="auto"/>
        </w:rPr>
      </w:pPr>
      <w:r>
        <w:rPr>
          <w:rFonts w:ascii="Arial" w:cs="Arial" w:eastAsia="Arial" w:hAnsi="Arial"/>
          <w:sz w:val="22"/>
          <w:szCs w:val="22"/>
          <w:color w:val="auto"/>
        </w:rPr>
        <w:t>Cause, as defined in Section 4(a)(ii) the Employment Agreement. Accordingly, provided that Executive accepts and executes this Agreement and executes and does not revoke the General Release and Waiver of Claims (the “</w:t>
      </w:r>
      <w:r>
        <w:rPr>
          <w:rFonts w:ascii="Arial" w:cs="Arial" w:eastAsia="Arial" w:hAnsi="Arial"/>
          <w:sz w:val="22"/>
          <w:szCs w:val="22"/>
          <w:u w:val="single" w:color="auto"/>
          <w:color w:val="auto"/>
        </w:rPr>
        <w:t>Release</w:t>
      </w:r>
      <w:r>
        <w:rPr>
          <w:rFonts w:ascii="Arial" w:cs="Arial" w:eastAsia="Arial" w:hAnsi="Arial"/>
          <w:sz w:val="22"/>
          <w:szCs w:val="22"/>
          <w:color w:val="auto"/>
        </w:rPr>
        <w:t>”) attached hereto as Exhibit A within the time periods specified therein, the Company shall provide Executive with the following payments and benefits:</w:t>
      </w:r>
    </w:p>
    <w:p>
      <w:pPr>
        <w:spacing w:after="0" w:line="225" w:lineRule="exact"/>
        <w:rPr>
          <w:sz w:val="20"/>
          <w:szCs w:val="20"/>
          <w:color w:val="auto"/>
        </w:rPr>
      </w:pPr>
    </w:p>
    <w:p>
      <w:pPr>
        <w:jc w:val="both"/>
        <w:ind w:left="100" w:firstLine="1490"/>
        <w:spacing w:after="0" w:line="297" w:lineRule="auto"/>
        <w:tabs>
          <w:tab w:leader="none" w:pos="2025"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Transition Severance Payment</w:t>
      </w:r>
      <w:r>
        <w:rPr>
          <w:rFonts w:ascii="Arial" w:cs="Arial" w:eastAsia="Arial" w:hAnsi="Arial"/>
          <w:sz w:val="19"/>
          <w:szCs w:val="19"/>
          <w:color w:val="auto"/>
        </w:rPr>
        <w:t>. In accordance with Section 5(b)(ii) of the Employment Agreement, Executive shall receive a lump sum cash payment of $1,200,000.00 (the “</w:t>
      </w:r>
      <w:r>
        <w:rPr>
          <w:rFonts w:ascii="Arial" w:cs="Arial" w:eastAsia="Arial" w:hAnsi="Arial"/>
          <w:sz w:val="19"/>
          <w:szCs w:val="19"/>
          <w:u w:val="single" w:color="auto"/>
          <w:color w:val="auto"/>
        </w:rPr>
        <w:t>Transition Severance Payment</w:t>
      </w:r>
      <w:r>
        <w:rPr>
          <w:rFonts w:ascii="Arial" w:cs="Arial" w:eastAsia="Arial" w:hAnsi="Arial"/>
          <w:sz w:val="19"/>
          <w:szCs w:val="19"/>
          <w:color w:val="auto"/>
        </w:rPr>
        <w:t>”), subject to standard tax withholdings and deductions, payable within fifteen (15) days of the Transition Date;</w:t>
      </w:r>
    </w:p>
    <w:p>
      <w:pPr>
        <w:spacing w:after="0" w:line="160" w:lineRule="exact"/>
        <w:rPr>
          <w:rFonts w:ascii="Arial" w:cs="Arial" w:eastAsia="Arial" w:hAnsi="Arial"/>
          <w:sz w:val="19"/>
          <w:szCs w:val="19"/>
          <w:color w:val="auto"/>
        </w:rPr>
      </w:pPr>
    </w:p>
    <w:p>
      <w:pPr>
        <w:ind w:left="2020" w:hanging="430"/>
        <w:spacing w:after="0"/>
        <w:tabs>
          <w:tab w:leader="none" w:pos="2020"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In addition to the Transition Severance Payment and in satisfaction of Section 5(b)</w:t>
      </w:r>
    </w:p>
    <w:p>
      <w:pPr>
        <w:spacing w:after="0" w:line="42" w:lineRule="exact"/>
        <w:rPr>
          <w:rFonts w:ascii="Arial" w:cs="Arial" w:eastAsia="Arial" w:hAnsi="Arial"/>
          <w:sz w:val="19"/>
          <w:szCs w:val="19"/>
          <w:color w:val="auto"/>
        </w:rPr>
      </w:pPr>
    </w:p>
    <w:p>
      <w:pPr>
        <w:jc w:val="both"/>
        <w:ind w:left="100" w:hanging="7"/>
        <w:spacing w:after="0" w:line="280" w:lineRule="auto"/>
        <w:tabs>
          <w:tab w:leader="none" w:pos="516" w:val="left"/>
        </w:tabs>
        <w:numPr>
          <w:ilvl w:val="0"/>
          <w:numId w:val="64"/>
        </w:numPr>
        <w:rPr>
          <w:rFonts w:ascii="Arial" w:cs="Arial" w:eastAsia="Arial" w:hAnsi="Arial"/>
          <w:sz w:val="19"/>
          <w:szCs w:val="19"/>
          <w:color w:val="auto"/>
        </w:rPr>
      </w:pPr>
      <w:r>
        <w:rPr>
          <w:rFonts w:ascii="Arial" w:cs="Arial" w:eastAsia="Arial" w:hAnsi="Arial"/>
          <w:sz w:val="19"/>
          <w:szCs w:val="19"/>
          <w:color w:val="auto"/>
        </w:rPr>
        <w:t>of the Employment Agreement, the Company shall pay Executive an aggregate gross value of $5,650,000.00 (the “</w:t>
      </w:r>
      <w:r>
        <w:rPr>
          <w:rFonts w:ascii="Arial" w:cs="Arial" w:eastAsia="Arial" w:hAnsi="Arial"/>
          <w:sz w:val="19"/>
          <w:szCs w:val="19"/>
          <w:u w:val="single" w:color="auto"/>
          <w:color w:val="auto"/>
        </w:rPr>
        <w:t>Severance Payment</w:t>
      </w:r>
      <w:r>
        <w:rPr>
          <w:rFonts w:ascii="Arial" w:cs="Arial" w:eastAsia="Arial" w:hAnsi="Arial"/>
          <w:sz w:val="19"/>
          <w:szCs w:val="19"/>
          <w:color w:val="auto"/>
        </w:rPr>
        <w:t>”), which is the equivalent of the remaining Base Salary and Bonus (as defined in the Employment Agreement), that Executive would have otherwise been entitled had be remained employed with the Company as co-Chief Executive Officer for the remainder of the Term of the Employment Agreement, to be paid as follows:</w:t>
      </w:r>
    </w:p>
    <w:p>
      <w:pPr>
        <w:spacing w:after="0" w:line="150" w:lineRule="exact"/>
        <w:rPr>
          <w:sz w:val="20"/>
          <w:szCs w:val="20"/>
          <w:color w:val="auto"/>
        </w:rPr>
      </w:pPr>
    </w:p>
    <w:p>
      <w:pPr>
        <w:jc w:val="both"/>
        <w:ind w:left="1600" w:right="20" w:firstLine="749"/>
        <w:spacing w:after="0" w:line="250" w:lineRule="auto"/>
        <w:rPr>
          <w:sz w:val="20"/>
          <w:szCs w:val="20"/>
          <w:color w:val="auto"/>
        </w:rPr>
      </w:pPr>
      <w:r>
        <w:rPr>
          <w:rFonts w:ascii="Arial" w:cs="Arial" w:eastAsia="Arial" w:hAnsi="Arial"/>
          <w:sz w:val="22"/>
          <w:szCs w:val="22"/>
          <w:color w:val="auto"/>
        </w:rPr>
        <w:t>(i)one lump sum cash payment of $1,600,000.00, subject to standard tax withholdings and deductions, payable within fifteen (15) days of the Transition Date;</w:t>
      </w:r>
    </w:p>
    <w:p>
      <w:pPr>
        <w:spacing w:after="0" w:line="188" w:lineRule="exact"/>
        <w:rPr>
          <w:sz w:val="20"/>
          <w:szCs w:val="20"/>
          <w:color w:val="auto"/>
        </w:rPr>
      </w:pPr>
    </w:p>
    <w:p>
      <w:pPr>
        <w:jc w:val="both"/>
        <w:ind w:left="1600" w:firstLine="749"/>
        <w:spacing w:after="0" w:line="282" w:lineRule="auto"/>
        <w:rPr>
          <w:sz w:val="20"/>
          <w:szCs w:val="20"/>
          <w:color w:val="auto"/>
        </w:rPr>
      </w:pPr>
      <w:r>
        <w:rPr>
          <w:rFonts w:ascii="Arial" w:cs="Arial" w:eastAsia="Arial" w:hAnsi="Arial"/>
          <w:sz w:val="19"/>
          <w:szCs w:val="19"/>
          <w:color w:val="auto"/>
        </w:rPr>
        <w:t>(ii)an award of $3,400,000.00, payable within fifteen (15) days of the Transition Date provided that Executive signs and does not revoke the attached Exhibit A within the time periods specified therein, in the form of fully vested shares of the Company’s common stock (to be issued pursuant to the Incentive Plan) based on the fair market value of the Company’s common stock at the close of business on the trading day preceding the Transition Date, net of all standard tax withholdings and deductions; and</w:t>
      </w:r>
    </w:p>
    <w:p>
      <w:pPr>
        <w:spacing w:after="0" w:line="174" w:lineRule="exact"/>
        <w:rPr>
          <w:sz w:val="20"/>
          <w:szCs w:val="20"/>
          <w:color w:val="auto"/>
        </w:rPr>
      </w:pPr>
    </w:p>
    <w:p>
      <w:pPr>
        <w:jc w:val="both"/>
        <w:ind w:left="1600" w:firstLine="749"/>
        <w:spacing w:after="0" w:line="252" w:lineRule="auto"/>
        <w:rPr>
          <w:sz w:val="20"/>
          <w:szCs w:val="20"/>
          <w:color w:val="auto"/>
        </w:rPr>
      </w:pPr>
      <w:r>
        <w:rPr>
          <w:rFonts w:ascii="Arial" w:cs="Arial" w:eastAsia="Arial" w:hAnsi="Arial"/>
          <w:sz w:val="21"/>
          <w:szCs w:val="21"/>
          <w:color w:val="auto"/>
        </w:rPr>
        <w:t>(iii)an award of stock options under the Incentive Plan with an aggregate value of $650,000.00 based on a Black-Scholes valuation methodology consistent with the Company’s financial reporting, which shall be fully vested and exercisable as of the Transition Date, subject at all times to the terms and conditions of the Incentive Plan and award agreements granted thereunder.</w:t>
      </w:r>
    </w:p>
    <w:p>
      <w:pPr>
        <w:spacing w:after="0" w:line="214" w:lineRule="exact"/>
        <w:rPr>
          <w:sz w:val="20"/>
          <w:szCs w:val="20"/>
          <w:color w:val="auto"/>
        </w:rPr>
      </w:pPr>
    </w:p>
    <w:p>
      <w:pPr>
        <w:jc w:val="both"/>
        <w:ind w:left="100" w:firstLine="1490"/>
        <w:spacing w:after="0" w:line="235" w:lineRule="auto"/>
        <w:tabs>
          <w:tab w:leader="none" w:pos="2025"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Vesting of Equity Awards</w:t>
      </w:r>
      <w:r>
        <w:rPr>
          <w:rFonts w:ascii="Arial" w:cs="Arial" w:eastAsia="Arial" w:hAnsi="Arial"/>
          <w:sz w:val="22"/>
          <w:szCs w:val="22"/>
          <w:color w:val="auto"/>
        </w:rPr>
        <w:t>. Pursuant to Section 5(b)(v) of the Employment Agreement, any and all options, restricted stock, and restricted stock units owned directly or beneficially by Executive or his affiliates and carried interests in the investment vehicles of the Affiliated Entities (as defined below) previously granted to Executive or his affiliates shall become fully vested and exercisable immediately on the Transition Date. The terms of Section 4(c) of this Agreement are subject to the provisions of the Carried Interest Allocation Agreement dated as of the date hereof between Executive and the Company.</w:t>
      </w:r>
    </w:p>
    <w:p>
      <w:pPr>
        <w:spacing w:after="0" w:line="214" w:lineRule="exact"/>
        <w:rPr>
          <w:rFonts w:ascii="Arial" w:cs="Arial" w:eastAsia="Arial" w:hAnsi="Arial"/>
          <w:sz w:val="22"/>
          <w:szCs w:val="22"/>
          <w:color w:val="auto"/>
        </w:rPr>
      </w:pPr>
    </w:p>
    <w:p>
      <w:pPr>
        <w:ind w:left="2020" w:hanging="430"/>
        <w:spacing w:after="0"/>
        <w:tabs>
          <w:tab w:leader="none" w:pos="202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Release of Lock Up Restrictions</w:t>
      </w:r>
      <w:r>
        <w:rPr>
          <w:rFonts w:ascii="Arial" w:cs="Arial" w:eastAsia="Arial" w:hAnsi="Arial"/>
          <w:sz w:val="22"/>
          <w:szCs w:val="22"/>
          <w:color w:val="auto"/>
        </w:rPr>
        <w:t>. On the Transition Date, Executive shall be</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22"/>
          <w:szCs w:val="22"/>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88" w:right="499" w:bottom="1440" w:gutter="0" w:footer="0" w:header="0"/>
        </w:sectPr>
      </w:pPr>
    </w:p>
    <w:bookmarkStart w:id="94" w:name="page95"/>
    <w:bookmarkEnd w:id="94"/>
    <w:p>
      <w:pPr>
        <w:ind w:left="100"/>
        <w:spacing w:after="0"/>
        <w:rPr>
          <w:sz w:val="20"/>
          <w:szCs w:val="20"/>
          <w:color w:val="auto"/>
        </w:rPr>
      </w:pPr>
      <w:r>
        <w:rPr>
          <w:rFonts w:ascii="Arial" w:cs="Arial" w:eastAsia="Arial" w:hAnsi="Arial"/>
          <w:sz w:val="19"/>
          <w:szCs w:val="19"/>
          <w:color w:val="auto"/>
        </w:rPr>
        <w:t>released from all lock up restrictions including, without limitation, under the Company</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22"/>
          <w:szCs w:val="22"/>
          <w:color w:val="auto"/>
        </w:rPr>
        <w:t>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34" w:right="1440" w:bottom="1440" w:gutter="0" w:footer="0" w:header="0"/>
        </w:sectPr>
      </w:pPr>
    </w:p>
    <w:bookmarkStart w:id="95" w:name="page96"/>
    <w:bookmarkEnd w:id="95"/>
    <w:p>
      <w:pPr>
        <w:jc w:val="both"/>
        <w:ind w:left="100"/>
        <w:spacing w:after="0" w:line="238" w:lineRule="auto"/>
        <w:rPr>
          <w:sz w:val="20"/>
          <w:szCs w:val="20"/>
          <w:color w:val="auto"/>
        </w:rPr>
      </w:pPr>
      <w:r>
        <w:rPr>
          <w:rFonts w:ascii="Arial" w:cs="Arial" w:eastAsia="Arial" w:hAnsi="Arial"/>
          <w:sz w:val="22"/>
          <w:szCs w:val="22"/>
          <w:color w:val="auto"/>
        </w:rPr>
        <w:t>Control Agreement entered into as of October 9, 2021 by and among P10 and the parties listed on the signature pages thereto (the “Company Control Agreement”) with respect to any and all Equity Securities (as defined in the Company Control Agreement) owned directly or beneficially by Executive or his Affiliates (as defined in the Company Control Agreement) in accordance with Section 5(b)(vi) of the Employment Agreement.</w:t>
      </w:r>
    </w:p>
    <w:p>
      <w:pPr>
        <w:spacing w:after="0" w:line="225" w:lineRule="exact"/>
        <w:rPr>
          <w:sz w:val="20"/>
          <w:szCs w:val="20"/>
          <w:color w:val="auto"/>
        </w:rPr>
      </w:pPr>
    </w:p>
    <w:p>
      <w:pPr>
        <w:jc w:val="both"/>
        <w:ind w:left="100" w:right="20" w:firstLine="749"/>
        <w:spacing w:after="0" w:line="239" w:lineRule="auto"/>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Termination</w:t>
      </w:r>
      <w:r>
        <w:rPr>
          <w:rFonts w:ascii="Arial" w:cs="Arial" w:eastAsia="Arial" w:hAnsi="Arial"/>
          <w:sz w:val="22"/>
          <w:szCs w:val="22"/>
          <w:color w:val="auto"/>
        </w:rPr>
        <w:t>. The Company or Executive may terminate this Agreement prior to the Transition End Date by providing at least ninety (90) days’ written notice. Upon the earlier of</w:t>
      </w:r>
    </w:p>
    <w:p>
      <w:pPr>
        <w:jc w:val="both"/>
        <w:ind w:left="100" w:hanging="9"/>
        <w:spacing w:after="0" w:line="233" w:lineRule="auto"/>
        <w:tabs>
          <w:tab w:leader="none" w:pos="358"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Transition End Date, or (ii) in the event the Company or the Executive terminates this Agreement prior to the Transition End Date, the Transition RSUs shall: (1) be subject to pro-rata vesting based on multiplying the total Transition RSUs by a fraction, the numerator of which is the number of days during the Transition Period in which Executive remained employed with the Company and the denominator of which is 366; and (2) receive the pro-rata share of the Transition Salary based on the same calculation.</w:t>
      </w:r>
    </w:p>
    <w:p>
      <w:pPr>
        <w:spacing w:after="0" w:line="212" w:lineRule="exact"/>
        <w:rPr>
          <w:rFonts w:ascii="Arial" w:cs="Arial" w:eastAsia="Arial" w:hAnsi="Arial"/>
          <w:sz w:val="22"/>
          <w:szCs w:val="22"/>
          <w:color w:val="auto"/>
        </w:rPr>
      </w:pPr>
    </w:p>
    <w:p>
      <w:pPr>
        <w:ind w:left="1600" w:hanging="758"/>
        <w:spacing w:after="0"/>
        <w:tabs>
          <w:tab w:leader="none" w:pos="1600"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Mutual Release of Claims</w:t>
      </w:r>
      <w:r>
        <w:rPr>
          <w:rFonts w:ascii="Arial" w:cs="Arial" w:eastAsia="Arial" w:hAnsi="Arial"/>
          <w:sz w:val="22"/>
          <w:szCs w:val="22"/>
          <w:color w:val="auto"/>
        </w:rPr>
        <w:t>.</w:t>
      </w:r>
    </w:p>
    <w:p>
      <w:pPr>
        <w:spacing w:after="0" w:line="247" w:lineRule="exact"/>
        <w:rPr>
          <w:sz w:val="20"/>
          <w:szCs w:val="20"/>
          <w:color w:val="auto"/>
        </w:rPr>
      </w:pPr>
    </w:p>
    <w:p>
      <w:pPr>
        <w:jc w:val="both"/>
        <w:ind w:left="100" w:right="20" w:firstLine="1497"/>
        <w:spacing w:after="0" w:line="239"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Release of Company by Executive</w:t>
      </w:r>
      <w:r>
        <w:rPr>
          <w:rFonts w:ascii="Arial" w:cs="Arial" w:eastAsia="Arial" w:hAnsi="Arial"/>
          <w:sz w:val="22"/>
          <w:szCs w:val="22"/>
          <w:color w:val="auto"/>
        </w:rPr>
        <w:t>. Executive hereby KNOWINGLY AND VOLUNTARILY WAIVES, RELEASES AND DISCHARGES the Company, P10, and the</w:t>
      </w:r>
    </w:p>
    <w:p>
      <w:pPr>
        <w:jc w:val="both"/>
        <w:ind w:left="100"/>
        <w:spacing w:after="0" w:line="269" w:lineRule="auto"/>
        <w:rPr>
          <w:sz w:val="20"/>
          <w:szCs w:val="20"/>
          <w:color w:val="auto"/>
        </w:rPr>
      </w:pPr>
      <w:r>
        <w:rPr>
          <w:rFonts w:ascii="Arial" w:cs="Arial" w:eastAsia="Arial" w:hAnsi="Arial"/>
          <w:sz w:val="19"/>
          <w:szCs w:val="19"/>
          <w:color w:val="auto"/>
        </w:rPr>
        <w:t>Company’s past, present and future parent, subsidiary, affiliated, or related companies, including but not limited to P10 Holdings, Inc. and P10 Intermediate Holdings, Inc. (collectively, the “</w:t>
      </w:r>
      <w:r>
        <w:rPr>
          <w:rFonts w:ascii="Arial" w:cs="Arial" w:eastAsia="Arial" w:hAnsi="Arial"/>
          <w:sz w:val="19"/>
          <w:szCs w:val="19"/>
          <w:u w:val="single" w:color="auto"/>
          <w:color w:val="auto"/>
        </w:rPr>
        <w:t>Affiliated Entities</w:t>
      </w:r>
      <w:r>
        <w:rPr>
          <w:rFonts w:ascii="Arial" w:cs="Arial" w:eastAsia="Arial" w:hAnsi="Arial"/>
          <w:sz w:val="19"/>
          <w:szCs w:val="19"/>
          <w:color w:val="auto"/>
        </w:rPr>
        <w:t>”), together with each and all of their respective past, present and future shareholders, investors, officers, directors, partners, members, managers, principals, servants, employees, agents, contractors, representatives, attorneys, insurers, predecessors, successors, and assigns (collectively, the “</w:t>
      </w:r>
      <w:r>
        <w:rPr>
          <w:rFonts w:ascii="Arial" w:cs="Arial" w:eastAsia="Arial" w:hAnsi="Arial"/>
          <w:sz w:val="19"/>
          <w:szCs w:val="19"/>
          <w:u w:val="single" w:color="auto"/>
          <w:color w:val="auto"/>
        </w:rPr>
        <w:t>Company Released Parties</w:t>
      </w:r>
      <w:r>
        <w:rPr>
          <w:rFonts w:ascii="Arial" w:cs="Arial" w:eastAsia="Arial" w:hAnsi="Arial"/>
          <w:sz w:val="19"/>
          <w:szCs w:val="19"/>
          <w:color w:val="auto"/>
        </w:rPr>
        <w:t>”) from and against any and all rights, claims, complaints, debts, losses, liabilities, demands, obligations, promises, acts, agreements, grievances, losses, arbitrations, defenses, actions, causes of action and/or damages, whether in law or in equity, known or unknown, accrued or unaccrued, direct or derivative, liquidated or unliquidated, and suspected or unsuspected, that are based upon facts, events, acts, or omissions occurring on or before the date of this Agreement, including, but not limited to, any matter or action related to Executive’s employment with or separation from the Company or any claims under the Employment Agreement. Executive understands and agrees that the release of claims contained in this Section 6 includes, but is not limited to, any and all claims arising under any state or local laws, rules, regulations or ordinances, including but not limited to all claims arising under any federal laws, rules or regulations, including but not limited to, Title VII of the Civil Rights Act of 1964, the Civil Rights Act of 1866, the Family and Medical Leave Act, the Americans With Disabilities Act, the ADA Amendments Act, the Fair Labor Standards Act, the Age Discrimination in Employment Act, including the Older Workers Benefit Protection Act, the Genetic Information Nondiscrimination Act, the Employee Retirement Income Security Act, the Sarbanes-Oxley Act, the False Claims Act, the Dodd-Frank Wall Street Reform and Consumer Protection Act, the Texas Labor Code (specifically including the Texas Payday Act, the Texas Anti-Retaliation Act, and the Texas Commission on Human Rights Act), the Texas Whistleblower Act, and any other federal, state, or local laws, rules, or regulations, whether equal employment opportunity laws, rules, or regulations or otherwise that may be applicable to Executive during the term of his employment</w:t>
      </w: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Arial" w:cs="Arial" w:eastAsia="Arial" w:hAnsi="Arial"/>
          <w:sz w:val="22"/>
          <w:szCs w:val="22"/>
          <w:color w:val="auto"/>
        </w:rPr>
        <w:t>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88" w:right="499" w:bottom="1440" w:gutter="0" w:footer="0" w:header="0"/>
        </w:sectPr>
      </w:pPr>
    </w:p>
    <w:bookmarkStart w:id="96" w:name="page97"/>
    <w:bookmarkEnd w:id="96"/>
    <w:p>
      <w:pPr>
        <w:ind w:left="100"/>
        <w:spacing w:after="0"/>
        <w:rPr>
          <w:sz w:val="20"/>
          <w:szCs w:val="20"/>
          <w:color w:val="auto"/>
        </w:rPr>
      </w:pPr>
      <w:r>
        <w:rPr>
          <w:rFonts w:ascii="Arial" w:cs="Arial" w:eastAsia="Arial" w:hAnsi="Arial"/>
          <w:sz w:val="22"/>
          <w:szCs w:val="22"/>
          <w:color w:val="auto"/>
        </w:rPr>
        <w:t>with the Company as well as any and all tort, contract, statutory or common law claims, matters or actions.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100" w:firstLine="1490"/>
        <w:spacing w:after="0" w:line="246" w:lineRule="auto"/>
        <w:tabs>
          <w:tab w:leader="none" w:pos="2025"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Release of Executive by the Company</w:t>
      </w:r>
      <w:r>
        <w:rPr>
          <w:rFonts w:ascii="Arial" w:cs="Arial" w:eastAsia="Arial" w:hAnsi="Arial"/>
          <w:sz w:val="21"/>
          <w:szCs w:val="21"/>
          <w:color w:val="auto"/>
        </w:rPr>
        <w:t>. The Company, P10, and Company Released Parties agree that subject to the exceptions set forth herein, they will release all Company Claims against Executive in exchange for the mutual promises and covenants in this Agreement. “Company Claims” covers any and all charges, complaints, claims, actions, causes of action, suits, rights, demands, liabilities, obligations, costs, losses, debts, and expenses (including any attorneys’ fees and costs incurred) of any nature whatsoever, whether in law or in equity, whether known or unknown, whether suspected or unsuspected, whether accrued or unaccrued, arising from the beginning of time up to and including the date of this Agreement. Company Claims includes without limitation all actions or demands of any kind that Company Releasors now have or may have had or claim to have in the future.</w:t>
      </w:r>
    </w:p>
    <w:p>
      <w:pPr>
        <w:spacing w:after="0" w:line="206" w:lineRule="exact"/>
        <w:rPr>
          <w:rFonts w:ascii="Arial" w:cs="Arial" w:eastAsia="Arial" w:hAnsi="Arial"/>
          <w:sz w:val="21"/>
          <w:szCs w:val="21"/>
          <w:color w:val="auto"/>
        </w:rPr>
      </w:pPr>
    </w:p>
    <w:p>
      <w:pPr>
        <w:ind w:left="1600" w:hanging="758"/>
        <w:spacing w:after="0"/>
        <w:tabs>
          <w:tab w:leader="none" w:pos="16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Exceptions to Release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00" w:firstLine="1490"/>
        <w:spacing w:after="0" w:line="271" w:lineRule="auto"/>
        <w:tabs>
          <w:tab w:leader="none" w:pos="2025" w:val="left"/>
        </w:tabs>
        <w:numPr>
          <w:ilvl w:val="1"/>
          <w:numId w:val="68"/>
        </w:numPr>
        <w:rPr>
          <w:rFonts w:ascii="Arial" w:cs="Arial" w:eastAsia="Arial" w:hAnsi="Arial"/>
          <w:sz w:val="19"/>
          <w:szCs w:val="19"/>
          <w:color w:val="auto"/>
        </w:rPr>
      </w:pPr>
      <w:r>
        <w:rPr>
          <w:rFonts w:ascii="Arial" w:cs="Arial" w:eastAsia="Arial" w:hAnsi="Arial"/>
          <w:sz w:val="19"/>
          <w:szCs w:val="19"/>
          <w:color w:val="auto"/>
        </w:rPr>
        <w:t>Notwithstanding the foregoing Release in Section 6(a), Executive does not waive any rights Executive may have (i) under COBRA; (ii) to Executive’s currently vested rights under the Company’s benefit plans; (iii) to benefits and/or the right to seek benefits under applicable workers’ compensation and/or unemployment compensation statutes; (iv) to pursue claims which by law cannot be waived; and (v) to Executive’s rights to indemnification from the Company as an officer or director whether pursuant to any agreement or by operation of law, including, without limitation, pursuant to the Employment Agreement. This Agreement does not limit Executive’s ability to bring an administrative charge with an administrative agency, including the Equal Employment Opportunity Commission or a similar state or local agency, or with the National Labor Relations Board, but Executive expressly waives and releases any right to recover any type of personal relief from the Company, including monetary damages or reinstatement, in any administrative action or proceeding, whether federal, state, or local, and whether brought by Executive or on Executive’s behalf by an administrative agency, related in any way to the matters released in this Agreement. Nothing in this Agreement is intended to or shall prevent, impede, or interfere with Executive’s non-waivable right, without prior notice to the Company, to provide information to the government, participate in investigations, file a complaint, testify in proceedings regarding the Company’s, P10’s, or Company Released Parties’ past or future conduct, engage in any future activities protected under the whistleblower statutes, or to receive and fully retain a monetary award from a government-administered whistleblower award program for providing information directly to a government agency.</w:t>
      </w: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jc w:val="both"/>
        <w:ind w:left="100" w:firstLine="1490"/>
        <w:spacing w:after="0" w:line="236" w:lineRule="auto"/>
        <w:tabs>
          <w:tab w:leader="none" w:pos="2025" w:val="left"/>
        </w:tabs>
        <w:numPr>
          <w:ilvl w:val="1"/>
          <w:numId w:val="68"/>
        </w:numPr>
        <w:rPr>
          <w:rFonts w:ascii="Arial" w:cs="Arial" w:eastAsia="Arial" w:hAnsi="Arial"/>
          <w:sz w:val="22"/>
          <w:szCs w:val="22"/>
          <w:color w:val="auto"/>
        </w:rPr>
      </w:pPr>
      <w:r>
        <w:rPr>
          <w:rFonts w:ascii="Arial" w:cs="Arial" w:eastAsia="Arial" w:hAnsi="Arial"/>
          <w:sz w:val="22"/>
          <w:szCs w:val="22"/>
          <w:color w:val="auto"/>
        </w:rPr>
        <w:t>Notwithstanding the foregoing Release in Section 6(b), in the event Executive is found guilty of or enters a plea of nolo contendere to any criminal action based upon conduct occurring during the Term of the Employment Agreement or Transition Period, the Company, P10, and Company Released Parties do not waive any rights they may have to assert claims for civil damages or injunctive relief arising out of the same conduct or actions forming the basis of the criminal conviction.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88" w:right="499" w:bottom="1440" w:gutter="0" w:footer="0" w:header="0"/>
        </w:sectPr>
      </w:pPr>
    </w:p>
    <w:bookmarkStart w:id="97" w:name="page98"/>
    <w:bookmarkEnd w:id="97"/>
    <w:p>
      <w:pPr>
        <w:jc w:val="both"/>
        <w:ind w:left="100" w:firstLine="749"/>
        <w:spacing w:after="0" w:line="279" w:lineRule="auto"/>
        <w:rPr>
          <w:sz w:val="20"/>
          <w:szCs w:val="20"/>
          <w:color w:val="auto"/>
        </w:rPr>
      </w:pPr>
      <w:r>
        <w:rPr>
          <w:rFonts w:ascii="Arial" w:cs="Arial" w:eastAsia="Arial" w:hAnsi="Arial"/>
          <w:sz w:val="19"/>
          <w:szCs w:val="19"/>
          <w:color w:val="auto"/>
        </w:rPr>
        <w:t>8.</w:t>
      </w:r>
      <w:r>
        <w:rPr>
          <w:rFonts w:ascii="Arial" w:cs="Arial" w:eastAsia="Arial" w:hAnsi="Arial"/>
          <w:sz w:val="19"/>
          <w:szCs w:val="19"/>
          <w:u w:val="single" w:color="auto"/>
          <w:color w:val="auto"/>
        </w:rPr>
        <w:t>Executive’s Affirmation</w:t>
      </w:r>
      <w:r>
        <w:rPr>
          <w:rFonts w:ascii="Arial" w:cs="Arial" w:eastAsia="Arial" w:hAnsi="Arial"/>
          <w:sz w:val="19"/>
          <w:szCs w:val="19"/>
          <w:color w:val="auto"/>
        </w:rPr>
        <w:t>. Executive affirms that as of the date of this Agreement, he has been paid and/or has received all leave (paid or unpaid); compensation, wages, bonuses, commissions, and/or benefits to which he may be entitled, and that no other leave (paid or unpaid), compensation, wages, bonuses, commissions, and/or benefits are due to Executive except as provided under this Agreement. Executive further affirms that he has not been retaliated against for reporting any allegations of wrongdoing by the Company, P10, or its officers, including any allegations of corporate fraud or discriminated against based on Executive’s actual or perceived status in any protected class or status recognized by state or federal law.</w:t>
      </w:r>
    </w:p>
    <w:p>
      <w:pPr>
        <w:spacing w:after="0" w:line="191" w:lineRule="exact"/>
        <w:rPr>
          <w:sz w:val="20"/>
          <w:szCs w:val="20"/>
          <w:color w:val="auto"/>
        </w:rPr>
      </w:pPr>
    </w:p>
    <w:p>
      <w:pPr>
        <w:jc w:val="both"/>
        <w:ind w:left="100" w:firstLine="749"/>
        <w:spacing w:after="0" w:line="273" w:lineRule="auto"/>
        <w:rPr>
          <w:sz w:val="20"/>
          <w:szCs w:val="20"/>
          <w:color w:val="auto"/>
        </w:rPr>
      </w:pPr>
      <w:r>
        <w:rPr>
          <w:rFonts w:ascii="Arial" w:cs="Arial" w:eastAsia="Arial" w:hAnsi="Arial"/>
          <w:sz w:val="19"/>
          <w:szCs w:val="19"/>
          <w:color w:val="auto"/>
        </w:rPr>
        <w:t>9.</w:t>
      </w:r>
      <w:r>
        <w:rPr>
          <w:rFonts w:ascii="Arial" w:cs="Arial" w:eastAsia="Arial" w:hAnsi="Arial"/>
          <w:sz w:val="19"/>
          <w:szCs w:val="19"/>
          <w:u w:val="single" w:color="auto"/>
          <w:color w:val="auto"/>
        </w:rPr>
        <w:t>No Initiated Claims</w:t>
      </w:r>
      <w:r>
        <w:rPr>
          <w:rFonts w:ascii="Arial" w:cs="Arial" w:eastAsia="Arial" w:hAnsi="Arial"/>
          <w:sz w:val="19"/>
          <w:szCs w:val="19"/>
          <w:color w:val="auto"/>
        </w:rPr>
        <w:t>. Executive represents, warrants, and agrees that he has not filed any lawsuits or arbitrations against the Company, P10, Affiliated Entities, or any Company Released Parties, or filed or caused to be filed any claims, charges, or complaints against the Company, Affiliated Entities, or any Company Released Parties, in any administrative, judicial, arbitral, or other forum, including any charges or complaints against the Company, P10, Affiliated Entities, or any Company Released Parties with any international, federal, state, or local agency charged with the enforcement of any law or any self-regulatory organization, and Executive is not aware of any factual or legal basis for any legitimate claim that the Company, P10, Affiliated Entities, or any Company Released Parties are in violation of any whistleblower, corporate compliance, or other regulatory obligation under international, federal, state, or local law, rule, or Company policy. Executive further represents, warrants, and agrees that if he were ever aware of any such basis for a legitimate claim against the Company, P10, Affiliated Entities, or any Related Parties, Executive informed the Company of same.</w:t>
      </w:r>
    </w:p>
    <w:p>
      <w:pPr>
        <w:spacing w:after="0" w:line="188" w:lineRule="exact"/>
        <w:rPr>
          <w:sz w:val="20"/>
          <w:szCs w:val="20"/>
          <w:color w:val="auto"/>
        </w:rPr>
      </w:pPr>
    </w:p>
    <w:p>
      <w:pPr>
        <w:jc w:val="both"/>
        <w:ind w:left="100" w:firstLine="749"/>
        <w:spacing w:after="0" w:line="250" w:lineRule="auto"/>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No Admission</w:t>
      </w:r>
      <w:r>
        <w:rPr>
          <w:rFonts w:ascii="Arial" w:cs="Arial" w:eastAsia="Arial" w:hAnsi="Arial"/>
          <w:sz w:val="22"/>
          <w:szCs w:val="22"/>
          <w:color w:val="auto"/>
        </w:rPr>
        <w:t>. This Agreement shall not be construed as an admission by either the Company, P10, the Affiliated Entities, Company Released Parties, or Executive that they acted wrongfully.</w:t>
      </w:r>
    </w:p>
    <w:p>
      <w:pPr>
        <w:spacing w:after="0" w:line="215" w:lineRule="exact"/>
        <w:rPr>
          <w:sz w:val="20"/>
          <w:szCs w:val="20"/>
          <w:color w:val="auto"/>
        </w:rPr>
      </w:pPr>
    </w:p>
    <w:p>
      <w:pPr>
        <w:jc w:val="both"/>
        <w:ind w:left="100" w:firstLine="749"/>
        <w:spacing w:after="0" w:line="244" w:lineRule="auto"/>
        <w:rPr>
          <w:sz w:val="20"/>
          <w:szCs w:val="20"/>
          <w:color w:val="auto"/>
        </w:rPr>
      </w:pPr>
      <w:r>
        <w:rPr>
          <w:rFonts w:ascii="Arial" w:cs="Arial" w:eastAsia="Arial" w:hAnsi="Arial"/>
          <w:sz w:val="21"/>
          <w:szCs w:val="21"/>
          <w:color w:val="auto"/>
        </w:rPr>
        <w:t>11.</w:t>
      </w:r>
      <w:r>
        <w:rPr>
          <w:rFonts w:ascii="Arial" w:cs="Arial" w:eastAsia="Arial" w:hAnsi="Arial"/>
          <w:sz w:val="21"/>
          <w:szCs w:val="21"/>
          <w:u w:val="single" w:color="auto"/>
          <w:color w:val="auto"/>
        </w:rPr>
        <w:t>Return of Property</w:t>
      </w:r>
      <w:r>
        <w:rPr>
          <w:rFonts w:ascii="Arial" w:cs="Arial" w:eastAsia="Arial" w:hAnsi="Arial"/>
          <w:sz w:val="21"/>
          <w:szCs w:val="21"/>
          <w:color w:val="auto"/>
        </w:rPr>
        <w:t>. Executive agrees that within ten (10) business days of the Transition Date, he shall return all of the Company’s, P10’s, and the Affiliated Entities’ property in his possession, including without limitation, all documents, records, files, notebooks, manuals, letters, notes, reports, customer and supplier lists, cost and profit data, e-mail, apparatus, laptops, computers, smartphones, tablets or other PDAs, hardware, software, drawings, blueprints, and any other material of the Company, P10, P10 Holdings, or any Affiliated Entities or clients, including all materials pertaining to Confidential Information developed by Executive or others, and all copies of such materials, whether of a technical, business or fiscal nature, whether on the hard drive of a laptop or desktop computer, in hard copy, disk or any other format, which are in his possession, custody or control; provided, however, that (i) Executive may retain such property, documents, and information as are required in connection with his role as Executive Vice Chairman, it being understood that the Executive shall be obliged to return such materials on or before the Transition End Date. Executive agrees that in the event Executive subsequently discovers any Company, P10, or Affiliated Entities’ property in Executive’s possession, Executive will promptly return such property. This Section 11 shall supersede and replace Executive’s obligations in Section 6(a)(ii) of the Employment Agreement.</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12.</w:t>
      </w:r>
      <w:r>
        <w:rPr>
          <w:rFonts w:ascii="Arial" w:cs="Arial" w:eastAsia="Arial" w:hAnsi="Arial"/>
          <w:sz w:val="22"/>
          <w:szCs w:val="22"/>
          <w:u w:val="single" w:color="auto"/>
          <w:color w:val="auto"/>
        </w:rPr>
        <w:t>Reaffirmation of Confidentiality Obligations and Restrictive Covenants</w:t>
      </w:r>
      <w:r>
        <w:rPr>
          <w:rFonts w:ascii="Arial" w:cs="Arial" w:eastAsia="Arial" w:hAnsi="Arial"/>
          <w:sz w:val="22"/>
          <w:szCs w:val="22"/>
          <w:color w:val="auto"/>
        </w:rPr>
        <w:t>. Executive</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22"/>
          <w:szCs w:val="22"/>
          <w:color w:val="auto"/>
        </w:rPr>
        <w:t>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88" w:right="499" w:bottom="1440" w:gutter="0" w:footer="0" w:header="0"/>
        </w:sectPr>
      </w:pPr>
    </w:p>
    <w:bookmarkStart w:id="98" w:name="page99"/>
    <w:bookmarkEnd w:id="98"/>
    <w:p>
      <w:pPr>
        <w:jc w:val="both"/>
        <w:ind w:left="100"/>
        <w:spacing w:after="0" w:line="287" w:lineRule="auto"/>
        <w:rPr>
          <w:sz w:val="20"/>
          <w:szCs w:val="20"/>
          <w:color w:val="auto"/>
        </w:rPr>
      </w:pPr>
      <w:r>
        <w:rPr>
          <w:rFonts w:ascii="Arial" w:cs="Arial" w:eastAsia="Arial" w:hAnsi="Arial"/>
          <w:sz w:val="19"/>
          <w:szCs w:val="19"/>
          <w:color w:val="auto"/>
        </w:rPr>
        <w:t>acknowledges that during the Transition Period he will have access to and be given Confidential Information (defined in the Employment Agreement) of P10, the Company, the Affiliated Entities, and its clients that Executive did not have access to or was not given prior to the execution of this Agreement. Accordingly, in order to continue to protect the legitimate business interests of the Company, P10, and the Affiliated Entities, Executive reaffirms his obligations under the Section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88" w:right="499" w:bottom="1440" w:gutter="0" w:footer="0" w:header="0"/>
        </w:sectPr>
      </w:pPr>
    </w:p>
    <w:bookmarkStart w:id="99" w:name="page100"/>
    <w:bookmarkEnd w:id="99"/>
    <w:p>
      <w:pPr>
        <w:jc w:val="both"/>
        <w:ind w:left="100"/>
        <w:spacing w:after="0" w:line="272" w:lineRule="auto"/>
        <w:rPr>
          <w:sz w:val="20"/>
          <w:szCs w:val="20"/>
          <w:color w:val="auto"/>
        </w:rPr>
      </w:pPr>
      <w:r>
        <w:rPr>
          <w:rFonts w:ascii="Arial" w:cs="Arial" w:eastAsia="Arial" w:hAnsi="Arial"/>
          <w:sz w:val="19"/>
          <w:szCs w:val="19"/>
          <w:color w:val="auto"/>
        </w:rPr>
        <w:t>6 of the Employment Agreement (other than Section 6(a)(ii)), including his obligations of confidentiality and non-solicitation obligations, represents and warrants that he has not breached the same, and understands that such obligations continue after the Transition Date throughout the Transition Period. The Parties incorporate such obligations into this Agreement as if fully set forth herein and acknowledge that Executive’s breach of those obligations shall constitute a breach of this Agreement; provided, however, that the non-solicitation restrictions found in Section 6 of the Employment Agreement shall not prohibit Executive from soliciting or hiring Caryn Peeples for employment after the Transition End Date. Notwithstanding the foregoing, the Parties agreement that the Restricted Period, as that term is used in Section 6(b) of the Employment Agreement shall run for the Transition Period and for a period of one (1) year following the Transition End Date. The Executive acknowledges that the Company, P10, and/or the Affiliated Entities would be irreparably injured by a violation of the confidentiality obligations and non-solicitation restrictions and agrees that the Company shall be entitled to an injunction restraining the Executive from any actual or threatened breach of these restrictive covenants, or to any other appropriate equitable remedy without bond or other security being required. Any such relief shall be in addition to and not in lieu of any appropriate relief in the way of monetary damages that the parties may seek in arbitration.</w:t>
      </w:r>
    </w:p>
    <w:p>
      <w:pPr>
        <w:spacing w:after="0" w:line="156" w:lineRule="exact"/>
        <w:rPr>
          <w:sz w:val="20"/>
          <w:szCs w:val="20"/>
          <w:color w:val="auto"/>
        </w:rPr>
      </w:pPr>
    </w:p>
    <w:p>
      <w:pPr>
        <w:jc w:val="both"/>
        <w:ind w:left="100" w:firstLine="749"/>
        <w:spacing w:after="0" w:line="243" w:lineRule="auto"/>
        <w:rPr>
          <w:sz w:val="20"/>
          <w:szCs w:val="20"/>
          <w:color w:val="auto"/>
        </w:rPr>
      </w:pPr>
      <w:r>
        <w:rPr>
          <w:rFonts w:ascii="Arial" w:cs="Arial" w:eastAsia="Arial" w:hAnsi="Arial"/>
          <w:sz w:val="21"/>
          <w:szCs w:val="21"/>
          <w:color w:val="auto"/>
        </w:rPr>
        <w:t>13.</w:t>
      </w:r>
      <w:r>
        <w:rPr>
          <w:rFonts w:ascii="Arial" w:cs="Arial" w:eastAsia="Arial" w:hAnsi="Arial"/>
          <w:sz w:val="21"/>
          <w:szCs w:val="21"/>
          <w:u w:val="single" w:color="auto"/>
          <w:color w:val="auto"/>
        </w:rPr>
        <w:t>Non-Competition</w:t>
      </w:r>
      <w:r>
        <w:rPr>
          <w:rFonts w:ascii="Arial" w:cs="Arial" w:eastAsia="Arial" w:hAnsi="Arial"/>
          <w:sz w:val="21"/>
          <w:szCs w:val="21"/>
          <w:color w:val="auto"/>
        </w:rPr>
        <w:t>. In exchange for the Company’s agreement to execute this Agreement and its promise to provide Executive with access to and be given Confidential Information of P10, the Company, the Affiliated Entities, and its clients, during the Transition Period and for a period of one year following the Transition End Date, Executive agrees that, Executive will not, directly or indirectly, acquire a partial or controlling stake in an alternative asset manager that: (1) exceeds $25 million in purchase price; or (2) directly competes with a Company vertical or was reviewed by the Company as an acquisition target within the Transition Period (each a “</w:t>
      </w:r>
      <w:r>
        <w:rPr>
          <w:rFonts w:ascii="Arial" w:cs="Arial" w:eastAsia="Arial" w:hAnsi="Arial"/>
          <w:sz w:val="21"/>
          <w:szCs w:val="21"/>
          <w:u w:val="single" w:color="auto"/>
          <w:color w:val="auto"/>
        </w:rPr>
        <w:t>Restricted Entity</w:t>
      </w:r>
      <w:r>
        <w:rPr>
          <w:rFonts w:ascii="Arial" w:cs="Arial" w:eastAsia="Arial" w:hAnsi="Arial"/>
          <w:sz w:val="21"/>
          <w:szCs w:val="21"/>
          <w:color w:val="auto"/>
        </w:rPr>
        <w:t>”). In addition, during the Restricted Period, Executive will not become an employee of an alternative asset manager that is part of a publicly traded company. Notwithstanding the restrictions contained in this Section 13, Executive may own or acquire an aggregate of not more than 4.9% of any publicly traded Restricted Entity without violating the provisions of this Section 13, provided that Executive remains a passive owner of common stock during the Restricted Period and does not have the power, directly or indirectly, to control or direct the management or affairs of any such corporation and is not involved in the management of such Restricted Entity. Executive acknowledges that the Company would be irreparably injured by a violation of this Section 13 and the Parties agree that the sole and exclusive remedy available to the Company for any breach by Executive of this Section 13 shall be a temporary restraining order and other injunctive relief prohibiting the Executive from any actual or threatened breach of this Section 13 without bond or other security being required as well as the Company’s attorneys’ fees incurred in obtaining injunctive relief. No additional monetary remedy shall be available to the Company for any breach by Executive of this Section 13.</w:t>
      </w:r>
    </w:p>
    <w:p>
      <w:pPr>
        <w:spacing w:after="0" w:line="28" w:lineRule="exact"/>
        <w:rPr>
          <w:sz w:val="20"/>
          <w:szCs w:val="20"/>
          <w:color w:val="auto"/>
        </w:rPr>
      </w:pPr>
    </w:p>
    <w:p>
      <w:pPr>
        <w:jc w:val="both"/>
        <w:ind w:left="100" w:firstLine="749"/>
        <w:spacing w:after="0" w:line="238" w:lineRule="auto"/>
        <w:rPr>
          <w:sz w:val="20"/>
          <w:szCs w:val="20"/>
          <w:color w:val="auto"/>
        </w:rPr>
      </w:pPr>
      <w:r>
        <w:rPr>
          <w:rFonts w:ascii="Arial" w:cs="Arial" w:eastAsia="Arial" w:hAnsi="Arial"/>
          <w:sz w:val="22"/>
          <w:szCs w:val="22"/>
          <w:color w:val="auto"/>
        </w:rPr>
        <w:t>14.</w:t>
      </w:r>
      <w:r>
        <w:rPr>
          <w:rFonts w:ascii="Arial" w:cs="Arial" w:eastAsia="Arial" w:hAnsi="Arial"/>
          <w:sz w:val="22"/>
          <w:szCs w:val="22"/>
          <w:u w:val="single" w:color="auto"/>
          <w:color w:val="auto"/>
        </w:rPr>
        <w:t>Survival and Reaffirmation of Employment Agreement Terms</w:t>
      </w:r>
      <w:r>
        <w:rPr>
          <w:rFonts w:ascii="Arial" w:cs="Arial" w:eastAsia="Arial" w:hAnsi="Arial"/>
          <w:sz w:val="22"/>
          <w:szCs w:val="22"/>
          <w:color w:val="auto"/>
        </w:rPr>
        <w:t>. The Parties acknowledges that certain provisions of the Employment Agreement survive the termination of Executive’s employment and remain in full force and effect and are incorporated herein by reference, including but not limited to the terms and obligations set forth in Sections 5(b), 7, and 8 of the Employment Agreement.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22"/>
          <w:szCs w:val="22"/>
          <w:color w:val="auto"/>
        </w:rPr>
        <w:t>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34" w:right="499" w:bottom="1440" w:gutter="0" w:footer="0" w:header="0"/>
        </w:sectPr>
      </w:pPr>
    </w:p>
    <w:bookmarkStart w:id="100" w:name="page101"/>
    <w:bookmarkEnd w:id="100"/>
    <w:p>
      <w:pPr>
        <w:jc w:val="both"/>
        <w:ind w:left="100" w:firstLine="749"/>
        <w:spacing w:after="0" w:line="274" w:lineRule="auto"/>
        <w:rPr>
          <w:sz w:val="20"/>
          <w:szCs w:val="20"/>
          <w:color w:val="auto"/>
        </w:rPr>
      </w:pPr>
      <w:r>
        <w:rPr>
          <w:rFonts w:ascii="Arial" w:cs="Arial" w:eastAsia="Arial" w:hAnsi="Arial"/>
          <w:sz w:val="19"/>
          <w:szCs w:val="19"/>
          <w:color w:val="auto"/>
        </w:rPr>
        <w:t>15.</w:t>
      </w: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that he will not make any statement to any third party that is intended to or is reasonably likely to disparage, slander, or otherwise damage the business reputation of the Company, P10, Affiliated Entities, or Company Released Parties, other than statements to any government agencies or statements under oath in connection with a legal proceeding or other compulsory legal process. The Company agrees that (a) it shall not issue any statement on behalf of the Company, P10, or the Affiliated Entities concerning the Executive that is intended to or are reasonably likely to disparage, slander, or otherwise damage the business reputation of Executive except to the extent required by law, and (b) it shall instruct its directors and officers not to make any statement concerning Executive that is intended to or is reasonably likely to disparage, slander, or otherwise damage the business reputation of Executive (other than statements to any government agencies or statements under oath in connection with a legal proceeding or other compulsory legal process).</w:t>
      </w:r>
    </w:p>
    <w:p>
      <w:pPr>
        <w:spacing w:after="0" w:line="185" w:lineRule="exact"/>
        <w:rPr>
          <w:sz w:val="20"/>
          <w:szCs w:val="20"/>
          <w:color w:val="auto"/>
        </w:rPr>
      </w:pPr>
    </w:p>
    <w:p>
      <w:pPr>
        <w:jc w:val="both"/>
        <w:ind w:left="100" w:firstLine="749"/>
        <w:spacing w:after="0"/>
        <w:rPr>
          <w:sz w:val="20"/>
          <w:szCs w:val="20"/>
          <w:color w:val="auto"/>
        </w:rPr>
      </w:pPr>
      <w:r>
        <w:rPr>
          <w:rFonts w:ascii="Arial" w:cs="Arial" w:eastAsia="Arial" w:hAnsi="Arial"/>
          <w:sz w:val="22"/>
          <w:szCs w:val="22"/>
          <w:color w:val="auto"/>
        </w:rPr>
        <w:t>16.</w:t>
      </w: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either the Company or the Executive of a breach of any provision of this Agreement shall not operate as or be deemed a waiver of any subsequent breach by either the Company or the Executive. Any waiver must be in writing.</w:t>
      </w:r>
    </w:p>
    <w:p>
      <w:pPr>
        <w:spacing w:after="0" w:line="227" w:lineRule="exact"/>
        <w:rPr>
          <w:sz w:val="20"/>
          <w:szCs w:val="20"/>
          <w:color w:val="auto"/>
        </w:rPr>
      </w:pPr>
    </w:p>
    <w:p>
      <w:pPr>
        <w:jc w:val="both"/>
        <w:ind w:left="100" w:right="20" w:firstLine="749"/>
        <w:spacing w:after="0"/>
        <w:rPr>
          <w:sz w:val="20"/>
          <w:szCs w:val="20"/>
          <w:color w:val="auto"/>
        </w:rPr>
      </w:pPr>
      <w:r>
        <w:rPr>
          <w:rFonts w:ascii="Arial" w:cs="Arial" w:eastAsia="Arial" w:hAnsi="Arial"/>
          <w:sz w:val="22"/>
          <w:szCs w:val="22"/>
          <w:color w:val="auto"/>
        </w:rPr>
        <w:t>17.</w:t>
      </w: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orally in any manner or in writing without the written consent of the Company and the Executive. No provision of this Agreement may be waived, delayed, modified, terminated, or otherwise impaired without the prior written consent of the Company and the Executive.</w:t>
      </w:r>
    </w:p>
    <w:p>
      <w:pPr>
        <w:spacing w:after="0" w:line="227" w:lineRule="exact"/>
        <w:rPr>
          <w:sz w:val="20"/>
          <w:szCs w:val="20"/>
          <w:color w:val="auto"/>
        </w:rPr>
      </w:pPr>
    </w:p>
    <w:p>
      <w:pPr>
        <w:jc w:val="both"/>
        <w:ind w:left="100" w:firstLine="749"/>
        <w:spacing w:after="0" w:line="275" w:lineRule="auto"/>
        <w:rPr>
          <w:sz w:val="20"/>
          <w:szCs w:val="20"/>
          <w:color w:val="auto"/>
        </w:rPr>
      </w:pPr>
      <w:r>
        <w:rPr>
          <w:rFonts w:ascii="Arial" w:cs="Arial" w:eastAsia="Arial" w:hAnsi="Arial"/>
          <w:sz w:val="19"/>
          <w:szCs w:val="19"/>
          <w:color w:val="auto"/>
        </w:rPr>
        <w:t>18.</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represents and contains the entire understanding between the Parties in connection with its subject matter, subject to the terms of the Carried Interest Allocation Agreement and any other agreements specifically referenced in this Agreement as continuing after the execution of this Agreement. Executive acknowledges that in signing this Agreement, Executive has not relied upon any representation or statement not set forth in this Agreement made by the Company, P10, the Affiliated Entities, or any of their representatives. The Company makes no representations regarding its relationship with or obligations to Executive, or as to the tax consequences of Executive entering into this Agreement, and none it may have made in the past survive, except as expressly set forth in this Agreement. Executive expressly agrees that the Company shall have no liability to him for any tax or penalty imposed on him by this Agreement.</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19.</w:t>
      </w:r>
      <w:r>
        <w:rPr>
          <w:rFonts w:ascii="Arial" w:cs="Arial" w:eastAsia="Arial" w:hAnsi="Arial"/>
          <w:sz w:val="19"/>
          <w:szCs w:val="19"/>
          <w:u w:val="single" w:color="auto"/>
          <w:color w:val="auto"/>
        </w:rPr>
        <w:t>Applicable Law</w:t>
      </w:r>
      <w:r>
        <w:rPr>
          <w:rFonts w:ascii="Arial" w:cs="Arial" w:eastAsia="Arial" w:hAnsi="Arial"/>
          <w:sz w:val="19"/>
          <w:szCs w:val="19"/>
          <w:color w:val="auto"/>
        </w:rPr>
        <w:t>. The provisions of this Agreement shall be construed in accordance with the laws of the State of</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Texas.</w:t>
      </w:r>
    </w:p>
    <w:p>
      <w:pPr>
        <w:spacing w:after="0" w:line="229" w:lineRule="exact"/>
        <w:rPr>
          <w:sz w:val="20"/>
          <w:szCs w:val="20"/>
          <w:color w:val="auto"/>
        </w:rPr>
      </w:pPr>
    </w:p>
    <w:p>
      <w:pPr>
        <w:jc w:val="both"/>
        <w:ind w:left="100" w:right="20" w:firstLine="749"/>
        <w:spacing w:after="0" w:line="250" w:lineRule="auto"/>
        <w:rPr>
          <w:sz w:val="20"/>
          <w:szCs w:val="20"/>
          <w:color w:val="auto"/>
        </w:rPr>
      </w:pPr>
      <w:r>
        <w:rPr>
          <w:rFonts w:ascii="Arial" w:cs="Arial" w:eastAsia="Arial" w:hAnsi="Arial"/>
          <w:sz w:val="22"/>
          <w:szCs w:val="22"/>
          <w:color w:val="auto"/>
        </w:rPr>
        <w:t>20.</w:t>
      </w:r>
      <w:r>
        <w:rPr>
          <w:rFonts w:ascii="Arial" w:cs="Arial" w:eastAsia="Arial" w:hAnsi="Arial"/>
          <w:sz w:val="22"/>
          <w:szCs w:val="22"/>
          <w:u w:val="single" w:color="auto"/>
          <w:color w:val="auto"/>
        </w:rPr>
        <w:t>Survival</w:t>
      </w:r>
      <w:r>
        <w:rPr>
          <w:rFonts w:ascii="Arial" w:cs="Arial" w:eastAsia="Arial" w:hAnsi="Arial"/>
          <w:sz w:val="22"/>
          <w:szCs w:val="22"/>
          <w:color w:val="auto"/>
        </w:rPr>
        <w:t>. Unless otherwise expressly provided, the respective rights and obligations of the parties hereunder, including, without limitation, the rights and obligations set</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color w:val="auto"/>
        </w:rPr>
        <w:t>10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591" w:right="499" w:bottom="1440" w:gutter="0" w:footer="0" w:header="0"/>
        </w:sectPr>
      </w:pPr>
    </w:p>
    <w:bookmarkStart w:id="101" w:name="page102"/>
    <w:bookmarkEnd w:id="101"/>
    <w:p>
      <w:pPr>
        <w:ind w:left="100"/>
        <w:spacing w:after="0" w:line="250" w:lineRule="auto"/>
        <w:rPr>
          <w:sz w:val="20"/>
          <w:szCs w:val="20"/>
          <w:color w:val="auto"/>
        </w:rPr>
      </w:pPr>
      <w:r>
        <w:rPr>
          <w:rFonts w:ascii="Arial" w:cs="Arial" w:eastAsia="Arial" w:hAnsi="Arial"/>
          <w:sz w:val="22"/>
          <w:szCs w:val="22"/>
          <w:color w:val="auto"/>
        </w:rPr>
        <w:t>forth in Sections 6, 12, 13, 14, and 15 of this Agreement, shall survive any termination of this Agreement to the extent necessary to the intended preservation of such rights and obligations.</w:t>
      </w:r>
    </w:p>
    <w:p>
      <w:pPr>
        <w:spacing w:after="0" w:line="215" w:lineRule="exact"/>
        <w:rPr>
          <w:sz w:val="20"/>
          <w:szCs w:val="20"/>
          <w:color w:val="auto"/>
        </w:rPr>
      </w:pPr>
    </w:p>
    <w:p>
      <w:pPr>
        <w:jc w:val="both"/>
        <w:ind w:left="100" w:right="140" w:firstLine="749"/>
        <w:spacing w:after="0" w:line="252" w:lineRule="auto"/>
        <w:rPr>
          <w:sz w:val="20"/>
          <w:szCs w:val="20"/>
          <w:color w:val="auto"/>
        </w:rPr>
      </w:pPr>
      <w:r>
        <w:rPr>
          <w:rFonts w:ascii="Arial" w:cs="Arial" w:eastAsia="Arial" w:hAnsi="Arial"/>
          <w:sz w:val="21"/>
          <w:szCs w:val="21"/>
          <w:color w:val="auto"/>
        </w:rPr>
        <w:t>21.</w:t>
      </w:r>
      <w:r>
        <w:rPr>
          <w:rFonts w:ascii="Arial" w:cs="Arial" w:eastAsia="Arial" w:hAnsi="Arial"/>
          <w:sz w:val="21"/>
          <w:szCs w:val="21"/>
          <w:u w:val="single" w:color="auto"/>
          <w:color w:val="auto"/>
        </w:rPr>
        <w:t>Assignment</w:t>
      </w:r>
      <w:r>
        <w:rPr>
          <w:rFonts w:ascii="Arial" w:cs="Arial" w:eastAsia="Arial" w:hAnsi="Arial"/>
          <w:sz w:val="21"/>
          <w:szCs w:val="21"/>
          <w:color w:val="auto"/>
        </w:rPr>
        <w:t>. Except as otherwise herein expressly provided, this Agreement shall be binding upon and shall inure to the benefit of Executive and his personal representatives and shall inure to the benefit of and be binding upon the Company and its successors and assigns, except that the Company may not assign this Agreement without Executive’s prior written consent, except to an acquirer of all or substantially all of the assets of the Company.</w:t>
      </w:r>
    </w:p>
    <w:p>
      <w:pPr>
        <w:spacing w:after="0" w:line="201" w:lineRule="exact"/>
        <w:rPr>
          <w:sz w:val="20"/>
          <w:szCs w:val="20"/>
          <w:color w:val="auto"/>
        </w:rPr>
      </w:pPr>
    </w:p>
    <w:p>
      <w:pPr>
        <w:jc w:val="both"/>
        <w:ind w:left="100" w:right="140" w:firstLine="749"/>
        <w:spacing w:after="0" w:line="249" w:lineRule="auto"/>
        <w:rPr>
          <w:sz w:val="20"/>
          <w:szCs w:val="20"/>
          <w:color w:val="auto"/>
        </w:rPr>
      </w:pPr>
      <w:r>
        <w:rPr>
          <w:rFonts w:ascii="Arial" w:cs="Arial" w:eastAsia="Arial" w:hAnsi="Arial"/>
          <w:sz w:val="21"/>
          <w:szCs w:val="21"/>
          <w:color w:val="auto"/>
        </w:rPr>
        <w:t>22.</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219" w:lineRule="exact"/>
        <w:rPr>
          <w:sz w:val="20"/>
          <w:szCs w:val="20"/>
          <w:color w:val="auto"/>
        </w:rPr>
      </w:pPr>
    </w:p>
    <w:p>
      <w:pPr>
        <w:jc w:val="both"/>
        <w:ind w:left="100" w:right="140" w:firstLine="749"/>
        <w:spacing w:after="0" w:line="238" w:lineRule="auto"/>
        <w:rPr>
          <w:sz w:val="20"/>
          <w:szCs w:val="20"/>
          <w:color w:val="auto"/>
        </w:rPr>
      </w:pPr>
      <w:r>
        <w:rPr>
          <w:rFonts w:ascii="Arial" w:cs="Arial" w:eastAsia="Arial" w:hAnsi="Arial"/>
          <w:sz w:val="22"/>
          <w:szCs w:val="22"/>
          <w:color w:val="auto"/>
        </w:rPr>
        <w:t>23.</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electronic, or .pdf signatures shall have the same force and effect as original signatures.</w:t>
      </w:r>
    </w:p>
    <w:p>
      <w:pPr>
        <w:spacing w:after="0" w:line="225" w:lineRule="exact"/>
        <w:rPr>
          <w:sz w:val="20"/>
          <w:szCs w:val="20"/>
          <w:color w:val="auto"/>
        </w:rPr>
      </w:pPr>
    </w:p>
    <w:p>
      <w:pPr>
        <w:jc w:val="both"/>
        <w:ind w:left="100" w:right="140" w:firstLine="749"/>
        <w:spacing w:after="0" w:line="271" w:lineRule="auto"/>
        <w:rPr>
          <w:sz w:val="20"/>
          <w:szCs w:val="20"/>
          <w:color w:val="auto"/>
        </w:rPr>
      </w:pPr>
      <w:r>
        <w:rPr>
          <w:rFonts w:ascii="Arial" w:cs="Arial" w:eastAsia="Arial" w:hAnsi="Arial"/>
          <w:sz w:val="19"/>
          <w:szCs w:val="19"/>
          <w:color w:val="auto"/>
        </w:rPr>
        <w:t>24.</w:t>
      </w:r>
      <w:r>
        <w:rPr>
          <w:rFonts w:ascii="Arial" w:cs="Arial" w:eastAsia="Arial" w:hAnsi="Arial"/>
          <w:sz w:val="19"/>
          <w:szCs w:val="19"/>
          <w:u w:val="single" w:color="auto"/>
          <w:color w:val="auto"/>
        </w:rPr>
        <w:t>Arbitration</w:t>
      </w:r>
      <w:r>
        <w:rPr>
          <w:rFonts w:ascii="Arial" w:cs="Arial" w:eastAsia="Arial" w:hAnsi="Arial"/>
          <w:sz w:val="19"/>
          <w:szCs w:val="19"/>
          <w:color w:val="auto"/>
        </w:rPr>
        <w:t>. All disputes and disagreements arising from, relating to, or otherwise connected with this Agreement, the breach of this Agreement, Executive’s employment with the Company or providing services to the Company, P10, or any Affiliated Entity, the enforcement, interpretation or validity of this Agreement, or the employment relationship (including any wage claim, 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(“JAMS”) pursuant to its Comprehensive Arbitration Rules and Procedures applicable at the time the arbitration is commenced. A copy of the current version of the JAMS Rules will be made available to Executive upon request. The Rules may be amended from time to time and are also available online https://www.jamsadr.com/rules-employment- 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the Executive and the Company. Each of the parties shall bear the fees and expenses of its own legal counsel.</w:t>
      </w:r>
    </w:p>
    <w:p>
      <w:pPr>
        <w:spacing w:after="0" w:line="200" w:lineRule="exact"/>
        <w:rPr>
          <w:sz w:val="20"/>
          <w:szCs w:val="20"/>
          <w:color w:val="auto"/>
        </w:rPr>
      </w:pPr>
    </w:p>
    <w:p>
      <w:pPr>
        <w:spacing w:after="0" w:line="230" w:lineRule="exact"/>
        <w:rPr>
          <w:sz w:val="20"/>
          <w:szCs w:val="20"/>
          <w:color w:val="auto"/>
        </w:rPr>
      </w:pPr>
    </w:p>
    <w:p>
      <w:pPr>
        <w:jc w:val="both"/>
        <w:ind w:left="100" w:right="160" w:firstLine="749"/>
        <w:spacing w:after="0" w:line="250" w:lineRule="auto"/>
        <w:rPr>
          <w:sz w:val="20"/>
          <w:szCs w:val="20"/>
          <w:color w:val="auto"/>
        </w:rPr>
      </w:pPr>
      <w:r>
        <w:rPr>
          <w:rFonts w:ascii="Arial" w:cs="Arial" w:eastAsia="Arial" w:hAnsi="Arial"/>
          <w:sz w:val="22"/>
          <w:szCs w:val="22"/>
          <w:color w:val="auto"/>
        </w:rPr>
        <w:t>25.</w:t>
      </w: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 This Agreement is intended to comply with Section 409A or an exemption thereunder and shall be construed and administered in accordance</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color w:val="auto"/>
        </w:rPr>
        <w:t>11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88" w:right="359" w:bottom="1440" w:gutter="0" w:footer="0" w:header="0"/>
        </w:sectPr>
      </w:pPr>
    </w:p>
    <w:bookmarkStart w:id="102" w:name="page103"/>
    <w:bookmarkEnd w:id="102"/>
    <w:p>
      <w:pPr>
        <w:jc w:val="both"/>
        <w:ind w:left="100"/>
        <w:spacing w:after="0" w:line="277" w:lineRule="auto"/>
        <w:rPr>
          <w:sz w:val="20"/>
          <w:szCs w:val="20"/>
          <w:color w:val="auto"/>
        </w:rPr>
      </w:pPr>
      <w:r>
        <w:rPr>
          <w:rFonts w:ascii="Arial" w:cs="Arial" w:eastAsia="Arial" w:hAnsi="Arial"/>
          <w:sz w:val="19"/>
          <w:szCs w:val="19"/>
          <w:color w:val="auto"/>
        </w:rPr>
        <w:t>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 term deferral shall be excluded from Section 409A to the maximum extent possible.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00" w:right="20" w:firstLine="747"/>
        <w:spacing w:after="0" w:line="250" w:lineRule="auto"/>
        <w:rPr>
          <w:sz w:val="20"/>
          <w:szCs w:val="20"/>
          <w:color w:val="auto"/>
        </w:rPr>
      </w:pPr>
      <w:r>
        <w:rPr>
          <w:rFonts w:ascii="Arial" w:cs="Arial" w:eastAsia="Arial" w:hAnsi="Arial"/>
          <w:sz w:val="22"/>
          <w:szCs w:val="22"/>
          <w:color w:val="auto"/>
        </w:rPr>
        <w:t>IN WITNESS WHEREOF, the Executive and the Company have executed this Employment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450215</wp:posOffset>
            </wp:positionV>
            <wp:extent cx="796925" cy="3683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79692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C. Clark Webb</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-17780</wp:posOffset>
            </wp:positionV>
            <wp:extent cx="14478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0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Amanda Coussens, Chief Financial Officer</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P10 Intermediate Holdings, Inc.</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color w:val="auto"/>
        </w:rPr>
        <w:t>12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88" w:right="4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 AND WAIVER OF CLAIMS</w:t>
      </w:r>
    </w:p>
    <w:p>
      <w:pPr>
        <w:spacing w:after="0" w:line="239" w:lineRule="exact"/>
        <w:rPr>
          <w:sz w:val="20"/>
          <w:szCs w:val="20"/>
          <w:color w:val="auto"/>
        </w:rPr>
      </w:pPr>
    </w:p>
    <w:p>
      <w:pPr>
        <w:jc w:val="both"/>
        <w:ind w:firstLine="747"/>
        <w:spacing w:after="0" w:line="279" w:lineRule="auto"/>
        <w:rPr>
          <w:sz w:val="20"/>
          <w:szCs w:val="20"/>
          <w:color w:val="auto"/>
        </w:rPr>
      </w:pPr>
      <w:r>
        <w:rPr>
          <w:rFonts w:ascii="Arial" w:cs="Arial" w:eastAsia="Arial" w:hAnsi="Arial"/>
          <w:sz w:val="19"/>
          <w:szCs w:val="19"/>
          <w:color w:val="auto"/>
        </w:rPr>
        <w:t>This GENERAL RELEASE AND WAIVER OF CLAIMS (“</w:t>
      </w:r>
      <w:r>
        <w:rPr>
          <w:rFonts w:ascii="Arial" w:cs="Arial" w:eastAsia="Arial" w:hAnsi="Arial"/>
          <w:sz w:val="19"/>
          <w:szCs w:val="19"/>
          <w:u w:val="single" w:color="auto"/>
          <w:color w:val="auto"/>
        </w:rPr>
        <w:t>General Release</w:t>
      </w:r>
      <w:r>
        <w:rPr>
          <w:rFonts w:ascii="Arial" w:cs="Arial" w:eastAsia="Arial" w:hAnsi="Arial"/>
          <w:sz w:val="19"/>
          <w:szCs w:val="19"/>
          <w:color w:val="auto"/>
        </w:rPr>
        <w:t>”) is made and entered into by and between C. Clark Webb (“</w:t>
      </w:r>
      <w:r>
        <w:rPr>
          <w:rFonts w:ascii="Arial" w:cs="Arial" w:eastAsia="Arial" w:hAnsi="Arial"/>
          <w:sz w:val="19"/>
          <w:szCs w:val="19"/>
          <w:u w:val="single" w:color="auto"/>
          <w:color w:val="auto"/>
        </w:rPr>
        <w:t>Executive</w:t>
      </w:r>
      <w:r>
        <w:rPr>
          <w:rFonts w:ascii="Arial" w:cs="Arial" w:eastAsia="Arial" w:hAnsi="Arial"/>
          <w:sz w:val="19"/>
          <w:szCs w:val="19"/>
          <w:color w:val="auto"/>
        </w:rPr>
        <w:t>”) and P10 Intermediate Holdings, Inc. (the “</w:t>
      </w:r>
      <w:r>
        <w:rPr>
          <w:rFonts w:ascii="Arial" w:cs="Arial" w:eastAsia="Arial" w:hAnsi="Arial"/>
          <w:sz w:val="19"/>
          <w:szCs w:val="19"/>
          <w:u w:val="single" w:color="auto"/>
          <w:color w:val="auto"/>
        </w:rPr>
        <w:t>Company</w:t>
      </w:r>
      <w:r>
        <w:rPr>
          <w:rFonts w:ascii="Arial" w:cs="Arial" w:eastAsia="Arial" w:hAnsi="Arial"/>
          <w:sz w:val="19"/>
          <w:szCs w:val="19"/>
          <w:color w:val="auto"/>
        </w:rPr>
        <w:t>”) on behalf of it and its parent, subsidiaries, successors, and assigns, including but not limited to P10, Inc. (“</w:t>
      </w:r>
      <w:r>
        <w:rPr>
          <w:rFonts w:ascii="Arial" w:cs="Arial" w:eastAsia="Arial" w:hAnsi="Arial"/>
          <w:sz w:val="19"/>
          <w:szCs w:val="19"/>
          <w:u w:val="single" w:color="auto"/>
          <w:color w:val="auto"/>
        </w:rPr>
        <w:t>P10</w:t>
      </w:r>
      <w:r>
        <w:rPr>
          <w:rFonts w:ascii="Arial" w:cs="Arial" w:eastAsia="Arial" w:hAnsi="Arial"/>
          <w:sz w:val="19"/>
          <w:szCs w:val="19"/>
          <w:color w:val="auto"/>
        </w:rPr>
        <w:t>”) (collectively with Executive, the “</w:t>
      </w:r>
      <w:r>
        <w:rPr>
          <w:rFonts w:ascii="Arial" w:cs="Arial" w:eastAsia="Arial" w:hAnsi="Arial"/>
          <w:sz w:val="19"/>
          <w:szCs w:val="19"/>
          <w:u w:val="single" w:color="auto"/>
          <w:color w:val="auto"/>
        </w:rPr>
        <w:t>Parties</w:t>
      </w:r>
      <w:r>
        <w:rPr>
          <w:rFonts w:ascii="Arial" w:cs="Arial" w:eastAsia="Arial" w:hAnsi="Arial"/>
          <w:sz w:val="19"/>
          <w:szCs w:val="19"/>
          <w:color w:val="auto"/>
        </w:rPr>
        <w:t>”). Capitalized, undefined terms used in this General Release shall have the meaning ascribed to them in the Executive Transition Agreement (the “</w:t>
      </w:r>
      <w:r>
        <w:rPr>
          <w:rFonts w:ascii="Arial" w:cs="Arial" w:eastAsia="Arial" w:hAnsi="Arial"/>
          <w:sz w:val="19"/>
          <w:szCs w:val="19"/>
          <w:u w:val="single" w:color="auto"/>
          <w:color w:val="auto"/>
        </w:rPr>
        <w:t>Transition Agreement</w:t>
      </w:r>
      <w:r>
        <w:rPr>
          <w:rFonts w:ascii="Arial" w:cs="Arial" w:eastAsia="Arial" w:hAnsi="Arial"/>
          <w:sz w:val="19"/>
          <w:szCs w:val="19"/>
          <w:color w:val="auto"/>
        </w:rPr>
        <w:t>”) between Executive and the Company dated October 20, 2023. In accordance with the terms and conditions set forth in the Transition Agreement, Executive agrees as follows:</w:t>
      </w:r>
    </w:p>
    <w:p>
      <w:pPr>
        <w:spacing w:after="0" w:line="17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1.</w:t>
      </w:r>
      <w:r>
        <w:rPr>
          <w:rFonts w:ascii="Arial" w:cs="Arial" w:eastAsia="Arial" w:hAnsi="Arial"/>
          <w:sz w:val="22"/>
          <w:szCs w:val="22"/>
          <w:u w:val="single" w:color="auto"/>
          <w:color w:val="auto"/>
        </w:rPr>
        <w:t>Execution and Effective Date</w:t>
      </w:r>
      <w:r>
        <w:rPr>
          <w:rFonts w:ascii="Arial" w:cs="Arial" w:eastAsia="Arial" w:hAnsi="Arial"/>
          <w:sz w:val="22"/>
          <w:szCs w:val="22"/>
          <w:color w:val="auto"/>
        </w:rPr>
        <w:t xml:space="preserve">. Executive understands and agrees that he will not be eligible to receive any of the payments and benefits specified in Section 4 of the Transition Agreement or the payments and benefits set forth in Section 5(b) of the Employment Agreement unless Executive executes this Agreement </w:t>
      </w:r>
      <w:r>
        <w:rPr>
          <w:rFonts w:ascii="Arial" w:cs="Arial" w:eastAsia="Arial" w:hAnsi="Arial"/>
          <w:sz w:val="22"/>
          <w:szCs w:val="22"/>
          <w:u w:val="single" w:color="auto"/>
          <w:color w:val="auto"/>
        </w:rPr>
        <w:t>on or after</w:t>
      </w:r>
      <w:r>
        <w:rPr>
          <w:rFonts w:ascii="Arial" w:cs="Arial" w:eastAsia="Arial" w:hAnsi="Arial"/>
          <w:sz w:val="22"/>
          <w:szCs w:val="22"/>
          <w:color w:val="auto"/>
        </w:rPr>
        <w:t xml:space="preserve"> the Transition Date, and does not revoke this General Release in accordance with Section 9 herein.</w:t>
      </w:r>
    </w:p>
    <w:p>
      <w:pPr>
        <w:spacing w:after="0" w:line="225"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21"/>
          <w:szCs w:val="21"/>
          <w:color w:val="auto"/>
        </w:rPr>
        <w:t>2.</w:t>
      </w:r>
      <w:r>
        <w:rPr>
          <w:rFonts w:ascii="Arial" w:cs="Arial" w:eastAsia="Arial" w:hAnsi="Arial"/>
          <w:sz w:val="21"/>
          <w:szCs w:val="21"/>
          <w:u w:val="single" w:color="auto"/>
          <w:color w:val="auto"/>
        </w:rPr>
        <w:t>Effective Date</w:t>
      </w:r>
      <w:r>
        <w:rPr>
          <w:rFonts w:ascii="Arial" w:cs="Arial" w:eastAsia="Arial" w:hAnsi="Arial"/>
          <w:sz w:val="21"/>
          <w:szCs w:val="21"/>
          <w:color w:val="auto"/>
        </w:rPr>
        <w:t>. This General Release will become final, binding and enforceable on the eighth (8th) day after Executive signs this Agreement, provided that Executive does not revoke (cancel) this General Release during the seven (7) day Revocation Period as defined in Section 9 of this Agreement (the “</w:t>
      </w:r>
      <w:r>
        <w:rPr>
          <w:rFonts w:ascii="Arial" w:cs="Arial" w:eastAsia="Arial" w:hAnsi="Arial"/>
          <w:sz w:val="21"/>
          <w:szCs w:val="21"/>
          <w:u w:val="single" w:color="auto"/>
          <w:color w:val="auto"/>
        </w:rPr>
        <w:t>Effective Date</w:t>
      </w:r>
      <w:r>
        <w:rPr>
          <w:rFonts w:ascii="Arial" w:cs="Arial" w:eastAsia="Arial" w:hAnsi="Arial"/>
          <w:sz w:val="21"/>
          <w:szCs w:val="21"/>
          <w:color w:val="auto"/>
        </w:rPr>
        <w:t>”).</w:t>
      </w:r>
    </w:p>
    <w:p>
      <w:pPr>
        <w:spacing w:after="0" w:line="21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3.</w:t>
      </w:r>
      <w:r>
        <w:rPr>
          <w:rFonts w:ascii="Arial" w:cs="Arial" w:eastAsia="Arial" w:hAnsi="Arial"/>
          <w:sz w:val="19"/>
          <w:szCs w:val="19"/>
          <w:u w:val="single" w:color="auto"/>
          <w:color w:val="auto"/>
        </w:rPr>
        <w:t>Consideration for the General Release</w:t>
      </w:r>
      <w:r>
        <w:rPr>
          <w:rFonts w:ascii="Arial" w:cs="Arial" w:eastAsia="Arial" w:hAnsi="Arial"/>
          <w:sz w:val="19"/>
          <w:szCs w:val="19"/>
          <w:color w:val="auto"/>
        </w:rPr>
        <w:t>. In accordance with Section 4 of the Transition Agreement and Section 5(b) of the Employment Agreement, the Parties agree that the payments and benefits and other consideration that will be provided to Executive under the Transition Agreement are in consideration for the release and waiver of any and all claims set forth in this General Release and all other promises and obligations made by Executive in this General Release and the Transition Agreement. Executive understands that the payments and benefits granted to him under the Transition Agreement represent, in part, consideration for signing this General Release, and are not salary, wages, or benefits to which he is already entitled.</w:t>
      </w:r>
    </w:p>
    <w:p>
      <w:pPr>
        <w:spacing w:after="0" w:line="177" w:lineRule="exact"/>
        <w:rPr>
          <w:sz w:val="20"/>
          <w:szCs w:val="20"/>
          <w:color w:val="auto"/>
        </w:rPr>
      </w:pPr>
    </w:p>
    <w:p>
      <w:pPr>
        <w:jc w:val="both"/>
        <w:ind w:right="20" w:firstLine="749"/>
        <w:spacing w:after="0" w:line="239" w:lineRule="auto"/>
        <w:rPr>
          <w:sz w:val="20"/>
          <w:szCs w:val="20"/>
          <w:color w:val="auto"/>
        </w:rPr>
      </w:pPr>
      <w:r>
        <w:rPr>
          <w:rFonts w:ascii="Arial" w:cs="Arial" w:eastAsia="Arial" w:hAnsi="Arial"/>
          <w:sz w:val="22"/>
          <w:szCs w:val="22"/>
          <w:color w:val="auto"/>
        </w:rPr>
        <w:t>4.</w:t>
      </w:r>
      <w:r>
        <w:rPr>
          <w:rFonts w:ascii="Arial" w:cs="Arial" w:eastAsia="Arial" w:hAnsi="Arial"/>
          <w:sz w:val="22"/>
          <w:szCs w:val="22"/>
          <w:u w:val="single" w:color="auto"/>
          <w:color w:val="auto"/>
        </w:rPr>
        <w:t>General Release of Claims</w:t>
      </w:r>
      <w:r>
        <w:rPr>
          <w:rFonts w:ascii="Arial" w:cs="Arial" w:eastAsia="Arial" w:hAnsi="Arial"/>
          <w:sz w:val="22"/>
          <w:szCs w:val="22"/>
          <w:color w:val="auto"/>
        </w:rPr>
        <w:t>. Executive hereby KNOWINGLY AND VOLUNTARILY WAIVES, RELEASES AND DISCHARGES the Company, P10, and the</w:t>
      </w:r>
    </w:p>
    <w:p>
      <w:pPr>
        <w:jc w:val="both"/>
        <w:spacing w:after="0" w:line="243" w:lineRule="auto"/>
        <w:rPr>
          <w:sz w:val="20"/>
          <w:szCs w:val="20"/>
          <w:color w:val="auto"/>
        </w:rPr>
      </w:pPr>
      <w:r>
        <w:rPr>
          <w:rFonts w:ascii="Arial" w:cs="Arial" w:eastAsia="Arial" w:hAnsi="Arial"/>
          <w:sz w:val="21"/>
          <w:szCs w:val="21"/>
          <w:color w:val="auto"/>
        </w:rPr>
        <w:t>Company’s past, present and future parent, subsidiary, affiliated, or related companies, including but not limited to P10 Holdings, Inc. and P10 Intermediate Holdings, Inc. (collectively, the “</w:t>
      </w:r>
      <w:r>
        <w:rPr>
          <w:rFonts w:ascii="Arial" w:cs="Arial" w:eastAsia="Arial" w:hAnsi="Arial"/>
          <w:sz w:val="21"/>
          <w:szCs w:val="21"/>
          <w:u w:val="single" w:color="auto"/>
          <w:color w:val="auto"/>
        </w:rPr>
        <w:t>Affiliated Entities</w:t>
      </w:r>
      <w:r>
        <w:rPr>
          <w:rFonts w:ascii="Arial" w:cs="Arial" w:eastAsia="Arial" w:hAnsi="Arial"/>
          <w:sz w:val="21"/>
          <w:szCs w:val="21"/>
          <w:color w:val="auto"/>
        </w:rPr>
        <w:t>”), together with each and all of their respective past, present and future shareholders, investors, officers, directors, partners, members, managers, principals, servants, employees, agents, contractors, representatives, attorneys, insurers, predecessors, successors, and assigns (collectively, the “</w:t>
      </w:r>
      <w:r>
        <w:rPr>
          <w:rFonts w:ascii="Arial" w:cs="Arial" w:eastAsia="Arial" w:hAnsi="Arial"/>
          <w:sz w:val="21"/>
          <w:szCs w:val="21"/>
          <w:u w:val="single" w:color="auto"/>
          <w:color w:val="auto"/>
        </w:rPr>
        <w:t>Released Parties</w:t>
      </w:r>
      <w:r>
        <w:rPr>
          <w:rFonts w:ascii="Arial" w:cs="Arial" w:eastAsia="Arial" w:hAnsi="Arial"/>
          <w:sz w:val="21"/>
          <w:szCs w:val="21"/>
          <w:color w:val="auto"/>
        </w:rPr>
        <w:t>”) from and against any and all rights, claims, complaints, debts, losses, liabilities, demands, obligations, promises, acts, agreements, grievances, losses, arbitrations, defenses, actions, causes of action and/or damages, whether in law or in equity, known or unknown, accrued or unaccrued, direct or derivative, liquidated or unliquidated, and suspected or unsuspected, that are based upon facts, events, acts or omissions occurring on or before the date of this General Release, including, but not limited to, any matter or action related to Executive’s employment with or separation from the Company or any claims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396" w:right="499" w:bottom="1440" w:gutter="0" w:footer="0" w:header="0"/>
        </w:sectPr>
      </w:pPr>
    </w:p>
    <w:bookmarkStart w:id="104" w:name="page105"/>
    <w:bookmarkEnd w:id="104"/>
    <w:p>
      <w:pPr>
        <w:jc w:val="both"/>
        <w:ind w:left="100" w:right="260"/>
        <w:spacing w:after="0" w:line="273" w:lineRule="auto"/>
        <w:rPr>
          <w:sz w:val="20"/>
          <w:szCs w:val="20"/>
          <w:color w:val="auto"/>
        </w:rPr>
      </w:pPr>
      <w:r>
        <w:rPr>
          <w:rFonts w:ascii="Arial" w:cs="Arial" w:eastAsia="Arial" w:hAnsi="Arial"/>
          <w:sz w:val="19"/>
          <w:szCs w:val="19"/>
          <w:color w:val="auto"/>
        </w:rPr>
        <w:t>Employment Agreement. Executive understands and agrees that the release of claims contained in this Section includes, but is not limited to, any and all claims arising under any state or local laws, rules, regulations or ordinances, including but not limited to all claims arising under any federal laws, rules or regulations, including but not limited to, Title VII of the Civil Rights Act of 1964, the Civil Rights Act of 1866, the Family and Medical Leave Act, the Americans With Disabilities Act, the ADA Amendments Act, the Fair Labor Standards Act, the Age Discrimination in Employment Act, including the Older Workers Benefit Protection Act, the Genetic Information Nondiscrimination Act, the Employee Retirement Income Security Act, the Sarbanes-Oxley Act, the False Claims Act, the Dodd-Frank Wall Street Reform and Consumer Protection Act, the Texas Labor Code (specifically including the Texas Payday Act, the Texas Anti-Retaliation Act, and the Texas Commission on Human Rights Act), the Texas Whistleblower Act, and any other federal, state, or local laws, rules, or regulations, whether equal employment opportunity laws, rules, or regulations or otherwise that may be applicable to Executive during the term of his employment with the Company as well as any and all tort, contract, statutory or common law claims, matters or actions.</w:t>
      </w:r>
    </w:p>
    <w:p>
      <w:pPr>
        <w:spacing w:after="0" w:line="196" w:lineRule="exact"/>
        <w:rPr>
          <w:sz w:val="20"/>
          <w:szCs w:val="20"/>
          <w:color w:val="auto"/>
        </w:rPr>
      </w:pPr>
    </w:p>
    <w:p>
      <w:pPr>
        <w:ind w:left="100" w:firstLine="749"/>
        <w:spacing w:after="0" w:line="271" w:lineRule="auto"/>
        <w:rPr>
          <w:sz w:val="20"/>
          <w:szCs w:val="20"/>
          <w:color w:val="auto"/>
        </w:rPr>
      </w:pPr>
      <w:r>
        <w:rPr>
          <w:rFonts w:ascii="Arial" w:cs="Arial" w:eastAsia="Arial" w:hAnsi="Arial"/>
          <w:sz w:val="19"/>
          <w:szCs w:val="19"/>
          <w:color w:val="auto"/>
        </w:rPr>
        <w:t>5.</w:t>
      </w:r>
      <w:r>
        <w:rPr>
          <w:rFonts w:ascii="Arial" w:cs="Arial" w:eastAsia="Arial" w:hAnsi="Arial"/>
          <w:sz w:val="19"/>
          <w:szCs w:val="19"/>
          <w:u w:val="single" w:color="auto"/>
          <w:color w:val="auto"/>
        </w:rPr>
        <w:t>Exceptions to Release</w:t>
      </w:r>
      <w:r>
        <w:rPr>
          <w:rFonts w:ascii="Arial" w:cs="Arial" w:eastAsia="Arial" w:hAnsi="Arial"/>
          <w:sz w:val="19"/>
          <w:szCs w:val="19"/>
          <w:color w:val="auto"/>
        </w:rPr>
        <w:t>. Notwithstanding the foregoing, Executive does not waive any rights Executive may have ( under COBRA; (ii) to Executive’s currently vested rights under the Company’s benefit plans; (iii) to benefits and/or the right to seek benefits under applicable workers’ compensation and/or unemployment compensation statutes; to pursue claims which by law cannot be waived; (iv) for any claims arising after the date Executive signs this General Release; and (v) to his rights to indemnification from the Company as an officer or director whether pursuant to any agreement or by operation of law, including, without limitation, pursuant to the Employment Agreement. This General Release does not limit Executive’s ability to bring an administrative charge with an administrative agency, including the Equal Employment Opportunity Commission or a similar state or local agency, or with the National Labor Relations Board, but Executive expressly waives and releases any right to recover any type of personal relief from the Company, including monetary damages or reinstatement, in any administrative action or proceeding, whether federal, state, or local, and whether brought by Executive or on Executive’s behalf by an administrative agency, related in any way to the matters released in this General Release. Nothing in this Agreement is intended to or shall prevent, impede, or interfere with Executive’s non-waivable right, without prior notice to the Company, to provide information to the government, participate in investigations, file a complaint, testify in proceedings regarding the Company’s, P10’s, or Released Parties’ past or future conduct, or engage in any future activities protected under the whistleblower statutes, or to receive and fully retain a monetary award from a government-administered whistleblower award program for providing information directly to a government agency.</w:t>
      </w:r>
    </w:p>
    <w:p>
      <w:pPr>
        <w:spacing w:after="0" w:line="200" w:lineRule="exact"/>
        <w:rPr>
          <w:sz w:val="20"/>
          <w:szCs w:val="20"/>
          <w:color w:val="auto"/>
        </w:rPr>
      </w:pPr>
    </w:p>
    <w:p>
      <w:pPr>
        <w:spacing w:after="0" w:line="230" w:lineRule="exact"/>
        <w:rPr>
          <w:sz w:val="20"/>
          <w:szCs w:val="20"/>
          <w:color w:val="auto"/>
        </w:rPr>
      </w:pPr>
    </w:p>
    <w:p>
      <w:pPr>
        <w:jc w:val="both"/>
        <w:ind w:left="100" w:right="260" w:firstLine="749"/>
        <w:spacing w:after="0" w:line="248" w:lineRule="auto"/>
        <w:rPr>
          <w:sz w:val="20"/>
          <w:szCs w:val="20"/>
          <w:color w:val="auto"/>
        </w:rPr>
      </w:pPr>
      <w:r>
        <w:rPr>
          <w:rFonts w:ascii="Arial" w:cs="Arial" w:eastAsia="Arial" w:hAnsi="Arial"/>
          <w:sz w:val="21"/>
          <w:szCs w:val="21"/>
          <w:color w:val="auto"/>
        </w:rPr>
        <w:t>6.</w:t>
      </w:r>
      <w:r>
        <w:rPr>
          <w:rFonts w:ascii="Arial" w:cs="Arial" w:eastAsia="Arial" w:hAnsi="Arial"/>
          <w:sz w:val="21"/>
          <w:szCs w:val="21"/>
          <w:u w:val="single" w:color="auto"/>
          <w:color w:val="auto"/>
        </w:rPr>
        <w:t>Executive’s Affirmation</w:t>
      </w:r>
      <w:r>
        <w:rPr>
          <w:rFonts w:ascii="Arial" w:cs="Arial" w:eastAsia="Arial" w:hAnsi="Arial"/>
          <w:sz w:val="21"/>
          <w:szCs w:val="21"/>
          <w:color w:val="auto"/>
        </w:rPr>
        <w:t>. Executive affirms that as of the date of this General Release, he has been paid and/or has received all leave (paid or unpaid), compensation, wages, bonuses, commissions, and/or benefits to which he may be entitled, and that no other leave (paid or unpaid), compensation, wages, bonuses, commissions, and/or benefits are due to Executive except the compensation and benefits provided for in the Transition Agreement. Executive further affirms that he has not been retaliated against for reporting any allegations of wrongdoing by the Company, P10, the Affiliated Entities, or their officers, including any allegations of corporate</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40" w:top="388" w:right="239" w:bottom="1440" w:gutter="0" w:footer="0" w:header="0"/>
        </w:sectPr>
      </w:pPr>
    </w:p>
    <w:bookmarkStart w:id="105" w:name="page106"/>
    <w:bookmarkEnd w:id="105"/>
    <w:p>
      <w:pPr>
        <w:jc w:val="both"/>
        <w:ind w:left="100" w:right="20"/>
        <w:spacing w:after="0" w:line="250" w:lineRule="auto"/>
        <w:rPr>
          <w:sz w:val="20"/>
          <w:szCs w:val="20"/>
          <w:color w:val="auto"/>
        </w:rPr>
      </w:pPr>
      <w:r>
        <w:rPr>
          <w:rFonts w:ascii="Arial" w:cs="Arial" w:eastAsia="Arial" w:hAnsi="Arial"/>
          <w:sz w:val="22"/>
          <w:szCs w:val="22"/>
          <w:color w:val="auto"/>
        </w:rPr>
        <w:t>fraud or discriminated against based on Executive’s actual or perceived status in any protected class or status recognized by state or federal law.</w:t>
      </w:r>
    </w:p>
    <w:p>
      <w:pPr>
        <w:spacing w:after="0" w:line="215" w:lineRule="exact"/>
        <w:rPr>
          <w:sz w:val="20"/>
          <w:szCs w:val="20"/>
          <w:color w:val="auto"/>
        </w:rPr>
      </w:pPr>
    </w:p>
    <w:p>
      <w:pPr>
        <w:jc w:val="both"/>
        <w:ind w:left="100" w:firstLine="749"/>
        <w:spacing w:after="0" w:line="274" w:lineRule="auto"/>
        <w:rPr>
          <w:sz w:val="20"/>
          <w:szCs w:val="20"/>
          <w:color w:val="auto"/>
        </w:rPr>
      </w:pPr>
      <w:r>
        <w:rPr>
          <w:rFonts w:ascii="Arial" w:cs="Arial" w:eastAsia="Arial" w:hAnsi="Arial"/>
          <w:sz w:val="19"/>
          <w:szCs w:val="19"/>
          <w:color w:val="auto"/>
        </w:rPr>
        <w:t>7.</w:t>
      </w:r>
      <w:r>
        <w:rPr>
          <w:rFonts w:ascii="Arial" w:cs="Arial" w:eastAsia="Arial" w:hAnsi="Arial"/>
          <w:sz w:val="19"/>
          <w:szCs w:val="19"/>
          <w:u w:val="single" w:color="auto"/>
          <w:color w:val="auto"/>
        </w:rPr>
        <w:t>No Initiated Claims</w:t>
      </w:r>
      <w:r>
        <w:rPr>
          <w:rFonts w:ascii="Arial" w:cs="Arial" w:eastAsia="Arial" w:hAnsi="Arial"/>
          <w:sz w:val="19"/>
          <w:szCs w:val="19"/>
          <w:color w:val="auto"/>
        </w:rPr>
        <w:t>. Executive represents, warrants, and agrees that he has not filed any lawsuits or arbitrations against the Company, P10, Affiliated Entities, or any Released Parties, or filed or caused to be filed any claims, charges, or complaints against the Company, P10, Affiliated Entities, or any Released Parties, in any administrative, judicial, arbitral, or other forum, including any charges or complaints against the Company, P10, Affiliated Entities, or any Released Parties with any international, federal, state, or local agency charged with the enforcement of any law or any self-regulatory organization, and Executive is not aware of any factual or legal basis for any legitimate claim that the Company, P10, Affiliated Entities, or any Released Parties are in violation of any whistleblower, corporate compliance, or other regulatory obligation under international, federal, state, or local law, rule, or Company policy. Executive further represents, warrants, and agrees that if he were ever aware of any such basis for a legitimate claim against the Company, P10, Affiliated Entities, or any Related Parties, Executive informed the Company of same.</w:t>
      </w:r>
    </w:p>
    <w:p>
      <w:pPr>
        <w:spacing w:after="0" w:line="200" w:lineRule="exact"/>
        <w:rPr>
          <w:sz w:val="20"/>
          <w:szCs w:val="20"/>
          <w:color w:val="auto"/>
        </w:rPr>
      </w:pPr>
    </w:p>
    <w:p>
      <w:pPr>
        <w:spacing w:after="0" w:line="228"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AGE DISCRIMINATION IN EMPLOYMENT ACT AND OLDER WORKERS BENEFIT PROTECTION ACT</w:t>
      </w:r>
      <w:r>
        <w:rPr>
          <w:rFonts w:ascii="Arial" w:cs="Arial" w:eastAsia="Arial" w:hAnsi="Arial"/>
          <w:sz w:val="22"/>
          <w:szCs w:val="22"/>
          <w:color w:val="auto"/>
        </w:rPr>
        <w:t xml:space="preserve"> </w:t>
      </w:r>
      <w:r>
        <w:rPr>
          <w:rFonts w:ascii="Arial" w:cs="Arial" w:eastAsia="Arial" w:hAnsi="Arial"/>
          <w:sz w:val="22"/>
          <w:szCs w:val="22"/>
          <w:u w:val="single" w:color="auto"/>
          <w:color w:val="auto"/>
        </w:rPr>
        <w:t>DISCLOSURE</w:t>
      </w:r>
      <w:r>
        <w:rPr>
          <w:rFonts w:ascii="Arial" w:cs="Arial" w:eastAsia="Arial" w:hAnsi="Arial"/>
          <w:sz w:val="22"/>
          <w:szCs w:val="22"/>
          <w:color w:val="auto"/>
        </w:rPr>
        <w:t>. THIS GENERAL RELEASE SPECIFICALLY WAIVES ALL OF EXECUTIVE’S CLAIMS ARISING UNDER THE AGE DISCRIMINATION IN EMPLOYMENT ACT OF 1967 (29 U.S.C. § 621 et seq.), AS AMENDED, AND THE OLDER</w:t>
      </w:r>
    </w:p>
    <w:p>
      <w:pPr>
        <w:spacing w:after="0" w:line="3" w:lineRule="exact"/>
        <w:rPr>
          <w:sz w:val="20"/>
          <w:szCs w:val="20"/>
          <w:color w:val="auto"/>
        </w:rPr>
      </w:pPr>
    </w:p>
    <w:p>
      <w:pPr>
        <w:jc w:val="both"/>
        <w:ind w:left="100"/>
        <w:spacing w:after="0" w:line="236" w:lineRule="auto"/>
        <w:rPr>
          <w:sz w:val="20"/>
          <w:szCs w:val="20"/>
          <w:color w:val="auto"/>
        </w:rPr>
      </w:pPr>
      <w:r>
        <w:rPr>
          <w:rFonts w:ascii="Arial" w:cs="Arial" w:eastAsia="Arial" w:hAnsi="Arial"/>
          <w:sz w:val="22"/>
          <w:szCs w:val="22"/>
          <w:color w:val="auto"/>
        </w:rPr>
        <w:t>WORKERS BENEFIT PROTECTION ACT, AS AMENDED. In order to comply with statutory requirements in connection with this waiver, by Executive’s signature below Executive acknowledges and agrees that:</w:t>
      </w:r>
    </w:p>
    <w:p>
      <w:pPr>
        <w:spacing w:after="0" w:line="214" w:lineRule="exact"/>
        <w:rPr>
          <w:sz w:val="20"/>
          <w:szCs w:val="20"/>
          <w:color w:val="auto"/>
        </w:rPr>
      </w:pPr>
    </w:p>
    <w:p>
      <w:pPr>
        <w:jc w:val="both"/>
        <w:ind w:left="100" w:right="20" w:firstLine="1503"/>
        <w:spacing w:after="0" w:line="250" w:lineRule="auto"/>
        <w:rPr>
          <w:sz w:val="20"/>
          <w:szCs w:val="20"/>
          <w:color w:val="auto"/>
        </w:rPr>
      </w:pPr>
      <w:r>
        <w:rPr>
          <w:sz w:val="1"/>
          <w:szCs w:val="1"/>
          <w:color w:val="auto"/>
        </w:rPr>
        <w:drawing>
          <wp:inline distT="0" distB="0" distL="0" distR="0">
            <wp:extent cx="145415" cy="12827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145415" cy="128270"/>
                    </a:xfrm>
                    <a:prstGeom prst="rect">
                      <a:avLst/>
                    </a:prstGeom>
                    <a:noFill/>
                    <a:ln>
                      <a:noFill/>
                    </a:ln>
                  </pic:spPr>
                </pic:pic>
              </a:graphicData>
            </a:graphic>
          </wp:inline>
        </w:drawing>
      </w:r>
      <w:r>
        <w:rPr>
          <w:rFonts w:ascii="Arial" w:cs="Arial" w:eastAsia="Arial" w:hAnsi="Arial"/>
          <w:sz w:val="22"/>
          <w:szCs w:val="22"/>
          <w:color w:val="auto"/>
        </w:rPr>
        <w:t xml:space="preserve"> Executive is waiving rights or claims under the Age Discrimination in Employment Act in exchange for consideration that is in addition to anything of value to which he is already entitled;</w:t>
      </w:r>
    </w:p>
    <w:p>
      <w:pPr>
        <w:spacing w:after="0" w:line="188" w:lineRule="exact"/>
        <w:rPr>
          <w:sz w:val="20"/>
          <w:szCs w:val="20"/>
          <w:color w:val="auto"/>
        </w:rPr>
      </w:pPr>
    </w:p>
    <w:p>
      <w:pPr>
        <w:jc w:val="both"/>
        <w:ind w:left="100" w:right="20" w:firstLine="1503"/>
        <w:spacing w:after="0"/>
        <w:rPr>
          <w:sz w:val="20"/>
          <w:szCs w:val="20"/>
          <w:color w:val="auto"/>
        </w:rPr>
      </w:pPr>
      <w:r>
        <w:rPr>
          <w:sz w:val="1"/>
          <w:szCs w:val="1"/>
          <w:color w:val="auto"/>
        </w:rPr>
        <w:drawing>
          <wp:inline distT="0" distB="0" distL="0" distR="0">
            <wp:extent cx="154305" cy="12890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Arial" w:cs="Arial" w:eastAsia="Arial" w:hAnsi="Arial"/>
          <w:sz w:val="22"/>
          <w:szCs w:val="22"/>
          <w:color w:val="auto"/>
        </w:rPr>
        <w:t xml:space="preserve"> Executive has been encouraged in writing (and is hereby encouraged in writing) to review this General Release with an attorney prior to executing it, and that he has had sufficient opportunity to consult with an attorney prior to executing this General Release;</w:t>
      </w:r>
    </w:p>
    <w:p>
      <w:pPr>
        <w:spacing w:after="0" w:line="200" w:lineRule="exact"/>
        <w:rPr>
          <w:sz w:val="20"/>
          <w:szCs w:val="20"/>
          <w:color w:val="auto"/>
        </w:rPr>
      </w:pPr>
    </w:p>
    <w:p>
      <w:pPr>
        <w:jc w:val="both"/>
        <w:ind w:left="100" w:right="20" w:firstLine="1503"/>
        <w:spacing w:after="0" w:line="305" w:lineRule="auto"/>
        <w:rPr>
          <w:sz w:val="20"/>
          <w:szCs w:val="20"/>
          <w:color w:val="auto"/>
        </w:rPr>
      </w:pPr>
      <w:r>
        <w:rPr>
          <w:sz w:val="1"/>
          <w:szCs w:val="1"/>
          <w:color w:val="auto"/>
        </w:rPr>
        <w:drawing>
          <wp:inline distT="0" distB="0" distL="0" distR="0">
            <wp:extent cx="145415" cy="12827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145415" cy="128270"/>
                    </a:xfrm>
                    <a:prstGeom prst="rect">
                      <a:avLst/>
                    </a:prstGeom>
                    <a:noFill/>
                    <a:ln>
                      <a:noFill/>
                    </a:ln>
                  </pic:spPr>
                </pic:pic>
              </a:graphicData>
            </a:graphic>
          </wp:inline>
        </w:drawing>
      </w:r>
      <w:r>
        <w:rPr>
          <w:rFonts w:ascii="Arial" w:cs="Arial" w:eastAsia="Arial" w:hAnsi="Arial"/>
          <w:sz w:val="19"/>
          <w:szCs w:val="19"/>
          <w:color w:val="auto"/>
        </w:rPr>
        <w:t xml:space="preserve"> Executive has carefully read and fully understand all of the provisions and effects of this General Release knowingly and voluntarily (and of his/her own free will) has entered into all of the terms set forth in this General Release;</w:t>
      </w:r>
    </w:p>
    <w:p>
      <w:pPr>
        <w:spacing w:after="0" w:line="136" w:lineRule="exact"/>
        <w:rPr>
          <w:sz w:val="20"/>
          <w:szCs w:val="20"/>
          <w:color w:val="auto"/>
        </w:rPr>
      </w:pPr>
    </w:p>
    <w:p>
      <w:pPr>
        <w:ind w:left="1600"/>
        <w:spacing w:after="0"/>
        <w:rPr>
          <w:sz w:val="20"/>
          <w:szCs w:val="20"/>
          <w:color w:val="auto"/>
        </w:rPr>
      </w:pPr>
      <w:r>
        <w:rPr>
          <w:sz w:val="1"/>
          <w:szCs w:val="1"/>
          <w:color w:val="auto"/>
        </w:rPr>
        <w:drawing>
          <wp:inline distT="0" distB="0" distL="0" distR="0">
            <wp:extent cx="154305" cy="12890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Arial" w:cs="Arial" w:eastAsia="Arial" w:hAnsi="Arial"/>
          <w:sz w:val="21"/>
          <w:szCs w:val="21"/>
          <w:color w:val="auto"/>
        </w:rPr>
        <w:t xml:space="preserve"> Executive knowingly and voluntarily intend to be legally bound by all of the terms set forth in this</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General Release;</w:t>
      </w:r>
    </w:p>
    <w:p>
      <w:pPr>
        <w:spacing w:after="0" w:line="242" w:lineRule="exact"/>
        <w:rPr>
          <w:sz w:val="20"/>
          <w:szCs w:val="20"/>
          <w:color w:val="auto"/>
        </w:rPr>
      </w:pPr>
    </w:p>
    <w:p>
      <w:pPr>
        <w:jc w:val="both"/>
        <w:ind w:left="100" w:right="20" w:firstLine="1503"/>
        <w:spacing w:after="0" w:line="250" w:lineRule="auto"/>
        <w:rPr>
          <w:sz w:val="20"/>
          <w:szCs w:val="20"/>
          <w:color w:val="auto"/>
        </w:rPr>
      </w:pPr>
      <w:r>
        <w:rPr>
          <w:sz w:val="1"/>
          <w:szCs w:val="1"/>
          <w:color w:val="auto"/>
        </w:rPr>
        <w:drawing>
          <wp:inline distT="0" distB="0" distL="0" distR="0">
            <wp:extent cx="145415" cy="128905"/>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r>
        <w:rPr>
          <w:rFonts w:ascii="Arial" w:cs="Arial" w:eastAsia="Arial" w:hAnsi="Arial"/>
          <w:sz w:val="22"/>
          <w:szCs w:val="22"/>
          <w:color w:val="auto"/>
        </w:rPr>
        <w:t xml:space="preserve"> Executive relied solely and completely upon his/her own judgment or the advice of his attorney in entering into this General Release;</w:t>
      </w:r>
    </w:p>
    <w:p>
      <w:pPr>
        <w:spacing w:after="0" w:line="188" w:lineRule="exact"/>
        <w:rPr>
          <w:sz w:val="20"/>
          <w:szCs w:val="20"/>
          <w:color w:val="auto"/>
        </w:rPr>
      </w:pPr>
    </w:p>
    <w:p>
      <w:pPr>
        <w:jc w:val="both"/>
        <w:ind w:left="100" w:right="20" w:firstLine="1503"/>
        <w:spacing w:after="0" w:line="250" w:lineRule="auto"/>
        <w:rPr>
          <w:sz w:val="20"/>
          <w:szCs w:val="20"/>
          <w:color w:val="auto"/>
        </w:rPr>
      </w:pPr>
      <w:r>
        <w:rPr>
          <w:sz w:val="1"/>
          <w:szCs w:val="1"/>
          <w:color w:val="auto"/>
        </w:rPr>
        <w:drawing>
          <wp:inline distT="0" distB="0" distL="0" distR="0">
            <wp:extent cx="128905" cy="12890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Executive has been given at least twenty-one (21) days to consider the terms of this General Release before signing it, and acknowledge that any changes to the terms or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88" w:right="499" w:bottom="1440" w:gutter="0" w:footer="0" w:header="0"/>
        </w:sectPr>
      </w:pPr>
    </w:p>
    <w:bookmarkStart w:id="106" w:name="page107"/>
    <w:bookmarkEnd w:id="106"/>
    <w:p>
      <w:pPr>
        <w:ind w:left="100" w:right="160"/>
        <w:spacing w:after="0" w:line="250" w:lineRule="auto"/>
        <w:rPr>
          <w:sz w:val="20"/>
          <w:szCs w:val="20"/>
          <w:color w:val="auto"/>
        </w:rPr>
      </w:pPr>
      <w:r>
        <w:rPr>
          <w:rFonts w:ascii="Arial" w:cs="Arial" w:eastAsia="Arial" w:hAnsi="Arial"/>
          <w:sz w:val="22"/>
          <w:szCs w:val="22"/>
          <w:color w:val="auto"/>
        </w:rPr>
        <w:t>conditions of this General Release (whether material or immaterial) will not restart the running of the twenty-one-day period; and</w:t>
      </w:r>
    </w:p>
    <w:p>
      <w:pPr>
        <w:spacing w:after="0" w:line="229" w:lineRule="exact"/>
        <w:rPr>
          <w:sz w:val="20"/>
          <w:szCs w:val="20"/>
          <w:color w:val="auto"/>
        </w:rPr>
      </w:pPr>
    </w:p>
    <w:p>
      <w:pPr>
        <w:jc w:val="both"/>
        <w:ind w:left="100" w:right="20" w:firstLine="1503"/>
        <w:spacing w:after="0" w:line="236" w:lineRule="auto"/>
        <w:rPr>
          <w:sz w:val="20"/>
          <w:szCs w:val="20"/>
          <w:color w:val="auto"/>
        </w:rPr>
      </w:pPr>
      <w:r>
        <w:rPr>
          <w:sz w:val="1"/>
          <w:szCs w:val="1"/>
          <w:color w:val="auto"/>
        </w:rPr>
        <w:drawing>
          <wp:inline distT="0" distB="0" distL="0" distR="0">
            <wp:extent cx="154305" cy="12890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Arial" w:cs="Arial" w:eastAsia="Arial" w:hAnsi="Arial"/>
          <w:sz w:val="22"/>
          <w:szCs w:val="22"/>
          <w:color w:val="auto"/>
        </w:rPr>
        <w:t xml:space="preserve"> Executive may execute this General Release prior to the end of the twenty- one (21) day time period referenced above but, if he does so, in accordance with 29 CFR § 1625.22(e)(6), he knowingly and voluntarily decided to sign the General Release after considering it for fewer than twenty-one (21) days and such decision was not induced by the Company in any way, including by fraud, misrepresentation, or a threat to withdraw or alter the offer prior to the expiration of the twenty-one-day time period.</w:t>
      </w:r>
    </w:p>
    <w:p>
      <w:pPr>
        <w:spacing w:after="0" w:line="214" w:lineRule="exact"/>
        <w:rPr>
          <w:sz w:val="20"/>
          <w:szCs w:val="20"/>
          <w:color w:val="auto"/>
        </w:rPr>
      </w:pPr>
    </w:p>
    <w:p>
      <w:pPr>
        <w:jc w:val="both"/>
        <w:ind w:left="100" w:right="20" w:firstLine="749"/>
        <w:spacing w:after="0" w:line="279" w:lineRule="auto"/>
        <w:rPr>
          <w:sz w:val="20"/>
          <w:szCs w:val="20"/>
          <w:color w:val="auto"/>
        </w:rPr>
      </w:pPr>
      <w:r>
        <w:rPr>
          <w:rFonts w:ascii="Arial" w:cs="Arial" w:eastAsia="Arial" w:hAnsi="Arial"/>
          <w:sz w:val="19"/>
          <w:szCs w:val="19"/>
          <w:color w:val="auto"/>
        </w:rPr>
        <w:t>9.</w:t>
      </w:r>
      <w:r>
        <w:rPr>
          <w:rFonts w:ascii="Arial" w:cs="Arial" w:eastAsia="Arial" w:hAnsi="Arial"/>
          <w:sz w:val="19"/>
          <w:szCs w:val="19"/>
          <w:u w:val="single" w:color="auto"/>
          <w:color w:val="auto"/>
        </w:rPr>
        <w:t>Revocation Rights</w:t>
      </w:r>
      <w:r>
        <w:rPr>
          <w:rFonts w:ascii="Arial" w:cs="Arial" w:eastAsia="Arial" w:hAnsi="Arial"/>
          <w:sz w:val="19"/>
          <w:szCs w:val="19"/>
          <w:color w:val="auto"/>
        </w:rPr>
        <w:t>. Executive acknowledges and agrees that for a period of seven (7) days following the date the Executive signs this General Release he may revoke his consent to this Agreement (the “</w:t>
      </w:r>
      <w:r>
        <w:rPr>
          <w:rFonts w:ascii="Arial" w:cs="Arial" w:eastAsia="Arial" w:hAnsi="Arial"/>
          <w:sz w:val="19"/>
          <w:szCs w:val="19"/>
          <w:u w:val="single" w:color="auto"/>
          <w:color w:val="auto"/>
        </w:rPr>
        <w:t>Revocation Period</w:t>
      </w:r>
      <w:r>
        <w:rPr>
          <w:rFonts w:ascii="Arial" w:cs="Arial" w:eastAsia="Arial" w:hAnsi="Arial"/>
          <w:sz w:val="19"/>
          <w:szCs w:val="19"/>
          <w:color w:val="auto"/>
        </w:rPr>
        <w:t>”) which they may do by sending notice of such revocation to Amanda Coussens, Chief Financial Officer of P10. Executive further acknowledges that this General Release shall not become effective or enforceable until after the seven-day Revocation Period has expired. Executive understands and agrees that if Executive revokes this General Release before the end of the Revocation Period, Executive shall not receive the compensation and benefits set forth in Section 4 of the Transition Agreement.</w:t>
      </w:r>
    </w:p>
    <w:p>
      <w:pPr>
        <w:spacing w:after="0" w:line="191" w:lineRule="exact"/>
        <w:rPr>
          <w:sz w:val="20"/>
          <w:szCs w:val="20"/>
          <w:color w:val="auto"/>
        </w:rPr>
      </w:pPr>
    </w:p>
    <w:p>
      <w:pPr>
        <w:jc w:val="both"/>
        <w:ind w:left="100" w:right="20" w:firstLine="749"/>
        <w:spacing w:after="0" w:line="234" w:lineRule="auto"/>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No Admission of Liability</w:t>
      </w:r>
      <w:r>
        <w:rPr>
          <w:rFonts w:ascii="Arial" w:cs="Arial" w:eastAsia="Arial" w:hAnsi="Arial"/>
          <w:sz w:val="22"/>
          <w:szCs w:val="22"/>
          <w:color w:val="auto"/>
        </w:rPr>
        <w:t>. Neither the payment of any consideration under this General Release, nor the execution or delivery of this General Release shall in any way constitute or be construed as an admission, express or implied, by the Company or Executive of any improper actions or liability. The parties each specifically deny and disclaim any alleged liability or wrongdoing. Nothing contained in this General Release shall acknowledge or imply that either Executive or the Company violated any federal, state or local laws, rules, regulations or ordinances. Executive hereby acknowledges, promises and represents that Executive has no knowledge of any fraud, illegal activity or violation of federal, state or local law by the Company.</w:t>
      </w:r>
    </w:p>
    <w:p>
      <w:pPr>
        <w:spacing w:after="0" w:line="218" w:lineRule="exact"/>
        <w:rPr>
          <w:sz w:val="20"/>
          <w:szCs w:val="20"/>
          <w:color w:val="auto"/>
        </w:rPr>
      </w:pPr>
    </w:p>
    <w:p>
      <w:pPr>
        <w:jc w:val="both"/>
        <w:ind w:left="100" w:right="20" w:firstLine="749"/>
        <w:spacing w:after="0" w:line="250" w:lineRule="auto"/>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Applicable Law</w:t>
      </w:r>
      <w:r>
        <w:rPr>
          <w:rFonts w:ascii="Arial" w:cs="Arial" w:eastAsia="Arial" w:hAnsi="Arial"/>
          <w:sz w:val="22"/>
          <w:szCs w:val="22"/>
          <w:color w:val="auto"/>
        </w:rPr>
        <w:t>. The provisions of this General Release shall be construed in accordance with the laws of the State of Texas.</w:t>
      </w:r>
    </w:p>
    <w:p>
      <w:pPr>
        <w:spacing w:after="0" w:line="215" w:lineRule="exact"/>
        <w:rPr>
          <w:sz w:val="20"/>
          <w:szCs w:val="20"/>
          <w:color w:val="auto"/>
        </w:rPr>
      </w:pPr>
    </w:p>
    <w:p>
      <w:pPr>
        <w:jc w:val="both"/>
        <w:ind w:left="100" w:right="40" w:firstLine="749"/>
        <w:spacing w:after="0" w:line="250" w:lineRule="auto"/>
        <w:rPr>
          <w:sz w:val="20"/>
          <w:szCs w:val="20"/>
          <w:color w:val="auto"/>
        </w:rPr>
      </w:pPr>
      <w:r>
        <w:rPr>
          <w:rFonts w:ascii="Arial" w:cs="Arial" w:eastAsia="Arial" w:hAnsi="Arial"/>
          <w:sz w:val="22"/>
          <w:szCs w:val="22"/>
          <w:color w:val="auto"/>
        </w:rPr>
        <w:t>12.</w:t>
      </w:r>
      <w:r>
        <w:rPr>
          <w:rFonts w:ascii="Arial" w:cs="Arial" w:eastAsia="Arial" w:hAnsi="Arial"/>
          <w:sz w:val="22"/>
          <w:szCs w:val="22"/>
          <w:u w:val="single" w:color="auto"/>
          <w:color w:val="auto"/>
        </w:rPr>
        <w:t>Amendment</w:t>
      </w:r>
      <w:r>
        <w:rPr>
          <w:rFonts w:ascii="Arial" w:cs="Arial" w:eastAsia="Arial" w:hAnsi="Arial"/>
          <w:sz w:val="22"/>
          <w:szCs w:val="22"/>
          <w:color w:val="auto"/>
        </w:rPr>
        <w:t>. This General Release may not be altered, amended, modified, superseded, canceled or terminated except by an express written agreement duly executed by all of the Parties.</w:t>
      </w:r>
    </w:p>
    <w:p>
      <w:pPr>
        <w:spacing w:after="0" w:line="215" w:lineRule="exact"/>
        <w:rPr>
          <w:sz w:val="20"/>
          <w:szCs w:val="20"/>
          <w:color w:val="auto"/>
        </w:rPr>
      </w:pPr>
    </w:p>
    <w:p>
      <w:pPr>
        <w:jc w:val="both"/>
        <w:ind w:left="100" w:firstLine="749"/>
        <w:spacing w:after="0" w:line="279" w:lineRule="auto"/>
        <w:rPr>
          <w:sz w:val="20"/>
          <w:szCs w:val="20"/>
          <w:color w:val="auto"/>
        </w:rPr>
      </w:pPr>
      <w:r>
        <w:rPr>
          <w:rFonts w:ascii="Arial" w:cs="Arial" w:eastAsia="Arial" w:hAnsi="Arial"/>
          <w:sz w:val="19"/>
          <w:szCs w:val="19"/>
          <w:color w:val="auto"/>
        </w:rPr>
        <w:t>13.</w:t>
      </w:r>
      <w:r>
        <w:rPr>
          <w:rFonts w:ascii="Arial" w:cs="Arial" w:eastAsia="Arial" w:hAnsi="Arial"/>
          <w:sz w:val="19"/>
          <w:szCs w:val="19"/>
          <w:u w:val="single" w:color="auto"/>
          <w:color w:val="auto"/>
        </w:rPr>
        <w:t>Modification; Severability</w:t>
      </w:r>
      <w:r>
        <w:rPr>
          <w:rFonts w:ascii="Arial" w:cs="Arial" w:eastAsia="Arial" w:hAnsi="Arial"/>
          <w:sz w:val="19"/>
          <w:szCs w:val="19"/>
          <w:color w:val="auto"/>
        </w:rPr>
        <w:t>. If any of the provisions, terms, clauses, waivers or releases of claims and rights contained in this General Release are declared illegal, unenforceable, or ineffective in a legal forum of competent jurisdiction, such provisions, terms, clauses, waivers or releases of claims or rights shall be modified, if possible, in order to achieve, to the extent possible, the intentions of the parties and, if necessary, such provisions, terms clauses, waivers and releases of claims and rights shall be deemed severable, such that all other provisions, terms, clauses and waivers and releases of claims and rights contained in this General Release shall remain valid and binding upon both parties.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2"/>
          <w:szCs w:val="22"/>
          <w:color w:val="auto"/>
        </w:rPr>
        <w:t>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88" w:right="479" w:bottom="1440" w:gutter="0" w:footer="0" w:header="0"/>
        </w:sectPr>
      </w:pPr>
    </w:p>
    <w:bookmarkStart w:id="107" w:name="page108"/>
    <w:bookmarkEnd w:id="107"/>
    <w:p>
      <w:pPr>
        <w:jc w:val="center"/>
        <w:ind w:right="-99"/>
        <w:spacing w:after="0"/>
        <w:rPr>
          <w:sz w:val="20"/>
          <w:szCs w:val="20"/>
          <w:color w:val="auto"/>
        </w:rPr>
      </w:pPr>
      <w:r>
        <w:rPr>
          <w:rFonts w:ascii="Arial" w:cs="Arial" w:eastAsia="Arial" w:hAnsi="Arial"/>
          <w:sz w:val="22"/>
          <w:szCs w:val="22"/>
          <w:b w:val="1"/>
          <w:bCs w:val="1"/>
          <w:i w:val="1"/>
          <w:iCs w:val="1"/>
          <w:u w:val="single" w:color="auto"/>
          <w:color w:val="auto"/>
        </w:rPr>
        <w:t>READ CAREFULLY BEFORE SIGNING</w:t>
      </w:r>
    </w:p>
    <w:p>
      <w:pPr>
        <w:spacing w:after="0" w:line="241" w:lineRule="exact"/>
        <w:rPr>
          <w:sz w:val="20"/>
          <w:szCs w:val="20"/>
          <w:color w:val="auto"/>
        </w:rPr>
      </w:pPr>
    </w:p>
    <w:p>
      <w:pPr>
        <w:jc w:val="both"/>
        <w:ind w:left="100"/>
        <w:spacing w:after="0" w:line="245" w:lineRule="auto"/>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his is a legally binding document</w:t>
      </w:r>
      <w:r>
        <w:rPr>
          <w:rFonts w:ascii="Arial" w:cs="Arial" w:eastAsia="Arial" w:hAnsi="Arial"/>
          <w:sz w:val="22"/>
          <w:szCs w:val="22"/>
          <w:b w:val="1"/>
          <w:bCs w:val="1"/>
          <w:color w:val="auto"/>
        </w:rPr>
        <w:t>. T</w:t>
      </w:r>
      <w:r>
        <w:rPr>
          <w:rFonts w:ascii="Arial" w:cs="Arial" w:eastAsia="Arial" w:hAnsi="Arial"/>
          <w:sz w:val="14"/>
          <w:szCs w:val="14"/>
          <w:b w:val="1"/>
          <w:bCs w:val="1"/>
          <w:color w:val="auto"/>
        </w:rPr>
        <w:t>his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contains a release and waiver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22"/>
          <w:szCs w:val="22"/>
          <w:b w:val="1"/>
          <w:bCs w:val="1"/>
          <w:color w:val="auto"/>
        </w:rPr>
        <w:t>’</w:t>
      </w:r>
      <w:r>
        <w:rPr>
          <w:rFonts w:ascii="Arial" w:cs="Arial" w:eastAsia="Arial" w:hAnsi="Arial"/>
          <w:sz w:val="14"/>
          <w:szCs w:val="14"/>
          <w:b w:val="1"/>
          <w:bCs w:val="1"/>
          <w:color w:val="auto"/>
        </w:rPr>
        <w:t>s rights under federal</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state and local laws</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rules</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regulations and ordinances</w:t>
      </w:r>
      <w:r>
        <w:rPr>
          <w:rFonts w:ascii="Arial" w:cs="Arial" w:eastAsia="Arial" w:hAnsi="Arial"/>
          <w:sz w:val="21"/>
          <w:szCs w:val="21"/>
          <w:b w:val="1"/>
          <w:bCs w:val="1"/>
          <w:color w:val="auto"/>
        </w:rPr>
        <w:t>. B</w:t>
      </w:r>
      <w:r>
        <w:rPr>
          <w:rFonts w:ascii="Arial" w:cs="Arial" w:eastAsia="Arial" w:hAnsi="Arial"/>
          <w:sz w:val="14"/>
          <w:szCs w:val="14"/>
          <w:b w:val="1"/>
          <w:bCs w:val="1"/>
          <w:color w:val="auto"/>
        </w:rPr>
        <w:t xml:space="preserve">y signing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 E</w:t>
      </w:r>
      <w:r>
        <w:rPr>
          <w:rFonts w:ascii="Arial" w:cs="Arial" w:eastAsia="Arial" w:hAnsi="Arial"/>
          <w:sz w:val="14"/>
          <w:szCs w:val="14"/>
          <w:b w:val="1"/>
          <w:bCs w:val="1"/>
          <w:color w:val="auto"/>
        </w:rPr>
        <w:t xml:space="preserve">xecutive understands that </w:t>
      </w:r>
      <w:r>
        <w:rPr>
          <w:rFonts w:ascii="Arial" w:cs="Arial" w:eastAsia="Arial" w:hAnsi="Arial"/>
          <w:sz w:val="21"/>
          <w:szCs w:val="21"/>
          <w:b w:val="1"/>
          <w:bCs w:val="1"/>
          <w:color w:val="auto"/>
        </w:rPr>
        <w:t>E</w:t>
      </w:r>
      <w:r>
        <w:rPr>
          <w:rFonts w:ascii="Arial" w:cs="Arial" w:eastAsia="Arial" w:hAnsi="Arial"/>
          <w:sz w:val="14"/>
          <w:szCs w:val="14"/>
          <w:b w:val="1"/>
          <w:bCs w:val="1"/>
          <w:color w:val="auto"/>
        </w:rPr>
        <w:t>xecutive is waiving any and all rights</w:t>
      </w:r>
      <w:r>
        <w:rPr>
          <w:rFonts w:ascii="Arial" w:cs="Arial" w:eastAsia="Arial" w:hAnsi="Arial"/>
          <w:sz w:val="21"/>
          <w:szCs w:val="21"/>
          <w:b w:val="1"/>
          <w:bCs w:val="1"/>
          <w:color w:val="auto"/>
        </w:rPr>
        <w:t xml:space="preserve"> E</w:t>
      </w:r>
      <w:r>
        <w:rPr>
          <w:rFonts w:ascii="Arial" w:cs="Arial" w:eastAsia="Arial" w:hAnsi="Arial"/>
          <w:sz w:val="14"/>
          <w:szCs w:val="14"/>
          <w:b w:val="1"/>
          <w:bCs w:val="1"/>
          <w:color w:val="auto"/>
        </w:rPr>
        <w:t>xecutive has</w:t>
      </w:r>
      <w:r>
        <w:rPr>
          <w:rFonts w:ascii="Arial" w:cs="Arial" w:eastAsia="Arial" w:hAnsi="Arial"/>
          <w:sz w:val="21"/>
          <w:szCs w:val="21"/>
          <w:b w:val="1"/>
          <w:bCs w:val="1"/>
          <w:color w:val="auto"/>
        </w:rPr>
        <w:t xml:space="preserve">, </w:t>
      </w:r>
      <w:r>
        <w:rPr>
          <w:rFonts w:ascii="Arial" w:cs="Arial" w:eastAsia="Arial" w:hAnsi="Arial"/>
          <w:sz w:val="14"/>
          <w:szCs w:val="14"/>
          <w:b w:val="1"/>
          <w:bCs w:val="1"/>
          <w:color w:val="auto"/>
        </w:rPr>
        <w:t>had</w:t>
      </w:r>
      <w:r>
        <w:rPr>
          <w:rFonts w:ascii="Arial" w:cs="Arial" w:eastAsia="Arial" w:hAnsi="Arial"/>
          <w:sz w:val="21"/>
          <w:szCs w:val="21"/>
          <w:b w:val="1"/>
          <w:bCs w:val="1"/>
          <w:color w:val="auto"/>
        </w:rPr>
        <w:t xml:space="preserve">, </w:t>
      </w:r>
      <w:r>
        <w:rPr>
          <w:rFonts w:ascii="Arial" w:cs="Arial" w:eastAsia="Arial" w:hAnsi="Arial"/>
          <w:sz w:val="14"/>
          <w:szCs w:val="14"/>
          <w:b w:val="1"/>
          <w:bCs w:val="1"/>
          <w:color w:val="auto"/>
        </w:rPr>
        <w:t>may have or may have had against the</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ompany under such</w:t>
      </w:r>
      <w:r>
        <w:rPr>
          <w:rFonts w:ascii="Arial" w:cs="Arial" w:eastAsia="Arial" w:hAnsi="Arial"/>
          <w:sz w:val="21"/>
          <w:szCs w:val="21"/>
          <w:b w:val="1"/>
          <w:bCs w:val="1"/>
          <w:color w:val="auto"/>
        </w:rPr>
        <w:t xml:space="preserve"> </w:t>
      </w:r>
      <w:r>
        <w:rPr>
          <w:rFonts w:ascii="Arial" w:cs="Arial" w:eastAsia="Arial" w:hAnsi="Arial"/>
          <w:sz w:val="14"/>
          <w:szCs w:val="14"/>
          <w:b w:val="1"/>
          <w:bCs w:val="1"/>
          <w:color w:val="auto"/>
        </w:rPr>
        <w:t>laws</w:t>
      </w:r>
      <w:r>
        <w:rPr>
          <w:rFonts w:ascii="Arial" w:cs="Arial" w:eastAsia="Arial" w:hAnsi="Arial"/>
          <w:sz w:val="21"/>
          <w:szCs w:val="21"/>
          <w:b w:val="1"/>
          <w:bCs w:val="1"/>
          <w:color w:val="auto"/>
        </w:rPr>
        <w:t>. B</w:t>
      </w:r>
      <w:r>
        <w:rPr>
          <w:rFonts w:ascii="Arial" w:cs="Arial" w:eastAsia="Arial" w:hAnsi="Arial"/>
          <w:sz w:val="14"/>
          <w:szCs w:val="14"/>
          <w:b w:val="1"/>
          <w:bCs w:val="1"/>
          <w:color w:val="auto"/>
        </w:rPr>
        <w:t>efore signing</w:t>
      </w:r>
      <w:r>
        <w:rPr>
          <w:rFonts w:ascii="Arial" w:cs="Arial" w:eastAsia="Arial" w:hAnsi="Arial"/>
          <w:sz w:val="21"/>
          <w:szCs w:val="21"/>
          <w:b w:val="1"/>
          <w:bCs w:val="1"/>
          <w:color w:val="auto"/>
        </w:rPr>
        <w:t>, E</w:t>
      </w:r>
      <w:r>
        <w:rPr>
          <w:rFonts w:ascii="Arial" w:cs="Arial" w:eastAsia="Arial" w:hAnsi="Arial"/>
          <w:sz w:val="14"/>
          <w:szCs w:val="14"/>
          <w:b w:val="1"/>
          <w:bCs w:val="1"/>
          <w:color w:val="auto"/>
        </w:rPr>
        <w:t xml:space="preserve">xecutive should review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 xml:space="preserve">greement carefully and seek the advice of an attorney to discuss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 xml:space="preserve">greement including the legal effect of signing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 B</w:t>
      </w:r>
      <w:r>
        <w:rPr>
          <w:rFonts w:ascii="Arial" w:cs="Arial" w:eastAsia="Arial" w:hAnsi="Arial"/>
          <w:sz w:val="14"/>
          <w:szCs w:val="14"/>
          <w:b w:val="1"/>
          <w:bCs w:val="1"/>
          <w:color w:val="auto"/>
        </w:rPr>
        <w:t>y signing below</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21"/>
          <w:szCs w:val="21"/>
          <w:b w:val="1"/>
          <w:bCs w:val="1"/>
          <w:color w:val="auto"/>
        </w:rPr>
        <w:t>P</w:t>
      </w:r>
      <w:r>
        <w:rPr>
          <w:rFonts w:ascii="Arial" w:cs="Arial" w:eastAsia="Arial" w:hAnsi="Arial"/>
          <w:sz w:val="14"/>
          <w:szCs w:val="14"/>
          <w:b w:val="1"/>
          <w:bCs w:val="1"/>
          <w:color w:val="auto"/>
        </w:rPr>
        <w:t xml:space="preserve">arties represent to each other that they have reviewed and discussed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 with an attorney</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have satisfied themselves that they fully understand the terms of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and are voluntarily executing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 only after such consultation</w:t>
      </w:r>
      <w:r>
        <w:rPr>
          <w:rFonts w:ascii="Arial" w:cs="Arial" w:eastAsia="Arial" w:hAnsi="Arial"/>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614045</wp:posOffset>
            </wp:positionV>
            <wp:extent cx="796925" cy="3689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969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C. Clark Webb</w:t>
      </w:r>
    </w:p>
    <w:p>
      <w:pPr>
        <w:spacing w:after="0" w:line="308" w:lineRule="exact"/>
        <w:rPr>
          <w:sz w:val="20"/>
          <w:szCs w:val="20"/>
          <w:color w:val="auto"/>
        </w:rPr>
      </w:pPr>
    </w:p>
    <w:p>
      <w:pPr>
        <w:ind w:left="3840"/>
        <w:spacing w:after="0"/>
        <w:tabs>
          <w:tab w:leader="none" w:pos="4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6"/>
          <w:szCs w:val="16"/>
          <w:color w:val="auto"/>
        </w:rPr>
        <w:t>10/21/2023 | 1:05 PM EDT</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22"/>
          <w:szCs w:val="22"/>
          <w:color w:val="auto"/>
        </w:rPr>
        <w:t>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4894-4074-7657.1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266" w:right="4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Luke A. Sarsfield III, certify that:</w:t>
      </w:r>
    </w:p>
    <w:p>
      <w:pPr>
        <w:spacing w:after="0" w:line="103" w:lineRule="exact"/>
        <w:rPr>
          <w:sz w:val="20"/>
          <w:szCs w:val="20"/>
          <w:color w:val="auto"/>
        </w:rPr>
      </w:pPr>
    </w:p>
    <w:p>
      <w:pPr>
        <w:ind w:left="1020" w:hanging="503"/>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20" w:hanging="503"/>
        <w:spacing w:after="0" w:line="255"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81" w:lineRule="auto"/>
        <w:tabs>
          <w:tab w:leader="none" w:pos="251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2040" w:right="320" w:firstLine="5"/>
        <w:spacing w:after="0" w:line="281" w:lineRule="auto"/>
        <w:tabs>
          <w:tab w:leader="none" w:pos="25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2040" w:right="60" w:firstLine="5"/>
        <w:spacing w:after="0" w:line="250" w:lineRule="auto"/>
        <w:tabs>
          <w:tab w:leader="none" w:pos="251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40" w:right="240" w:firstLine="5"/>
        <w:spacing w:after="0" w:line="302" w:lineRule="auto"/>
        <w:tabs>
          <w:tab w:leader="none" w:pos="25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020" w:right="460" w:hanging="503"/>
        <w:spacing w:after="0" w:line="255"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right="560" w:firstLine="5"/>
        <w:spacing w:after="0" w:line="250" w:lineRule="auto"/>
        <w:tabs>
          <w:tab w:leader="none" w:pos="251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2040" w:right="360" w:firstLine="5"/>
        <w:spacing w:after="0" w:line="260" w:lineRule="auto"/>
        <w:tabs>
          <w:tab w:leader="none" w:pos="25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Luke A. Sarsfield III</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Amanda Coussens, certify that:</w:t>
      </w:r>
    </w:p>
    <w:p>
      <w:pPr>
        <w:spacing w:after="0" w:line="103" w:lineRule="exact"/>
        <w:rPr>
          <w:sz w:val="20"/>
          <w:szCs w:val="20"/>
          <w:color w:val="auto"/>
        </w:rPr>
      </w:pPr>
    </w:p>
    <w:p>
      <w:pPr>
        <w:ind w:left="1020" w:hanging="503"/>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20" w:hanging="503"/>
        <w:spacing w:after="0" w:line="255"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81" w:lineRule="auto"/>
        <w:tabs>
          <w:tab w:leader="none" w:pos="251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2040" w:right="320" w:firstLine="5"/>
        <w:spacing w:after="0" w:line="281" w:lineRule="auto"/>
        <w:tabs>
          <w:tab w:leader="none" w:pos="25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2040" w:right="60" w:firstLine="5"/>
        <w:spacing w:after="0" w:line="250" w:lineRule="auto"/>
        <w:tabs>
          <w:tab w:leader="none" w:pos="251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40" w:right="240" w:firstLine="5"/>
        <w:spacing w:after="0" w:line="302" w:lineRule="auto"/>
        <w:tabs>
          <w:tab w:leader="none" w:pos="25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020" w:right="460" w:hanging="503"/>
        <w:spacing w:after="0" w:line="255"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right="560" w:firstLine="5"/>
        <w:spacing w:after="0" w:line="250" w:lineRule="auto"/>
        <w:tabs>
          <w:tab w:leader="none" w:pos="251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2040" w:right="360" w:firstLine="5"/>
        <w:spacing w:after="0" w:line="260" w:lineRule="auto"/>
        <w:tabs>
          <w:tab w:leader="none" w:pos="25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In connection with the Quarterly Report of P10, Inc. (the “Company”) on Form 10-Q for the quarter ended September 30, 2023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49"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Luke A. Sarsfield III</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In connection with the Quarterly Report of P10, Inc. (the “Company”) on Form 10-Q for the quarter ended September 30, 2023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49"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
      <w:numFmt w:val="bullet"/>
      <w:start w:val="1"/>
    </w:lvl>
    <w:lvl w:ilvl="1">
      <w:lvlJc w:val="left"/>
      <w:lvlText w:val="%2"/>
      <w:numFmt w:val="decimal"/>
      <w:start w:val="104"/>
    </w:lvl>
  </w:abstractNum>
  <w:abstractNum w:abstractNumId="15">
    <w:nsid w:val="725A06FB"/>
    <w:multiLevelType w:val="hybridMultilevel"/>
    <w:lvl w:ilvl="0">
      <w:lvlJc w:val="left"/>
      <w:lvlText w:val="%1."/>
      <w:numFmt w:val="decimal"/>
      <w:start w:val="1"/>
    </w:lvl>
    <w:lvl w:ilvl="1">
      <w:lvlJc w:val="left"/>
      <w:lvlText w:val="(%2)"/>
      <w:numFmt w:val="lowerLetter"/>
      <w:start w:val="1"/>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1)"/>
      <w:numFmt w:val="lowerLetter"/>
      <w:start w:val="3"/>
    </w:lvl>
  </w:abstractNum>
  <w:abstractNum w:abstractNumId="18">
    <w:nsid w:val="7A6D8D3C"/>
    <w:multiLevelType w:val="hybridMultilevel"/>
    <w:lvl w:ilvl="0">
      <w:lvlJc w:val="left"/>
      <w:lvlText w:val="(%1)"/>
      <w:numFmt w:val="lowerLetter"/>
      <w:start w:val="4"/>
    </w:lvl>
  </w:abstractNum>
  <w:abstractNum w:abstractNumId="19">
    <w:nsid w:val="4B588F54"/>
    <w:multiLevelType w:val="hybridMultilevel"/>
    <w:lvl w:ilvl="0">
      <w:lvlJc w:val="left"/>
      <w:lvlText w:val="(%1)"/>
      <w:numFmt w:val="lowerLetter"/>
      <w:start w:val="6"/>
    </w:lvl>
  </w:abstractNum>
  <w:abstractNum w:abstractNumId="20">
    <w:nsid w:val="542289EC"/>
    <w:multiLevelType w:val="hybridMultilevel"/>
    <w:lvl w:ilvl="0">
      <w:lvlJc w:val="left"/>
      <w:lvlText w:val="(%1)"/>
      <w:numFmt w:val="lowerLetter"/>
      <w:start w:val="8"/>
    </w:lvl>
    <w:lvl w:ilvl="1">
      <w:lvlJc w:val="left"/>
      <w:lvlText w:val="(%2)"/>
      <w:numFmt w:val="lowerLetter"/>
      <w:start w:val="10"/>
    </w:lvl>
  </w:abstractNum>
  <w:abstractNum w:abstractNumId="21">
    <w:nsid w:val="6DE91B18"/>
    <w:multiLevelType w:val="hybridMultilevel"/>
    <w:lvl w:ilvl="0">
      <w:lvlJc w:val="left"/>
      <w:lvlText w:val="%1."/>
      <w:numFmt w:val="decimal"/>
      <w:start w:val="4"/>
    </w:lvl>
    <w:lvl w:ilvl="1">
      <w:lvlJc w:val="left"/>
      <w:lvlText w:val="(%2)"/>
      <w:numFmt w:val="lowerLetter"/>
      <w:start w:val="1"/>
    </w:lvl>
  </w:abstractNum>
  <w:abstractNum w:abstractNumId="22">
    <w:nsid w:val="38437FDB"/>
    <w:multiLevelType w:val="hybridMultilevel"/>
    <w:lvl w:ilvl="0">
      <w:lvlJc w:val="left"/>
      <w:lvlText w:val="(%1)"/>
      <w:numFmt w:val="upperLetter"/>
      <w:start w:val="1"/>
    </w:lvl>
  </w:abstractNum>
  <w:abstractNum w:abstractNumId="23">
    <w:nsid w:val="7644A45C"/>
    <w:multiLevelType w:val="hybridMultilevel"/>
    <w:lvl w:ilvl="0">
      <w:lvlJc w:val="left"/>
      <w:lvlText w:val="(%1)"/>
      <w:numFmt w:val="decimal"/>
      <w:start w:val="90"/>
    </w:lvl>
  </w:abstractNum>
  <w:abstractNum w:abstractNumId="24">
    <w:nsid w:val="32FFF902"/>
    <w:multiLevelType w:val="hybridMultilevel"/>
    <w:lvl w:ilvl="0">
      <w:lvlJc w:val="left"/>
      <w:lvlText w:val="(%1)"/>
      <w:numFmt w:val="lowerLetter"/>
      <w:start w:val="2"/>
    </w:lvl>
  </w:abstractNum>
  <w:abstractNum w:abstractNumId="25">
    <w:nsid w:val="684A481A"/>
    <w:multiLevelType w:val="hybridMultilevel"/>
    <w:lvl w:ilvl="0">
      <w:lvlJc w:val="left"/>
      <w:lvlText w:val="(%1)"/>
      <w:numFmt w:val="upperLetter"/>
      <w:start w:val="1"/>
    </w:lvl>
  </w:abstractNum>
  <w:abstractNum w:abstractNumId="26">
    <w:nsid w:val="579478FE"/>
    <w:multiLevelType w:val="hybridMultilevel"/>
    <w:lvl w:ilvl="0">
      <w:lvlJc w:val="left"/>
      <w:lvlText w:val="%1"/>
      <w:numFmt w:val="decimal"/>
      <w:start w:val="1"/>
    </w:lvl>
    <w:lvl w:ilvl="1">
      <w:lvlJc w:val="left"/>
      <w:lvlText w:val="(%2)"/>
      <w:numFmt w:val="lowerLetter"/>
      <w:start w:val="3"/>
    </w:lvl>
  </w:abstractNum>
  <w:abstractNum w:abstractNumId="27">
    <w:nsid w:val="749ABB43"/>
    <w:multiLevelType w:val="hybridMultilevel"/>
    <w:lvl w:ilvl="0">
      <w:lvlJc w:val="left"/>
      <w:lvlText w:val="%1."/>
      <w:numFmt w:val="decimal"/>
      <w:start w:val="5"/>
    </w:lvl>
    <w:lvl w:ilvl="1">
      <w:lvlJc w:val="left"/>
      <w:lvlText w:val="(%2)"/>
      <w:numFmt w:val="lowerLetter"/>
      <w:start w:val="1"/>
    </w:lvl>
  </w:abstractNum>
  <w:abstractNum w:abstractNumId="28">
    <w:nsid w:val="3DC240FB"/>
    <w:multiLevelType w:val="hybridMultilevel"/>
    <w:lvl w:ilvl="0">
      <w:lvlJc w:val="left"/>
      <w:lvlText w:val="(%1)"/>
      <w:numFmt w:val="lowerLetter"/>
      <w:start w:val="2"/>
    </w:lvl>
  </w:abstractNum>
  <w:abstractNum w:abstractNumId="29">
    <w:nsid w:val="1BA026FA"/>
    <w:multiLevelType w:val="hybridMultilevel"/>
    <w:lvl w:ilvl="0">
      <w:lvlJc w:val="left"/>
      <w:lvlText w:val="(%1)"/>
      <w:numFmt w:val="lowerLetter"/>
      <w:start w:val="3"/>
    </w:lvl>
  </w:abstractNum>
  <w:abstractNum w:abstractNumId="30">
    <w:nsid w:val="79A1DEAA"/>
    <w:multiLevelType w:val="hybridMultilevel"/>
    <w:lvl w:ilvl="0">
      <w:lvlJc w:val="left"/>
      <w:lvlText w:val="%1."/>
      <w:numFmt w:val="decimal"/>
      <w:start w:val="6"/>
    </w:lvl>
    <w:lvl w:ilvl="1">
      <w:lvlJc w:val="left"/>
      <w:lvlText w:val="(%2)"/>
      <w:numFmt w:val="lowerLetter"/>
      <w:start w:val="1"/>
    </w:lvl>
  </w:abstractNum>
  <w:abstractNum w:abstractNumId="31">
    <w:nsid w:val="75C6C33A"/>
    <w:multiLevelType w:val="hybridMultilevel"/>
    <w:lvl w:ilvl="0">
      <w:lvlJc w:val="left"/>
      <w:lvlText w:val="(%1)"/>
      <w:numFmt w:val="lowerLetter"/>
      <w:start w:val="2"/>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lowerLetter"/>
      <w:start w:val="2"/>
    </w:lvl>
  </w:abstractNum>
  <w:abstractNum w:abstractNumId="34">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5">
    <w:nsid w:val="374A3FE6"/>
    <w:multiLevelType w:val="hybridMultilevel"/>
    <w:lvl w:ilvl="0">
      <w:lvlJc w:val="left"/>
      <w:lvlText w:val="(%1)"/>
      <w:numFmt w:val="decimal"/>
      <w:start w:val="2"/>
    </w:lvl>
    <w:lvl w:ilvl="1">
      <w:lvlJc w:val="left"/>
      <w:lvlText w:val="(%2)"/>
      <w:numFmt w:val="lowerLetter"/>
      <w:start w:val="3"/>
    </w:lvl>
    <w:lvl w:ilvl="2">
      <w:lvlJc w:val="left"/>
      <w:lvlText w:val="%3"/>
      <w:numFmt w:val="lowerLetter"/>
      <w:start w:val="1"/>
    </w:lvl>
  </w:abstractNum>
  <w:abstractNum w:abstractNumId="36">
    <w:nsid w:val="4F4EF005"/>
    <w:multiLevelType w:val="hybridMultilevel"/>
    <w:lvl w:ilvl="0">
      <w:lvlJc w:val="left"/>
      <w:lvlText w:val="(%1)"/>
      <w:numFmt w:val="lowerLetter"/>
      <w:start w:val="5"/>
    </w:lvl>
  </w:abstractNum>
  <w:abstractNum w:abstractNumId="37">
    <w:nsid w:val="23F9C13C"/>
    <w:multiLevelType w:val="hybridMultilevel"/>
    <w:lvl w:ilvl="0">
      <w:lvlJc w:val="left"/>
      <w:lvlText w:val="%1."/>
      <w:numFmt w:val="decimal"/>
      <w:start w:val="10"/>
    </w:lvl>
    <w:lvl w:ilvl="1">
      <w:lvlJc w:val="left"/>
      <w:lvlText w:val="(%2)"/>
      <w:numFmt w:val="lowerLetter"/>
      <w:start w:val="1"/>
    </w:lvl>
  </w:abstractNum>
  <w:abstractNum w:abstractNumId="38">
    <w:nsid w:val="649BB77C"/>
    <w:multiLevelType w:val="hybridMultilevel"/>
    <w:lvl w:ilvl="0">
      <w:lvlJc w:val="left"/>
      <w:lvlText w:val="(%1)"/>
      <w:numFmt w:val="lowerLetter"/>
      <w:start w:val="4"/>
    </w:lvl>
  </w:abstractNum>
  <w:abstractNum w:abstractNumId="39">
    <w:nsid w:val="275AC794"/>
    <w:multiLevelType w:val="hybridMultilevel"/>
    <w:lvl w:ilvl="0">
      <w:lvlJc w:val="left"/>
      <w:lvlText w:val="%1."/>
      <w:numFmt w:val="decimal"/>
      <w:start w:val="24"/>
    </w:lvl>
    <w:lvl w:ilvl="1">
      <w:lvlJc w:val="left"/>
      <w:lvlText w:val="(%2)"/>
      <w:numFmt w:val="lowerLetter"/>
      <w:start w:val="1"/>
    </w:lvl>
  </w:abstractNum>
  <w:abstractNum w:abstractNumId="40">
    <w:nsid w:val="39386575"/>
    <w:multiLevelType w:val="hybridMultilevel"/>
    <w:lvl w:ilvl="0">
      <w:lvlJc w:val="left"/>
      <w:lvlText w:val="(%1)"/>
      <w:numFmt w:val="lowerLetter"/>
      <w:start w:val="3"/>
    </w:lvl>
  </w:abstractNum>
  <w:abstractNum w:abstractNumId="41">
    <w:nsid w:val="1CF10FD8"/>
    <w:multiLevelType w:val="hybridMultilevel"/>
    <w:lvl w:ilvl="0">
      <w:lvlJc w:val="left"/>
      <w:lvlText w:val="%1."/>
      <w:numFmt w:val="decimal"/>
      <w:start w:val="1"/>
    </w:lvl>
    <w:lvl w:ilvl="1">
      <w:lvlJc w:val="left"/>
      <w:lvlText w:val="(%2)"/>
      <w:numFmt w:val="lowerLetter"/>
      <w:start w:val="1"/>
    </w:lvl>
  </w:abstractNum>
  <w:abstractNum w:abstractNumId="42">
    <w:nsid w:val="180115BE"/>
    <w:multiLevelType w:val="hybridMultilevel"/>
    <w:lvl w:ilvl="0">
      <w:lvlJc w:val="left"/>
      <w:lvlText w:val="%1"/>
      <w:numFmt w:val="decimal"/>
      <w:start w:val="1"/>
    </w:lvl>
    <w:lvl w:ilvl="1">
      <w:lvlJc w:val="left"/>
      <w:lvlText w:val="(%2)"/>
      <w:numFmt w:val="lowerLetter"/>
      <w:start w:val="3"/>
    </w:lvl>
  </w:abstractNum>
  <w:abstractNum w:abstractNumId="43">
    <w:nsid w:val="235BA861"/>
    <w:multiLevelType w:val="hybridMultilevel"/>
    <w:lvl w:ilvl="0">
      <w:lvlJc w:val="left"/>
      <w:lvlText w:val="%1."/>
      <w:numFmt w:val="decimal"/>
      <w:start w:val="4"/>
    </w:lvl>
    <w:lvl w:ilvl="1">
      <w:lvlJc w:val="left"/>
      <w:lvlText w:val="%2"/>
      <w:numFmt w:val="lowerLetter"/>
      <w:start w:val="1"/>
    </w:lvl>
  </w:abstractNum>
  <w:abstractNum w:abstractNumId="44">
    <w:nsid w:val="47398C89"/>
    <w:multiLevelType w:val="hybridMultilevel"/>
    <w:lvl w:ilvl="0">
      <w:lvlJc w:val="left"/>
      <w:lvlText w:val="%1"/>
      <w:numFmt w:val="lowerRoman"/>
      <w:start w:val="1"/>
    </w:lvl>
    <w:lvl w:ilvl="1">
      <w:lvlJc w:val="left"/>
      <w:lvlText w:val="(%2)"/>
      <w:numFmt w:val="lowerLetter"/>
      <w:start w:val="1"/>
    </w:lvl>
  </w:abstractNum>
  <w:abstractNum w:abstractNumId="45">
    <w:nsid w:val="354FE9F9"/>
    <w:multiLevelType w:val="hybridMultilevel"/>
    <w:lvl w:ilvl="0">
      <w:lvlJc w:val="left"/>
      <w:lvlText w:val="(%1)"/>
      <w:numFmt w:val="lowerRoman"/>
      <w:start w:val="4"/>
    </w:lvl>
    <w:lvl w:ilvl="1">
      <w:lvlJc w:val="left"/>
      <w:lvlText w:val="%2"/>
      <w:numFmt w:val="lowerLetter"/>
      <w:start w:val="1"/>
    </w:lvl>
  </w:abstractNum>
  <w:abstractNum w:abstractNumId="46">
    <w:nsid w:val="15B5AF5C"/>
    <w:multiLevelType w:val="hybridMultilevel"/>
    <w:lvl w:ilvl="0">
      <w:lvlJc w:val="left"/>
      <w:lvlText w:val="(%1)"/>
      <w:numFmt w:val="lowerLetter"/>
      <w:start w:val="3"/>
    </w:lvl>
  </w:abstractNum>
  <w:abstractNum w:abstractNumId="47">
    <w:nsid w:val="741226BB"/>
    <w:multiLevelType w:val="hybridMultilevel"/>
    <w:lvl w:ilvl="0">
      <w:lvlJc w:val="left"/>
      <w:lvlText w:val="(%1)"/>
      <w:numFmt w:val="lowerRoman"/>
      <w:start w:val="1"/>
    </w:lvl>
  </w:abstractNum>
  <w:abstractNum w:abstractNumId="48">
    <w:nsid w:val="D34B6A8"/>
    <w:multiLevelType w:val="hybridMultilevel"/>
    <w:lvl w:ilvl="0">
      <w:lvlJc w:val="left"/>
      <w:lvlText w:val="%1."/>
      <w:numFmt w:val="decimal"/>
      <w:start w:val="6"/>
    </w:lvl>
  </w:abstractNum>
  <w:abstractNum w:abstractNumId="49">
    <w:nsid w:val="10233C99"/>
    <w:multiLevelType w:val="hybridMultilevel"/>
    <w:lvl w:ilvl="0">
      <w:lvlJc w:val="left"/>
      <w:lvlText w:val="%1"/>
      <w:numFmt w:val="decimal"/>
      <w:start w:val="1"/>
    </w:lvl>
    <w:lvl w:ilvl="1">
      <w:lvlJc w:val="left"/>
      <w:lvlText w:val="(%2)"/>
      <w:numFmt w:val="lowerLetter"/>
      <w:start w:val="2"/>
    </w:lvl>
  </w:abstractNum>
  <w:abstractNum w:abstractNumId="50">
    <w:nsid w:val="3F6AB60F"/>
    <w:multiLevelType w:val="hybridMultilevel"/>
    <w:lvl w:ilvl="0">
      <w:lvlJc w:val="left"/>
      <w:lvlText w:val="%1."/>
      <w:numFmt w:val="decimal"/>
      <w:start w:val="7"/>
    </w:lvl>
    <w:lvl w:ilvl="1">
      <w:lvlJc w:val="left"/>
      <w:lvlText w:val="(%2)"/>
      <w:numFmt w:val="lowerLetter"/>
      <w:start w:val="1"/>
    </w:lvl>
  </w:abstractNum>
  <w:abstractNum w:abstractNumId="51">
    <w:nsid w:val="61574095"/>
    <w:multiLevelType w:val="hybridMultilevel"/>
    <w:lvl w:ilvl="0">
      <w:lvlJc w:val="left"/>
      <w:lvlText w:val="%1."/>
      <w:numFmt w:val="decimal"/>
      <w:start w:val="9"/>
    </w:lvl>
  </w:abstractNum>
  <w:abstractNum w:abstractNumId="52">
    <w:nsid w:val="7E0C57B1"/>
    <w:multiLevelType w:val="hybridMultilevel"/>
    <w:lvl w:ilvl="0">
      <w:lvlJc w:val="left"/>
      <w:lvlText w:val="%1."/>
      <w:numFmt w:val="decimal"/>
      <w:start w:val="13"/>
    </w:lvl>
  </w:abstractNum>
  <w:abstractNum w:abstractNumId="53">
    <w:nsid w:val="77AE35EB"/>
    <w:multiLevelType w:val="hybridMultilevel"/>
    <w:lvl w:ilvl="0">
      <w:lvlJc w:val="left"/>
      <w:lvlText w:val="%1."/>
      <w:numFmt w:val="decimal"/>
      <w:start w:val="16"/>
    </w:lvl>
  </w:abstractNum>
  <w:abstractNum w:abstractNumId="54">
    <w:nsid w:val="579BE4F1"/>
    <w:multiLevelType w:val="hybridMultilevel"/>
    <w:lvl w:ilvl="0">
      <w:lvlJc w:val="left"/>
      <w:lvlText w:val="%1."/>
      <w:numFmt w:val="decimal"/>
      <w:start w:val="22"/>
    </w:lvl>
  </w:abstractNum>
  <w:abstractNum w:abstractNumId="55">
    <w:nsid w:val="310C50B3"/>
    <w:multiLevelType w:val="hybridMultilevel"/>
    <w:lvl w:ilvl="0">
      <w:lvlJc w:val="left"/>
      <w:lvlText w:val="%1"/>
      <w:numFmt w:val="decimal"/>
      <w:start w:val="1"/>
    </w:lvl>
    <w:lvl w:ilvl="1">
      <w:lvlJc w:val="left"/>
      <w:lvlText w:val="%2."/>
      <w:numFmt w:val="decimal"/>
      <w:start w:val="1"/>
    </w:lvl>
  </w:abstractNum>
  <w:abstractNum w:abstractNumId="56">
    <w:nsid w:val="5FF87E05"/>
    <w:multiLevelType w:val="hybridMultilevel"/>
    <w:lvl w:ilvl="0">
      <w:lvlJc w:val="left"/>
      <w:lvlText w:val="(%1)"/>
      <w:numFmt w:val="decimal"/>
      <w:start w:val="7"/>
    </w:lvl>
    <w:lvl w:ilvl="1">
      <w:lvlJc w:val="left"/>
      <w:lvlText w:val="%2."/>
      <w:numFmt w:val="decimal"/>
      <w:start w:val="3"/>
    </w:lvl>
  </w:abstractNum>
  <w:abstractNum w:abstractNumId="57">
    <w:nsid w:val="2F305DEF"/>
    <w:multiLevelType w:val="hybridMultilevel"/>
    <w:lvl w:ilvl="0">
      <w:lvlJc w:val="left"/>
      <w:lvlText w:val="%1."/>
      <w:numFmt w:val="decimal"/>
      <w:start w:val="5"/>
    </w:lvl>
  </w:abstractNum>
  <w:abstractNum w:abstractNumId="58">
    <w:nsid w:val="25A70BF7"/>
    <w:multiLevelType w:val="hybridMultilevel"/>
    <w:lvl w:ilvl="0">
      <w:lvlJc w:val="left"/>
      <w:lvlText w:val="%1."/>
      <w:numFmt w:val="decimal"/>
      <w:start w:val="7"/>
    </w:lvl>
  </w:abstractNum>
  <w:abstractNum w:abstractNumId="59">
    <w:nsid w:val="1DBABF00"/>
    <w:multiLevelType w:val="hybridMultilevel"/>
    <w:lvl w:ilvl="0">
      <w:lvlJc w:val="left"/>
      <w:lvlText w:val="%1."/>
      <w:numFmt w:val="decimal"/>
      <w:start w:val="9"/>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Letter"/>
      <w:start w:val="3"/>
    </w:lvl>
  </w:abstractNum>
  <w:abstractNum w:abstractNumId="62">
    <w:nsid w:val="1381823A"/>
    <w:multiLevelType w:val="hybridMultilevel"/>
    <w:lvl w:ilvl="0">
      <w:lvlJc w:val="left"/>
      <w:lvlText w:val="%1"/>
      <w:numFmt w:val="lowerRoman"/>
      <w:start w:val="1"/>
    </w:lvl>
    <w:lvl w:ilvl="1">
      <w:lvlJc w:val="left"/>
      <w:lvlText w:val="(%2)"/>
      <w:numFmt w:val="lowerLetter"/>
      <w:start w:val="1"/>
    </w:lvl>
  </w:abstractNum>
  <w:abstractNum w:abstractNumId="63">
    <w:nsid w:val="5DB70AE5"/>
    <w:multiLevelType w:val="hybridMultilevel"/>
    <w:lvl w:ilvl="0">
      <w:lvlJc w:val="left"/>
      <w:lvlText w:val="(%1)"/>
      <w:numFmt w:val="lowerRoman"/>
      <w:start w:val="4"/>
    </w:lvl>
    <w:lvl w:ilvl="1">
      <w:lvlJc w:val="left"/>
      <w:lvlText w:val="%2"/>
      <w:numFmt w:val="lowerLetter"/>
      <w:start w:val="1"/>
    </w:lvl>
  </w:abstractNum>
  <w:abstractNum w:abstractNumId="64">
    <w:nsid w:val="100F8FCA"/>
    <w:multiLevelType w:val="hybridMultilevel"/>
    <w:lvl w:ilvl="0">
      <w:lvlJc w:val="left"/>
      <w:lvlText w:val="(%1)"/>
      <w:numFmt w:val="lowerLetter"/>
      <w:start w:val="3"/>
    </w:lvl>
  </w:abstractNum>
  <w:abstractNum w:abstractNumId="65">
    <w:nsid w:val="6590700B"/>
    <w:multiLevelType w:val="hybridMultilevel"/>
    <w:lvl w:ilvl="0">
      <w:lvlJc w:val="left"/>
      <w:lvlText w:val="(%1)"/>
      <w:numFmt w:val="lowerRoman"/>
      <w:start w:val="1"/>
    </w:lvl>
    <w:lvl w:ilvl="1">
      <w:lvlJc w:val="left"/>
      <w:lvlText w:val="%2."/>
      <w:numFmt w:val="decimal"/>
      <w:start w:val="6"/>
    </w:lvl>
  </w:abstractNum>
  <w:abstractNum w:abstractNumId="66">
    <w:nsid w:val="15014ACB"/>
    <w:multiLevelType w:val="hybridMultilevel"/>
    <w:lvl w:ilvl="0">
      <w:lvlJc w:val="left"/>
      <w:lvlText w:val="%1"/>
      <w:numFmt w:val="decimal"/>
      <w:start w:val="1"/>
    </w:lvl>
    <w:lvl w:ilvl="1">
      <w:lvlJc w:val="left"/>
      <w:lvlText w:val="(%2)"/>
      <w:numFmt w:val="lowerLetter"/>
      <w:start w:val="2"/>
    </w:lvl>
  </w:abstractNum>
  <w:abstractNum w:abstractNumId="67">
    <w:nsid w:val="5F5E7FD0"/>
    <w:multiLevelType w:val="hybridMultilevel"/>
    <w:lvl w:ilvl="0">
      <w:lvlJc w:val="left"/>
      <w:lvlText w:val="%1."/>
      <w:numFmt w:val="decimal"/>
      <w:start w:val="7"/>
    </w:lvl>
    <w:lvl w:ilvl="1">
      <w:lvlJc w:val="left"/>
      <w:lvlText w:val="(%2)"/>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jpe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jpeg"/><Relationship Id="rId338" Type="http://schemas.openxmlformats.org/officeDocument/2006/relationships/image" Target="media/image327.jpeg"/><Relationship Id="rId339" Type="http://schemas.openxmlformats.org/officeDocument/2006/relationships/image" Target="media/image328.jpeg"/><Relationship Id="rId340" Type="http://schemas.openxmlformats.org/officeDocument/2006/relationships/image" Target="media/image329.jpeg"/><Relationship Id="rId341" Type="http://schemas.openxmlformats.org/officeDocument/2006/relationships/image" Target="media/image330.jpeg"/><Relationship Id="rId342" Type="http://schemas.openxmlformats.org/officeDocument/2006/relationships/image" Target="media/image331.jpeg"/><Relationship Id="rId343" Type="http://schemas.openxmlformats.org/officeDocument/2006/relationships/image" Target="media/image332.png"/><Relationship Id="rId344" Type="http://schemas.openxmlformats.org/officeDocument/2006/relationships/image" Target="media/image333.jpe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jpe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jpeg"/><Relationship Id="rId364" Type="http://schemas.openxmlformats.org/officeDocument/2006/relationships/image" Target="media/image353.jpeg"/><Relationship Id="rId365" Type="http://schemas.openxmlformats.org/officeDocument/2006/relationships/image" Target="media/image354.jpeg"/><Relationship Id="rId366" Type="http://schemas.openxmlformats.org/officeDocument/2006/relationships/image" Target="media/image355.jpeg"/><Relationship Id="rId367" Type="http://schemas.openxmlformats.org/officeDocument/2006/relationships/image" Target="media/image356.jpeg"/><Relationship Id="rId368" Type="http://schemas.openxmlformats.org/officeDocument/2006/relationships/image" Target="media/image357.jpeg"/><Relationship Id="rId369" Type="http://schemas.openxmlformats.org/officeDocument/2006/relationships/image" Target="media/image358.png"/><Relationship Id="rId370" Type="http://schemas.openxmlformats.org/officeDocument/2006/relationships/image" Target="media/image359.jpeg"/><Relationship Id="rId371" Type="http://schemas.openxmlformats.org/officeDocument/2006/relationships/image" Target="media/image360.png"/><Relationship Id="rId372" Type="http://schemas.openxmlformats.org/officeDocument/2006/relationships/image" Target="media/image361.jpe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289" Type="http://schemas.openxmlformats.org/officeDocument/2006/relationships/hyperlink" Target="https://www.sec.gov/Archives/edgar/data/1841968/000119312521308150/d247132dex31.htm" TargetMode="External"/><Relationship Id="rId290" Type="http://schemas.openxmlformats.org/officeDocument/2006/relationships/hyperlink" Target="https://www.sec.gov/Archives/edgar/data/1841968/000119312521308150/d247132dex32.htm" TargetMode="External"/><Relationship Id="rId291" Type="http://schemas.openxmlformats.org/officeDocument/2006/relationships/hyperlink" Target="https://www.sec.gov/Archives/edgar/data/1841968/000119312521308150/d247132dex41.htm" TargetMode="External"/><Relationship Id="rId292" Type="http://schemas.openxmlformats.org/officeDocument/2006/relationships/hyperlink" Target="https://www.sec.gov/Archives/edgar/data/1841968/000095017023048781/px-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2023-11-13T16:06:05Z</dcterms:created>
  <dcterms:modified xsi:type="dcterms:W3CDTF">2023-11-13T16:06:05Z</dcterms:modified>
</cp:coreProperties>
</file>