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25, 2005</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1900" w:type="dxa"/>
            <w:vAlign w:val="bottom"/>
          </w:tcPr>
          <w:p>
            <w:pPr>
              <w:jc w:val="center"/>
              <w:ind w:right="44"/>
              <w:spacing w:after="0"/>
              <w:rPr>
                <w:sz w:val="20"/>
                <w:szCs w:val="20"/>
                <w:color w:val="auto"/>
              </w:rPr>
            </w:pPr>
            <w:r>
              <w:rPr>
                <w:rFonts w:ascii="Arial" w:cs="Arial" w:eastAsia="Arial" w:hAnsi="Arial"/>
                <w:sz w:val="18"/>
                <w:szCs w:val="18"/>
                <w:b w:val="1"/>
                <w:bCs w:val="1"/>
                <w:color w:val="auto"/>
                <w:w w:val="88"/>
              </w:rPr>
              <w:t>Delaware</w:t>
            </w:r>
          </w:p>
        </w:tc>
        <w:tc>
          <w:tcPr>
            <w:tcW w:w="5420" w:type="dxa"/>
            <w:vAlign w:val="bottom"/>
            <w:gridSpan w:val="3"/>
          </w:tcPr>
          <w:p>
            <w:pPr>
              <w:jc w:val="center"/>
              <w:ind w:left="4094"/>
              <w:spacing w:after="0"/>
              <w:rPr>
                <w:sz w:val="20"/>
                <w:szCs w:val="20"/>
                <w:color w:val="auto"/>
              </w:rPr>
            </w:pPr>
            <w:r>
              <w:rPr>
                <w:rFonts w:ascii="Arial" w:cs="Arial" w:eastAsia="Arial" w:hAnsi="Arial"/>
                <w:sz w:val="18"/>
                <w:szCs w:val="18"/>
                <w:b w:val="1"/>
                <w:bCs w:val="1"/>
                <w:color w:val="auto"/>
                <w:w w:val="87"/>
              </w:rPr>
              <w:t>74-2961657</w:t>
            </w:r>
          </w:p>
        </w:tc>
      </w:tr>
      <w:tr>
        <w:trPr>
          <w:trHeight w:val="149"/>
        </w:trPr>
        <w:tc>
          <w:tcPr>
            <w:tcW w:w="19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600" w:type="dxa"/>
            <w:vAlign w:val="bottom"/>
          </w:tcPr>
          <w:p>
            <w:pPr>
              <w:jc w:val="center"/>
              <w:ind w:left="129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900" w:type="dxa"/>
            <w:vAlign w:val="bottom"/>
          </w:tcPr>
          <w:p>
            <w:pPr>
              <w:jc w:val="center"/>
              <w:ind w:right="64"/>
              <w:spacing w:after="0"/>
              <w:rPr>
                <w:sz w:val="20"/>
                <w:szCs w:val="20"/>
                <w:color w:val="auto"/>
              </w:rPr>
            </w:pPr>
            <w:r>
              <w:rPr>
                <w:rFonts w:ascii="Arial" w:cs="Arial" w:eastAsia="Arial" w:hAnsi="Arial"/>
                <w:sz w:val="14"/>
                <w:szCs w:val="14"/>
                <w:b w:val="1"/>
                <w:bCs w:val="1"/>
                <w:color w:val="auto"/>
                <w:w w:val="88"/>
              </w:rPr>
              <w:t>incorporation or organization)</w:t>
            </w:r>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600" w:type="dxa"/>
            <w:vAlign w:val="bottom"/>
          </w:tcPr>
          <w:p>
            <w:pPr>
              <w:jc w:val="center"/>
              <w:ind w:left="1312"/>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1900" w:type="dxa"/>
            <w:vAlign w:val="bottom"/>
          </w:tcPr>
          <w:p>
            <w:pPr>
              <w:spacing w:after="0"/>
              <w:rPr>
                <w:sz w:val="24"/>
                <w:szCs w:val="24"/>
                <w:color w:val="auto"/>
              </w:rPr>
            </w:pPr>
          </w:p>
        </w:tc>
        <w:tc>
          <w:tcPr>
            <w:tcW w:w="5420" w:type="dxa"/>
            <w:vAlign w:val="bottom"/>
            <w:gridSpan w:val="3"/>
          </w:tcPr>
          <w:p>
            <w:pPr>
              <w:jc w:val="center"/>
              <w:ind w:right="1672"/>
              <w:spacing w:after="0"/>
              <w:rPr>
                <w:sz w:val="20"/>
                <w:szCs w:val="20"/>
                <w:color w:val="auto"/>
              </w:rPr>
            </w:pPr>
            <w:r>
              <w:rPr>
                <w:rFonts w:ascii="Arial" w:cs="Arial" w:eastAsia="Arial" w:hAnsi="Arial"/>
                <w:sz w:val="18"/>
                <w:szCs w:val="18"/>
                <w:b w:val="1"/>
                <w:bCs w:val="1"/>
                <w:color w:val="auto"/>
                <w:w w:val="91"/>
              </w:rPr>
              <w:t>2128 W. Braker Lane, BK12</w:t>
            </w:r>
          </w:p>
        </w:tc>
      </w:tr>
      <w:tr>
        <w:trPr>
          <w:trHeight w:val="218"/>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60" w:type="dxa"/>
            <w:vAlign w:val="bottom"/>
            <w:gridSpan w:val="2"/>
          </w:tcPr>
          <w:p>
            <w:pPr>
              <w:jc w:val="center"/>
              <w:ind w:right="2552"/>
              <w:spacing w:after="0"/>
              <w:rPr>
                <w:sz w:val="20"/>
                <w:szCs w:val="20"/>
                <w:color w:val="auto"/>
              </w:rPr>
            </w:pPr>
            <w:r>
              <w:rPr>
                <w:rFonts w:ascii="Arial" w:cs="Arial" w:eastAsia="Arial" w:hAnsi="Arial"/>
                <w:sz w:val="18"/>
                <w:szCs w:val="18"/>
                <w:b w:val="1"/>
                <w:bCs w:val="1"/>
                <w:color w:val="auto"/>
                <w:w w:val="87"/>
              </w:rPr>
              <w:t>Austin, Texas 78758</w:t>
            </w:r>
          </w:p>
        </w:tc>
      </w:tr>
      <w:tr>
        <w:trPr>
          <w:trHeight w:val="174"/>
        </w:trPr>
        <w:tc>
          <w:tcPr>
            <w:tcW w:w="1900" w:type="dxa"/>
            <w:vAlign w:val="bottom"/>
          </w:tcPr>
          <w:p>
            <w:pPr>
              <w:spacing w:after="0"/>
              <w:rPr>
                <w:sz w:val="15"/>
                <w:szCs w:val="15"/>
                <w:color w:val="auto"/>
              </w:rPr>
            </w:pPr>
          </w:p>
        </w:tc>
        <w:tc>
          <w:tcPr>
            <w:tcW w:w="5420" w:type="dxa"/>
            <w:vAlign w:val="bottom"/>
            <w:gridSpan w:val="3"/>
          </w:tcPr>
          <w:p>
            <w:pPr>
              <w:jc w:val="center"/>
              <w:ind w:right="1692"/>
              <w:spacing w:after="0"/>
              <w:rPr>
                <w:sz w:val="20"/>
                <w:szCs w:val="20"/>
                <w:color w:val="auto"/>
              </w:rPr>
            </w:pPr>
            <w:r>
              <w:rPr>
                <w:rFonts w:ascii="Arial" w:cs="Arial" w:eastAsia="Arial" w:hAnsi="Arial"/>
                <w:sz w:val="14"/>
                <w:szCs w:val="14"/>
                <w:b w:val="1"/>
                <w:bCs w:val="1"/>
                <w:color w:val="auto"/>
                <w:w w:val="86"/>
              </w:rPr>
              <w:t>(Address of principal executive offices) (Zip Code)</w:t>
            </w:r>
          </w:p>
        </w:tc>
      </w:tr>
      <w:tr>
        <w:trPr>
          <w:trHeight w:val="244"/>
        </w:trPr>
        <w:tc>
          <w:tcPr>
            <w:tcW w:w="1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600" w:type="dxa"/>
            <w:vAlign w:val="bottom"/>
          </w:tcPr>
          <w:p>
            <w:pPr>
              <w:spacing w:after="0"/>
              <w:rPr>
                <w:sz w:val="21"/>
                <w:szCs w:val="21"/>
                <w:color w:val="auto"/>
              </w:rPr>
            </w:pPr>
          </w:p>
        </w:tc>
      </w:tr>
      <w:tr>
        <w:trPr>
          <w:trHeight w:val="452"/>
        </w:trPr>
        <w:tc>
          <w:tcPr>
            <w:tcW w:w="1900" w:type="dxa"/>
            <w:vAlign w:val="bottom"/>
          </w:tcPr>
          <w:p>
            <w:pPr>
              <w:spacing w:after="0"/>
              <w:rPr>
                <w:sz w:val="24"/>
                <w:szCs w:val="24"/>
                <w:color w:val="auto"/>
              </w:rPr>
            </w:pPr>
          </w:p>
        </w:tc>
        <w:tc>
          <w:tcPr>
            <w:tcW w:w="5420" w:type="dxa"/>
            <w:vAlign w:val="bottom"/>
            <w:gridSpan w:val="3"/>
          </w:tcPr>
          <w:p>
            <w:pPr>
              <w:jc w:val="center"/>
              <w:ind w:right="1672"/>
              <w:spacing w:after="0"/>
              <w:rPr>
                <w:sz w:val="20"/>
                <w:szCs w:val="20"/>
                <w:color w:val="auto"/>
              </w:rPr>
            </w:pPr>
            <w:r>
              <w:rPr>
                <w:rFonts w:ascii="Arial" w:cs="Arial" w:eastAsia="Arial" w:hAnsi="Arial"/>
                <w:sz w:val="18"/>
                <w:szCs w:val="18"/>
                <w:b w:val="1"/>
                <w:bCs w:val="1"/>
                <w:color w:val="auto"/>
                <w:w w:val="97"/>
              </w:rPr>
              <w:t>2000 STOCK INCENTIVE PLAN</w:t>
            </w:r>
          </w:p>
        </w:tc>
      </w:tr>
      <w:tr>
        <w:trPr>
          <w:trHeight w:val="218"/>
        </w:trPr>
        <w:tc>
          <w:tcPr>
            <w:tcW w:w="7320" w:type="dxa"/>
            <w:vAlign w:val="bottom"/>
            <w:gridSpan w:val="4"/>
          </w:tcPr>
          <w:p>
            <w:pPr>
              <w:jc w:val="center"/>
              <w:ind w:left="84"/>
              <w:spacing w:after="0"/>
              <w:rPr>
                <w:sz w:val="20"/>
                <w:szCs w:val="20"/>
                <w:color w:val="auto"/>
              </w:rPr>
            </w:pPr>
            <w:r>
              <w:rPr>
                <w:rFonts w:ascii="Arial" w:cs="Arial" w:eastAsia="Arial" w:hAnsi="Arial"/>
                <w:sz w:val="18"/>
                <w:szCs w:val="18"/>
                <w:b w:val="1"/>
                <w:bCs w:val="1"/>
                <w:color w:val="auto"/>
                <w:w w:val="96"/>
              </w:rPr>
              <w:t>EMPLOYEE STOCK PURCHASE PLAN (AS AMENDED EFFECTIVE FEBRUARY 1, 2005)</w:t>
            </w:r>
          </w:p>
        </w:tc>
      </w:tr>
      <w:tr>
        <w:trPr>
          <w:trHeight w:val="174"/>
        </w:trPr>
        <w:tc>
          <w:tcPr>
            <w:tcW w:w="1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560" w:type="dxa"/>
            <w:vAlign w:val="bottom"/>
            <w:gridSpan w:val="2"/>
          </w:tcPr>
          <w:p>
            <w:pPr>
              <w:jc w:val="center"/>
              <w:ind w:right="2552"/>
              <w:spacing w:after="0"/>
              <w:rPr>
                <w:sz w:val="20"/>
                <w:szCs w:val="20"/>
                <w:color w:val="auto"/>
              </w:rPr>
            </w:pPr>
            <w:r>
              <w:rPr>
                <w:rFonts w:ascii="Arial" w:cs="Arial" w:eastAsia="Arial" w:hAnsi="Arial"/>
                <w:sz w:val="14"/>
                <w:szCs w:val="14"/>
                <w:b w:val="1"/>
                <w:bCs w:val="1"/>
                <w:color w:val="auto"/>
                <w:w w:val="88"/>
              </w:rPr>
              <w:t>(Full title of the Plans)</w:t>
            </w:r>
          </w:p>
        </w:tc>
      </w:tr>
      <w:tr>
        <w:trPr>
          <w:trHeight w:val="244"/>
        </w:trPr>
        <w:tc>
          <w:tcPr>
            <w:tcW w:w="1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600" w:type="dxa"/>
            <w:vAlign w:val="bottom"/>
          </w:tcPr>
          <w:p>
            <w:pPr>
              <w:spacing w:after="0"/>
              <w:rPr>
                <w:sz w:val="21"/>
                <w:szCs w:val="21"/>
                <w:color w:val="auto"/>
              </w:rPr>
            </w:pPr>
          </w:p>
        </w:tc>
      </w:tr>
      <w:tr>
        <w:trPr>
          <w:trHeight w:val="452"/>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560" w:type="dxa"/>
            <w:vAlign w:val="bottom"/>
            <w:gridSpan w:val="2"/>
          </w:tcPr>
          <w:p>
            <w:pPr>
              <w:jc w:val="center"/>
              <w:ind w:right="2552"/>
              <w:spacing w:after="0"/>
              <w:rPr>
                <w:sz w:val="20"/>
                <w:szCs w:val="20"/>
                <w:color w:val="auto"/>
              </w:rPr>
            </w:pPr>
            <w:r>
              <w:rPr>
                <w:rFonts w:ascii="Arial" w:cs="Arial" w:eastAsia="Arial" w:hAnsi="Arial"/>
                <w:sz w:val="18"/>
                <w:szCs w:val="18"/>
                <w:b w:val="1"/>
                <w:bCs w:val="1"/>
                <w:color w:val="auto"/>
                <w:w w:val="90"/>
              </w:rPr>
              <w:t>Joseph F. Pinkerton, III</w:t>
            </w:r>
          </w:p>
        </w:tc>
      </w:tr>
      <w:tr>
        <w:trPr>
          <w:trHeight w:val="216"/>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60" w:type="dxa"/>
            <w:vAlign w:val="bottom"/>
            <w:gridSpan w:val="2"/>
          </w:tcPr>
          <w:p>
            <w:pPr>
              <w:jc w:val="center"/>
              <w:ind w:right="2532"/>
              <w:spacing w:after="0"/>
              <w:rPr>
                <w:sz w:val="20"/>
                <w:szCs w:val="20"/>
                <w:color w:val="auto"/>
              </w:rPr>
            </w:pPr>
            <w:r>
              <w:rPr>
                <w:rFonts w:ascii="Arial" w:cs="Arial" w:eastAsia="Arial" w:hAnsi="Arial"/>
                <w:sz w:val="18"/>
                <w:szCs w:val="18"/>
                <w:b w:val="1"/>
                <w:bCs w:val="1"/>
                <w:color w:val="auto"/>
                <w:w w:val="89"/>
              </w:rPr>
              <w:t>Chief Executive Officer</w:t>
            </w:r>
          </w:p>
        </w:tc>
      </w:tr>
      <w:tr>
        <w:trPr>
          <w:trHeight w:val="216"/>
        </w:trPr>
        <w:tc>
          <w:tcPr>
            <w:tcW w:w="1900" w:type="dxa"/>
            <w:vAlign w:val="bottom"/>
          </w:tcPr>
          <w:p>
            <w:pPr>
              <w:spacing w:after="0"/>
              <w:rPr>
                <w:sz w:val="18"/>
                <w:szCs w:val="18"/>
                <w:color w:val="auto"/>
              </w:rPr>
            </w:pPr>
          </w:p>
        </w:tc>
        <w:tc>
          <w:tcPr>
            <w:tcW w:w="5420" w:type="dxa"/>
            <w:vAlign w:val="bottom"/>
            <w:gridSpan w:val="3"/>
          </w:tcPr>
          <w:p>
            <w:pPr>
              <w:jc w:val="center"/>
              <w:ind w:right="1672"/>
              <w:spacing w:after="0"/>
              <w:rPr>
                <w:sz w:val="20"/>
                <w:szCs w:val="20"/>
                <w:color w:val="auto"/>
              </w:rPr>
            </w:pPr>
            <w:r>
              <w:rPr>
                <w:rFonts w:ascii="Arial" w:cs="Arial" w:eastAsia="Arial" w:hAnsi="Arial"/>
                <w:sz w:val="18"/>
                <w:szCs w:val="18"/>
                <w:b w:val="1"/>
                <w:bCs w:val="1"/>
                <w:color w:val="auto"/>
                <w:w w:val="91"/>
              </w:rPr>
              <w:t>2128 W. Braker Lane, BK12</w:t>
            </w:r>
          </w:p>
        </w:tc>
      </w:tr>
      <w:tr>
        <w:trPr>
          <w:trHeight w:val="216"/>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60" w:type="dxa"/>
            <w:vAlign w:val="bottom"/>
            <w:gridSpan w:val="2"/>
          </w:tcPr>
          <w:p>
            <w:pPr>
              <w:jc w:val="center"/>
              <w:ind w:right="2552"/>
              <w:spacing w:after="0"/>
              <w:rPr>
                <w:sz w:val="20"/>
                <w:szCs w:val="20"/>
                <w:color w:val="auto"/>
              </w:rPr>
            </w:pPr>
            <w:r>
              <w:rPr>
                <w:rFonts w:ascii="Arial" w:cs="Arial" w:eastAsia="Arial" w:hAnsi="Arial"/>
                <w:sz w:val="18"/>
                <w:szCs w:val="18"/>
                <w:b w:val="1"/>
                <w:bCs w:val="1"/>
                <w:color w:val="auto"/>
                <w:w w:val="87"/>
              </w:rPr>
              <w:t>Austin, Texas 78758</w:t>
            </w:r>
          </w:p>
        </w:tc>
      </w:tr>
      <w:tr>
        <w:trPr>
          <w:trHeight w:val="218"/>
        </w:trPr>
        <w:tc>
          <w:tcPr>
            <w:tcW w:w="1900" w:type="dxa"/>
            <w:vAlign w:val="bottom"/>
          </w:tcPr>
          <w:p>
            <w:pPr>
              <w:spacing w:after="0"/>
              <w:rPr>
                <w:sz w:val="18"/>
                <w:szCs w:val="18"/>
                <w:color w:val="auto"/>
              </w:rPr>
            </w:pPr>
          </w:p>
        </w:tc>
        <w:tc>
          <w:tcPr>
            <w:tcW w:w="2820" w:type="dxa"/>
            <w:vAlign w:val="bottom"/>
            <w:gridSpan w:val="2"/>
          </w:tcPr>
          <w:p>
            <w:pPr>
              <w:jc w:val="center"/>
              <w:ind w:left="754"/>
              <w:spacing w:after="0"/>
              <w:rPr>
                <w:sz w:val="20"/>
                <w:szCs w:val="20"/>
                <w:color w:val="auto"/>
              </w:rPr>
            </w:pPr>
            <w:r>
              <w:rPr>
                <w:rFonts w:ascii="Arial" w:cs="Arial" w:eastAsia="Arial" w:hAnsi="Arial"/>
                <w:sz w:val="18"/>
                <w:szCs w:val="18"/>
                <w:b w:val="1"/>
                <w:bCs w:val="1"/>
                <w:color w:val="auto"/>
                <w:w w:val="89"/>
              </w:rPr>
              <w:t>(512) 836-6464</w:t>
            </w:r>
          </w:p>
        </w:tc>
        <w:tc>
          <w:tcPr>
            <w:tcW w:w="2600" w:type="dxa"/>
            <w:vAlign w:val="bottom"/>
          </w:tcPr>
          <w:p>
            <w:pPr>
              <w:spacing w:after="0"/>
              <w:rPr>
                <w:sz w:val="18"/>
                <w:szCs w:val="18"/>
                <w:color w:val="auto"/>
              </w:rPr>
            </w:pPr>
          </w:p>
        </w:tc>
      </w:tr>
      <w:tr>
        <w:trPr>
          <w:trHeight w:val="174"/>
        </w:trPr>
        <w:tc>
          <w:tcPr>
            <w:tcW w:w="7320" w:type="dxa"/>
            <w:vAlign w:val="bottom"/>
            <w:gridSpan w:val="4"/>
          </w:tcPr>
          <w:p>
            <w:pPr>
              <w:jc w:val="center"/>
              <w:ind w:left="84"/>
              <w:spacing w:after="0"/>
              <w:rPr>
                <w:sz w:val="20"/>
                <w:szCs w:val="20"/>
                <w:color w:val="auto"/>
              </w:rPr>
            </w:pPr>
            <w:r>
              <w:rPr>
                <w:rFonts w:ascii="Arial" w:cs="Arial" w:eastAsia="Arial" w:hAnsi="Arial"/>
                <w:sz w:val="14"/>
                <w:szCs w:val="14"/>
                <w:b w:val="1"/>
                <w:bCs w:val="1"/>
                <w:color w:val="auto"/>
                <w:w w:val="85"/>
              </w:rPr>
              <w:t>(Name, address, including zip code, and telephone number, including area code, of agent for service)</w:t>
            </w:r>
          </w:p>
        </w:tc>
      </w:tr>
      <w:tr>
        <w:trPr>
          <w:trHeight w:val="244"/>
        </w:trPr>
        <w:tc>
          <w:tcPr>
            <w:tcW w:w="19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960" w:type="dxa"/>
            <w:vAlign w:val="bottom"/>
            <w:tcBorders>
              <w:bottom w:val="single" w:sz="8" w:color="auto"/>
            </w:tcBorders>
          </w:tcPr>
          <w:p>
            <w:pPr>
              <w:spacing w:after="0"/>
              <w:rPr>
                <w:sz w:val="21"/>
                <w:szCs w:val="21"/>
                <w:color w:val="auto"/>
              </w:rPr>
            </w:pPr>
          </w:p>
        </w:tc>
        <w:tc>
          <w:tcPr>
            <w:tcW w:w="2600" w:type="dxa"/>
            <w:vAlign w:val="bottom"/>
          </w:tcPr>
          <w:p>
            <w:pPr>
              <w:spacing w:after="0"/>
              <w:rPr>
                <w:sz w:val="21"/>
                <w:szCs w:val="21"/>
                <w:color w:val="auto"/>
              </w:rPr>
            </w:pPr>
          </w:p>
        </w:tc>
      </w:tr>
      <w:tr>
        <w:trPr>
          <w:trHeight w:val="464"/>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560" w:type="dxa"/>
            <w:vAlign w:val="bottom"/>
            <w:gridSpan w:val="2"/>
          </w:tcPr>
          <w:p>
            <w:pPr>
              <w:jc w:val="center"/>
              <w:ind w:right="2552"/>
              <w:spacing w:after="0"/>
              <w:rPr>
                <w:sz w:val="20"/>
                <w:szCs w:val="20"/>
                <w:color w:val="auto"/>
              </w:rPr>
            </w:pPr>
            <w:r>
              <w:rPr>
                <w:rFonts w:ascii="Arial" w:cs="Arial" w:eastAsia="Arial" w:hAnsi="Arial"/>
                <w:sz w:val="18"/>
                <w:szCs w:val="18"/>
                <w:b w:val="1"/>
                <w:bCs w:val="1"/>
                <w:i w:val="1"/>
                <w:iCs w:val="1"/>
                <w:color w:val="auto"/>
                <w:w w:val="84"/>
              </w:rPr>
              <w:t>Copy to:</w:t>
            </w:r>
          </w:p>
        </w:tc>
      </w:tr>
      <w:tr>
        <w:trPr>
          <w:trHeight w:val="352"/>
        </w:trPr>
        <w:tc>
          <w:tcPr>
            <w:tcW w:w="1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560" w:type="dxa"/>
            <w:vAlign w:val="bottom"/>
            <w:gridSpan w:val="2"/>
          </w:tcPr>
          <w:p>
            <w:pPr>
              <w:jc w:val="center"/>
              <w:ind w:right="2552"/>
              <w:spacing w:after="0"/>
              <w:rPr>
                <w:sz w:val="20"/>
                <w:szCs w:val="20"/>
                <w:color w:val="auto"/>
              </w:rPr>
            </w:pPr>
            <w:r>
              <w:rPr>
                <w:rFonts w:ascii="Arial" w:cs="Arial" w:eastAsia="Arial" w:hAnsi="Arial"/>
                <w:sz w:val="18"/>
                <w:szCs w:val="18"/>
                <w:b w:val="1"/>
                <w:bCs w:val="1"/>
                <w:color w:val="auto"/>
                <w:w w:val="89"/>
              </w:rPr>
              <w:t>J. Matthew Lyons</w:t>
            </w:r>
          </w:p>
        </w:tc>
      </w:tr>
      <w:tr>
        <w:trPr>
          <w:trHeight w:val="216"/>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60" w:type="dxa"/>
            <w:vAlign w:val="bottom"/>
            <w:gridSpan w:val="2"/>
          </w:tcPr>
          <w:p>
            <w:pPr>
              <w:jc w:val="center"/>
              <w:ind w:right="2532"/>
              <w:spacing w:after="0"/>
              <w:rPr>
                <w:sz w:val="20"/>
                <w:szCs w:val="20"/>
                <w:color w:val="auto"/>
              </w:rPr>
            </w:pPr>
            <w:r>
              <w:rPr>
                <w:rFonts w:ascii="Arial" w:cs="Arial" w:eastAsia="Arial" w:hAnsi="Arial"/>
                <w:sz w:val="18"/>
                <w:szCs w:val="18"/>
                <w:b w:val="1"/>
                <w:bCs w:val="1"/>
                <w:color w:val="auto"/>
                <w:w w:val="92"/>
              </w:rPr>
              <w:t>Andrews Kurth LLP</w:t>
            </w:r>
          </w:p>
        </w:tc>
      </w:tr>
      <w:tr>
        <w:trPr>
          <w:trHeight w:val="216"/>
        </w:trPr>
        <w:tc>
          <w:tcPr>
            <w:tcW w:w="1900" w:type="dxa"/>
            <w:vAlign w:val="bottom"/>
          </w:tcPr>
          <w:p>
            <w:pPr>
              <w:spacing w:after="0"/>
              <w:rPr>
                <w:sz w:val="18"/>
                <w:szCs w:val="18"/>
                <w:color w:val="auto"/>
              </w:rPr>
            </w:pPr>
          </w:p>
        </w:tc>
        <w:tc>
          <w:tcPr>
            <w:tcW w:w="5420" w:type="dxa"/>
            <w:vAlign w:val="bottom"/>
            <w:gridSpan w:val="3"/>
          </w:tcPr>
          <w:p>
            <w:pPr>
              <w:jc w:val="center"/>
              <w:ind w:right="1672"/>
              <w:spacing w:after="0"/>
              <w:rPr>
                <w:sz w:val="20"/>
                <w:szCs w:val="20"/>
                <w:color w:val="auto"/>
              </w:rPr>
            </w:pPr>
            <w:r>
              <w:rPr>
                <w:rFonts w:ascii="Arial" w:cs="Arial" w:eastAsia="Arial" w:hAnsi="Arial"/>
                <w:sz w:val="18"/>
                <w:szCs w:val="18"/>
                <w:b w:val="1"/>
                <w:bCs w:val="1"/>
                <w:color w:val="auto"/>
                <w:w w:val="84"/>
              </w:rPr>
              <w:t>111 Congress Avenue, Suite 1700</w:t>
            </w:r>
          </w:p>
        </w:tc>
      </w:tr>
      <w:tr>
        <w:trPr>
          <w:trHeight w:val="216"/>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60" w:type="dxa"/>
            <w:vAlign w:val="bottom"/>
            <w:gridSpan w:val="2"/>
          </w:tcPr>
          <w:p>
            <w:pPr>
              <w:jc w:val="center"/>
              <w:ind w:right="2552"/>
              <w:spacing w:after="0"/>
              <w:rPr>
                <w:sz w:val="20"/>
                <w:szCs w:val="20"/>
                <w:color w:val="auto"/>
              </w:rPr>
            </w:pPr>
            <w:r>
              <w:rPr>
                <w:rFonts w:ascii="Arial" w:cs="Arial" w:eastAsia="Arial" w:hAnsi="Arial"/>
                <w:sz w:val="18"/>
                <w:szCs w:val="18"/>
                <w:b w:val="1"/>
                <w:bCs w:val="1"/>
                <w:color w:val="auto"/>
                <w:w w:val="87"/>
              </w:rPr>
              <w:t>Austin, Texas 78701</w:t>
            </w:r>
          </w:p>
        </w:tc>
      </w:tr>
      <w:tr>
        <w:trPr>
          <w:trHeight w:val="228"/>
        </w:trPr>
        <w:tc>
          <w:tcPr>
            <w:tcW w:w="1900" w:type="dxa"/>
            <w:vAlign w:val="bottom"/>
          </w:tcPr>
          <w:p>
            <w:pPr>
              <w:spacing w:after="0"/>
              <w:rPr>
                <w:sz w:val="19"/>
                <w:szCs w:val="19"/>
                <w:color w:val="auto"/>
              </w:rPr>
            </w:pPr>
          </w:p>
        </w:tc>
        <w:tc>
          <w:tcPr>
            <w:tcW w:w="2820" w:type="dxa"/>
            <w:vAlign w:val="bottom"/>
            <w:gridSpan w:val="2"/>
          </w:tcPr>
          <w:p>
            <w:pPr>
              <w:jc w:val="center"/>
              <w:ind w:left="754"/>
              <w:spacing w:after="0"/>
              <w:rPr>
                <w:sz w:val="20"/>
                <w:szCs w:val="20"/>
                <w:color w:val="auto"/>
              </w:rPr>
            </w:pPr>
            <w:r>
              <w:rPr>
                <w:rFonts w:ascii="Arial" w:cs="Arial" w:eastAsia="Arial" w:hAnsi="Arial"/>
                <w:sz w:val="18"/>
                <w:szCs w:val="18"/>
                <w:b w:val="1"/>
                <w:bCs w:val="1"/>
                <w:color w:val="auto"/>
                <w:w w:val="89"/>
              </w:rPr>
              <w:t>(512) 320-9200</w:t>
            </w:r>
          </w:p>
        </w:tc>
        <w:tc>
          <w:tcPr>
            <w:tcW w:w="2600" w:type="dxa"/>
            <w:vAlign w:val="bottom"/>
          </w:tcPr>
          <w:p>
            <w:pPr>
              <w:spacing w:after="0"/>
              <w:rPr>
                <w:sz w:val="19"/>
                <w:szCs w:val="19"/>
                <w:color w:val="auto"/>
              </w:rPr>
            </w:pPr>
          </w:p>
        </w:tc>
      </w:tr>
      <w:tr>
        <w:trPr>
          <w:trHeight w:val="259"/>
        </w:trPr>
        <w:tc>
          <w:tcPr>
            <w:tcW w:w="1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960" w:type="dxa"/>
            <w:vAlign w:val="bottom"/>
            <w:tcBorders>
              <w:bottom w:val="single" w:sz="8" w:color="auto"/>
            </w:tcBorders>
          </w:tcPr>
          <w:p>
            <w:pPr>
              <w:spacing w:after="0"/>
              <w:rPr>
                <w:sz w:val="22"/>
                <w:szCs w:val="22"/>
                <w:color w:val="auto"/>
              </w:rPr>
            </w:pPr>
          </w:p>
        </w:tc>
        <w:tc>
          <w:tcPr>
            <w:tcW w:w="2600" w:type="dxa"/>
            <w:vAlign w:val="bottom"/>
          </w:tcPr>
          <w:p>
            <w:pPr>
              <w:spacing w:after="0"/>
              <w:rPr>
                <w:sz w:val="22"/>
                <w:szCs w:val="22"/>
                <w:color w:val="auto"/>
              </w:rPr>
            </w:pPr>
          </w:p>
        </w:tc>
      </w:tr>
      <w:tr>
        <w:trPr>
          <w:trHeight w:val="464"/>
        </w:trPr>
        <w:tc>
          <w:tcPr>
            <w:tcW w:w="1900" w:type="dxa"/>
            <w:vAlign w:val="bottom"/>
          </w:tcPr>
          <w:p>
            <w:pPr>
              <w:spacing w:after="0"/>
              <w:rPr>
                <w:sz w:val="24"/>
                <w:szCs w:val="24"/>
                <w:color w:val="auto"/>
              </w:rPr>
            </w:pPr>
          </w:p>
        </w:tc>
        <w:tc>
          <w:tcPr>
            <w:tcW w:w="5420" w:type="dxa"/>
            <w:vAlign w:val="bottom"/>
            <w:gridSpan w:val="3"/>
          </w:tcPr>
          <w:p>
            <w:pPr>
              <w:jc w:val="center"/>
              <w:ind w:right="1692"/>
              <w:spacing w:after="0"/>
              <w:rPr>
                <w:sz w:val="20"/>
                <w:szCs w:val="20"/>
                <w:color w:val="auto"/>
              </w:rPr>
            </w:pPr>
            <w:r>
              <w:rPr>
                <w:rFonts w:ascii="Arial" w:cs="Arial" w:eastAsia="Arial" w:hAnsi="Arial"/>
                <w:sz w:val="18"/>
                <w:szCs w:val="18"/>
                <w:b w:val="1"/>
                <w:bCs w:val="1"/>
                <w:color w:val="auto"/>
                <w:w w:val="99"/>
              </w:rPr>
              <w:t>CALCULATION OF REGISTRATION FEE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2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Maximum Offering</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 Aggregate</w:t>
            </w:r>
          </w:p>
        </w:tc>
        <w:tc>
          <w:tcPr>
            <w:tcW w:w="1220" w:type="dxa"/>
            <w:vAlign w:val="bottom"/>
          </w:tcPr>
          <w:p>
            <w:pPr>
              <w:jc w:val="center"/>
              <w:ind w:left="200"/>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68"/>
        </w:trPr>
        <w:tc>
          <w:tcPr>
            <w:tcW w:w="20" w:type="dxa"/>
            <w:vAlign w:val="bottom"/>
          </w:tcPr>
          <w:p>
            <w:pPr>
              <w:spacing w:after="0"/>
              <w:rPr>
                <w:sz w:val="14"/>
                <w:szCs w:val="14"/>
                <w:color w:val="auto"/>
              </w:rPr>
            </w:pPr>
          </w:p>
        </w:tc>
        <w:tc>
          <w:tcPr>
            <w:tcW w:w="480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Title of Securities to be Registered</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Registered(1)</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 per Share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 Price</w:t>
            </w:r>
          </w:p>
        </w:tc>
        <w:tc>
          <w:tcPr>
            <w:tcW w:w="1220" w:type="dxa"/>
            <w:vAlign w:val="bottom"/>
            <w:tcBorders>
              <w:bottom w:val="single" w:sz="8" w:color="auto"/>
            </w:tcBorders>
          </w:tcPr>
          <w:p>
            <w:pPr>
              <w:jc w:val="center"/>
              <w:ind w:left="180"/>
              <w:spacing w:after="0"/>
              <w:rPr>
                <w:sz w:val="20"/>
                <w:szCs w:val="20"/>
                <w:color w:val="auto"/>
              </w:rPr>
            </w:pPr>
            <w:r>
              <w:rPr>
                <w:rFonts w:ascii="Arial" w:cs="Arial" w:eastAsia="Arial" w:hAnsi="Arial"/>
                <w:sz w:val="14"/>
                <w:szCs w:val="14"/>
                <w:b w:val="1"/>
                <w:bCs w:val="1"/>
                <w:color w:val="auto"/>
                <w:w w:val="87"/>
              </w:rPr>
              <w:t>Registration Fee</w:t>
            </w:r>
          </w:p>
        </w:tc>
      </w:tr>
      <w:tr>
        <w:trPr>
          <w:trHeight w:val="208"/>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2000 Stock Incentive Plan</w:t>
            </w:r>
          </w:p>
        </w:tc>
        <w:tc>
          <w:tcPr>
            <w:tcW w:w="1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$0.001 par value</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855,799 shares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$3.395(2)</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$2,905,438(2)</w:t>
            </w:r>
          </w:p>
        </w:tc>
        <w:tc>
          <w:tcPr>
            <w:tcW w:w="1220" w:type="dxa"/>
            <w:vAlign w:val="bottom"/>
            <w:tcBorders>
              <w:bottom w:val="single" w:sz="8" w:color="auto"/>
            </w:tcBorders>
          </w:tcPr>
          <w:p>
            <w:pPr>
              <w:jc w:val="center"/>
              <w:ind w:left="180"/>
              <w:spacing w:after="0"/>
              <w:rPr>
                <w:sz w:val="20"/>
                <w:szCs w:val="20"/>
                <w:color w:val="auto"/>
              </w:rPr>
            </w:pPr>
            <w:r>
              <w:rPr>
                <w:rFonts w:ascii="Arial" w:cs="Arial" w:eastAsia="Arial" w:hAnsi="Arial"/>
                <w:sz w:val="18"/>
                <w:szCs w:val="18"/>
                <w:color w:val="auto"/>
                <w:w w:val="86"/>
              </w:rPr>
              <w:t>$341.97</w:t>
            </w:r>
          </w:p>
        </w:tc>
      </w:tr>
      <w:tr>
        <w:trPr>
          <w:trHeight w:val="202"/>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w w:val="93"/>
              </w:rPr>
              <w:t>Employee Stock Purchase Plan (as amended effective February</w:t>
            </w:r>
          </w:p>
        </w:tc>
        <w:tc>
          <w:tcPr>
            <w:tcW w:w="18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1, 2005)</w:t>
            </w:r>
          </w:p>
        </w:tc>
        <w:tc>
          <w:tcPr>
            <w:tcW w:w="1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7"/>
        </w:trPr>
        <w:tc>
          <w:tcPr>
            <w:tcW w:w="4820" w:type="dxa"/>
            <w:vAlign w:val="bottom"/>
            <w:gridSpan w:val="2"/>
          </w:tcPr>
          <w:p>
            <w:pPr>
              <w:spacing w:after="0"/>
              <w:rPr>
                <w:sz w:val="20"/>
                <w:szCs w:val="20"/>
                <w:color w:val="auto"/>
              </w:rPr>
            </w:pPr>
            <w:r>
              <w:rPr>
                <w:rFonts w:ascii="Arial" w:cs="Arial" w:eastAsia="Arial" w:hAnsi="Arial"/>
                <w:sz w:val="18"/>
                <w:szCs w:val="18"/>
                <w:color w:val="auto"/>
              </w:rPr>
              <w:t>Common Stock, $0.001 par value</w:t>
            </w:r>
          </w:p>
        </w:tc>
        <w:tc>
          <w:tcPr>
            <w:tcW w:w="1880" w:type="dxa"/>
            <w:vAlign w:val="bottom"/>
          </w:tcPr>
          <w:p>
            <w:pPr>
              <w:jc w:val="center"/>
              <w:spacing w:after="0"/>
              <w:rPr>
                <w:sz w:val="20"/>
                <w:szCs w:val="20"/>
                <w:color w:val="auto"/>
              </w:rPr>
            </w:pPr>
            <w:r>
              <w:rPr>
                <w:rFonts w:ascii="Arial" w:cs="Arial" w:eastAsia="Arial" w:hAnsi="Arial"/>
                <w:sz w:val="18"/>
                <w:szCs w:val="18"/>
                <w:color w:val="auto"/>
                <w:w w:val="85"/>
              </w:rPr>
              <w:t>325,000 shares</w:t>
            </w:r>
          </w:p>
        </w:tc>
        <w:tc>
          <w:tcPr>
            <w:tcW w:w="1720" w:type="dxa"/>
            <w:vAlign w:val="bottom"/>
          </w:tcPr>
          <w:p>
            <w:pPr>
              <w:jc w:val="center"/>
              <w:spacing w:after="0"/>
              <w:rPr>
                <w:sz w:val="20"/>
                <w:szCs w:val="20"/>
                <w:color w:val="auto"/>
              </w:rPr>
            </w:pPr>
            <w:r>
              <w:rPr>
                <w:rFonts w:ascii="Arial" w:cs="Arial" w:eastAsia="Arial" w:hAnsi="Arial"/>
                <w:sz w:val="18"/>
                <w:szCs w:val="18"/>
                <w:color w:val="auto"/>
                <w:w w:val="88"/>
              </w:rPr>
              <w:t>$3.395(2)</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$1,103,375(2)</w:t>
            </w:r>
          </w:p>
        </w:tc>
        <w:tc>
          <w:tcPr>
            <w:tcW w:w="1220" w:type="dxa"/>
            <w:vAlign w:val="bottom"/>
          </w:tcPr>
          <w:p>
            <w:pPr>
              <w:jc w:val="center"/>
              <w:ind w:left="180"/>
              <w:spacing w:after="0"/>
              <w:rPr>
                <w:sz w:val="20"/>
                <w:szCs w:val="20"/>
                <w:color w:val="auto"/>
              </w:rPr>
            </w:pPr>
            <w:r>
              <w:rPr>
                <w:rFonts w:ascii="Arial" w:cs="Arial" w:eastAsia="Arial" w:hAnsi="Arial"/>
                <w:sz w:val="18"/>
                <w:szCs w:val="18"/>
                <w:color w:val="auto"/>
                <w:w w:val="86"/>
              </w:rPr>
              <w:t>$129.87</w:t>
            </w:r>
          </w:p>
        </w:tc>
      </w:tr>
      <w:tr>
        <w:trPr>
          <w:trHeight w:val="211"/>
        </w:trPr>
        <w:tc>
          <w:tcPr>
            <w:tcW w:w="20" w:type="dxa"/>
            <w:vAlign w:val="bottom"/>
          </w:tcPr>
          <w:p>
            <w:pPr>
              <w:spacing w:after="0"/>
              <w:rPr>
                <w:sz w:val="18"/>
                <w:szCs w:val="18"/>
                <w:color w:val="auto"/>
              </w:rPr>
            </w:pPr>
          </w:p>
        </w:tc>
        <w:tc>
          <w:tcPr>
            <w:tcW w:w="480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1,180,799 shares</w:t>
            </w:r>
          </w:p>
        </w:tc>
        <w:tc>
          <w:tcPr>
            <w:tcW w:w="172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Aggregate Registration Fee</w:t>
            </w:r>
          </w:p>
        </w:tc>
        <w:tc>
          <w:tcPr>
            <w:tcW w:w="1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20" w:type="dxa"/>
            <w:vAlign w:val="bottom"/>
          </w:tcPr>
          <w:p>
            <w:pPr>
              <w:jc w:val="center"/>
              <w:ind w:left="180"/>
              <w:spacing w:after="0"/>
              <w:rPr>
                <w:sz w:val="20"/>
                <w:szCs w:val="20"/>
                <w:color w:val="auto"/>
              </w:rPr>
            </w:pPr>
            <w:r>
              <w:rPr>
                <w:rFonts w:ascii="Arial" w:cs="Arial" w:eastAsia="Arial" w:hAnsi="Arial"/>
                <w:sz w:val="18"/>
                <w:szCs w:val="18"/>
                <w:b w:val="1"/>
                <w:bCs w:val="1"/>
                <w:color w:val="auto"/>
                <w:w w:val="86"/>
              </w:rPr>
              <w:t>$471.84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16" w:lineRule="exact"/>
        <w:rPr>
          <w:sz w:val="24"/>
          <w:szCs w:val="24"/>
          <w:color w:val="auto"/>
        </w:rPr>
      </w:pPr>
    </w:p>
    <w:p>
      <w:pPr>
        <w:ind w:left="460" w:right="180" w:hanging="452"/>
        <w:spacing w:after="0" w:line="252"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Registration Statement shall also cover any additional shares of Common Stock which become issuable under the 2000 Stock Incentive Plan and the Employee Stock Purchase Plan (as amended effective February 1, 2005) by reason of any stock dividend, stock split, recapitalization or other similar transaction effected without the Registrant’s receipt of consideration which results in an increase in the number of the outstanding shares of Registrant’s Common Stock.</w:t>
      </w:r>
    </w:p>
    <w:p>
      <w:pPr>
        <w:spacing w:after="0" w:line="1" w:lineRule="exact"/>
        <w:rPr>
          <w:rFonts w:ascii="Arial" w:cs="Arial" w:eastAsia="Arial" w:hAnsi="Arial"/>
          <w:sz w:val="18"/>
          <w:szCs w:val="18"/>
          <w:color w:val="auto"/>
        </w:rPr>
      </w:pPr>
    </w:p>
    <w:p>
      <w:pPr>
        <w:ind w:left="460" w:right="60" w:hanging="452"/>
        <w:spacing w:after="0" w:line="323"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Calculated solely for purposes of this offering under Rule 457(h) of the Securities Act of 1933, as amended, on the basis of the average of the high and low selling prices per share of Registrant’s Common Stock on March 23, 2005, as reported by The NASDAQ National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124460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right="200" w:firstLine="456"/>
        <w:spacing w:after="0" w:line="378" w:lineRule="auto"/>
        <w:rPr>
          <w:sz w:val="20"/>
          <w:szCs w:val="20"/>
          <w:color w:val="auto"/>
        </w:rPr>
      </w:pPr>
      <w:r>
        <w:rPr>
          <w:rFonts w:ascii="Arial" w:cs="Arial" w:eastAsia="Arial" w:hAnsi="Arial"/>
          <w:sz w:val="15"/>
          <w:szCs w:val="15"/>
          <w:b w:val="1"/>
          <w:bCs w:val="1"/>
          <w:color w:val="auto"/>
        </w:rPr>
        <w:t>Pursuant to General Instruction E to Form S-8, this Registration Statement on Form S-8 registers the offer and sale of an additional 1,180,799 shares of Common Stock of the Registrant for issuance under the 2000 Stock Incentive Plan and the 2000 Employee Stock Purchase Plan (as amended</w:t>
      </w:r>
    </w:p>
    <w:p>
      <w:pPr>
        <w:sectPr>
          <w:pgSz w:w="11900" w:h="16940" w:orient="portrait"/>
          <w:cols w:equalWidth="0" w:num="1">
            <w:col w:w="11420"/>
          </w:cols>
          <w:pgMar w:left="240" w:top="233" w:right="239" w:bottom="0" w:gutter="0" w:footer="0" w:header="0"/>
        </w:sectPr>
      </w:pPr>
    </w:p>
    <w:bookmarkStart w:id="1" w:name="page2"/>
    <w:bookmarkEnd w:id="1"/>
    <w:p>
      <w:pPr>
        <w:spacing w:after="0" w:line="275" w:lineRule="auto"/>
        <w:rPr>
          <w:sz w:val="20"/>
          <w:szCs w:val="20"/>
          <w:color w:val="auto"/>
        </w:rPr>
      </w:pPr>
      <w:r>
        <w:rPr>
          <w:rFonts w:ascii="Arial" w:cs="Arial" w:eastAsia="Arial" w:hAnsi="Arial"/>
          <w:sz w:val="18"/>
          <w:szCs w:val="18"/>
          <w:b w:val="1"/>
          <w:bCs w:val="1"/>
          <w:color w:val="auto"/>
        </w:rPr>
        <w:t>effective February 1, 2005) (together with the 2000 Stock Incentive Plan, the “Plans”). The contents of the prior Registration Statements relating to the Plans, File Nos. 333-43248, 333-56122, 333-104725 and 333-115039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Incorporation of Documents by Reference</w:t>
      </w:r>
      <w:r>
        <w:rPr>
          <w:rFonts w:ascii="Arial" w:cs="Arial" w:eastAsia="Arial" w:hAnsi="Arial"/>
          <w:sz w:val="18"/>
          <w:szCs w:val="18"/>
          <w:color w:val="auto"/>
        </w:rPr>
        <w:t>.</w:t>
      </w:r>
    </w:p>
    <w:p>
      <w:pPr>
        <w:spacing w:after="0" w:line="77"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Active Power, Inc. (the “Registrant”) hereby incorporates by reference into this Registration Statement the following documents previously filed with the Securities and Exchange Commission (the “Commission”):</w:t>
      </w:r>
    </w:p>
    <w:p>
      <w:pPr>
        <w:spacing w:after="0" w:line="3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Annual Report on Form 10-K for the fiscal year ended December 31, 2004 filed with the Commission on March 15, 2005;</w:t>
      </w:r>
    </w:p>
    <w:p>
      <w:pPr>
        <w:spacing w:after="0" w:line="99" w:lineRule="exact"/>
        <w:rPr>
          <w:rFonts w:ascii="Arial" w:cs="Arial" w:eastAsia="Arial" w:hAnsi="Arial"/>
          <w:sz w:val="16"/>
          <w:szCs w:val="16"/>
          <w:color w:val="auto"/>
        </w:rPr>
      </w:pPr>
    </w:p>
    <w:p>
      <w:pPr>
        <w:ind w:left="900" w:right="22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Amendment No. 1 to Annual Report on Form 10-K/A for the fiscal year ended December 31, 2001 filed with the Commission on March 23, 2005;</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Securities Exchange Act of 1934, as amended (the “1934 Act”) since the end of the fiscal year covered by the Registrant’s Annual Report referred to in (a) above;</w:t>
      </w:r>
    </w:p>
    <w:p>
      <w:pPr>
        <w:spacing w:after="0" w:line="37"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June 30, 2000, in which are described the terms, rights and provisions applicable to the Registrant’s Common Stock; and</w:t>
      </w:r>
    </w:p>
    <w:p>
      <w:pPr>
        <w:spacing w:after="0" w:line="37"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Registration Statement No. 000-30939 on Form 8-A12G filed with the Commission on December 14, 2001, in which are described the terms, rights and provisions applicable to the Registrant’s Preferred Share Purchase Rights.</w:t>
      </w:r>
    </w:p>
    <w:p>
      <w:pPr>
        <w:spacing w:after="0" w:line="11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All reports and definitive proxy or information statements filed pursuant to Section 13(a), 13(c), 14 or 15(d) of the 1934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Description of Securities</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5. </w:t>
      </w:r>
      <w:r>
        <w:rPr>
          <w:rFonts w:ascii="Arial" w:cs="Arial" w:eastAsia="Arial" w:hAnsi="Arial"/>
          <w:sz w:val="18"/>
          <w:szCs w:val="18"/>
          <w:u w:val="single" w:color="auto"/>
          <w:color w:val="auto"/>
        </w:rPr>
        <w:t>Interests of Named Experts and Counsel</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77"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Section 145 of the Delaware General Corporation Law (the “DGCL”) provides, in effect, that any person made a party to any action by reason of the fact that he is or was a director, officer, employee or agent of the Registrant may and, in some cases, must be indemnified by the Registrant against, in the case of a non-derivative action, judgments, fines, amounts paid in settlement and reasonable expenses (including attorneys’ fees) incurred by him as a result of such action, and in the case of a derivative action, against expenses (including attorneys’ fees), if in either type of action he acted in good faith and in a manner he reasonably believed to be in or not opposed to the best interests of the Registrant. This indemnification does not apply, in a derivative action, to matters as to which it is adjudged that the director, officer, employee or agent is liable to the Registrant, unless upon court order it is determined that, despite such adjudication of liability, but in view of all the circumstances of the case, he is fairly and reasonably entitled to indemnity for expenses, and, in a non-derivative action, to any criminal proceeding in which such person had no reasonable cause to believe his conduct was unlawful.</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274" w:right="259" w:bottom="1440" w:gutter="0" w:footer="0" w:header="0"/>
        </w:sectPr>
      </w:pPr>
    </w:p>
    <w:bookmarkStart w:id="3" w:name="page4"/>
    <w:bookmarkEnd w:id="3"/>
    <w:p>
      <w:pPr>
        <w:ind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Registrant’s certificate of incorporation provides that no director shall be liable to the Registrant or its stockholders for monetary damages for breach of fiduciary duty as a director to the fullest extent permitted by the DGCL. The Registrant’s bylaws require it to indemnify its directors and executive officers to the fullest extent permitted by Delaware law. The Registrant has entered into indemnification agreements with all of its directors and executive officers and has purchased directors’ and officers’ liability insurance.</w:t>
      </w:r>
    </w:p>
    <w:p>
      <w:pPr>
        <w:spacing w:after="0" w:line="130"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Reference is made to the underwriting agreement filed as Exhibit 1.1 to Registrant’s Registration Statement No. 333-36946, pursuant to which the underwriters have agreed to indemnify the Registrant’s officers and directors against certain liabilities under the Securities Act.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7. </w:t>
      </w:r>
      <w:r>
        <w:rPr>
          <w:rFonts w:ascii="Arial" w:cs="Arial" w:eastAsia="Arial" w:hAnsi="Arial"/>
          <w:sz w:val="18"/>
          <w:szCs w:val="18"/>
          <w:u w:val="single" w:color="auto"/>
          <w:color w:val="auto"/>
        </w:rPr>
        <w:t>Exemption from Registration Claimed</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8. </w:t>
      </w:r>
      <w:r>
        <w:rPr>
          <w:rFonts w:ascii="Arial" w:cs="Arial" w:eastAsia="Arial" w:hAnsi="Arial"/>
          <w:sz w:val="18"/>
          <w:szCs w:val="18"/>
          <w:u w:val="single" w:color="auto"/>
          <w:color w:val="auto"/>
        </w:rPr>
        <w:t>Exhibits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Exhibit</w:t>
      </w:r>
    </w:p>
    <w:p>
      <w:pPr>
        <w:spacing w:after="0"/>
        <w:tabs>
          <w:tab w:leader="none" w:pos="900" w:val="left"/>
        </w:tabs>
        <w:rPr>
          <w:sz w:val="20"/>
          <w:szCs w:val="20"/>
          <w:color w:val="auto"/>
        </w:rPr>
      </w:pPr>
      <w:r>
        <w:rPr>
          <w:rFonts w:ascii="Arial" w:cs="Arial" w:eastAsia="Arial" w:hAnsi="Arial"/>
          <w:sz w:val="14"/>
          <w:szCs w:val="14"/>
          <w:b w:val="1"/>
          <w:bCs w:val="1"/>
          <w:i w:val="1"/>
          <w:iCs w:val="1"/>
          <w:color w:val="auto"/>
        </w:rPr>
        <w:t>Number</w:t>
      </w:r>
      <w:r>
        <w:rPr>
          <w:sz w:val="20"/>
          <w:szCs w:val="20"/>
          <w:color w:val="auto"/>
        </w:rPr>
        <w:tab/>
      </w:r>
      <w:r>
        <w:rPr>
          <w:rFonts w:ascii="Arial" w:cs="Arial" w:eastAsia="Arial" w:hAnsi="Arial"/>
          <w:sz w:val="14"/>
          <w:szCs w:val="14"/>
          <w:b w:val="1"/>
          <w:bCs w:val="1"/>
          <w:i w:val="1"/>
          <w:i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9436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88" w:lineRule="exact"/>
        <w:rPr>
          <w:sz w:val="20"/>
          <w:szCs w:val="20"/>
          <w:color w:val="auto"/>
        </w:rPr>
      </w:pPr>
    </w:p>
    <w:p>
      <w:pPr>
        <w:ind w:left="920" w:right="120" w:hanging="659"/>
        <w:spacing w:after="0" w:line="259" w:lineRule="auto"/>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Instruments Defining Rights of Stockholders. Reference is made to Registrant’s Registration Statement No. 000-30939 on Form 8-A12G filed with the Commission on June 30, 2000 and Registration Statement No. 000-30939 on Form 8-A12G filed with the Commission on December 14, 2001 which are incorporated herein by reference pursuant to Items 3(c) and (d).</w:t>
      </w:r>
    </w:p>
    <w:p>
      <w:pPr>
        <w:spacing w:after="0" w:line="86" w:lineRule="exact"/>
        <w:rPr>
          <w:sz w:val="20"/>
          <w:szCs w:val="20"/>
          <w:color w:val="auto"/>
        </w:rPr>
      </w:pPr>
    </w:p>
    <w:p>
      <w:pPr>
        <w:ind w:left="920" w:hanging="659"/>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Opinion and Consent of Andrews Kurth LLP</w:t>
      </w:r>
    </w:p>
    <w:p>
      <w:pPr>
        <w:spacing w:after="0" w:line="117"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Independent Auditors.</w:t>
      </w:r>
    </w:p>
    <w:p>
      <w:pPr>
        <w:spacing w:after="0" w:line="117" w:lineRule="exact"/>
        <w:rPr>
          <w:sz w:val="20"/>
          <w:szCs w:val="20"/>
          <w:color w:val="auto"/>
        </w:rPr>
      </w:pPr>
    </w:p>
    <w:p>
      <w:pPr>
        <w:ind w:left="160"/>
        <w:spacing w:after="0"/>
        <w:tabs>
          <w:tab w:leader="none" w:pos="9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Andrews Kurth LLP is contained in Exhibit 5.</w:t>
      </w:r>
    </w:p>
    <w:p>
      <w:pPr>
        <w:spacing w:after="0" w:line="117" w:lineRule="exact"/>
        <w:rPr>
          <w:sz w:val="20"/>
          <w:szCs w:val="20"/>
          <w:color w:val="auto"/>
        </w:rPr>
      </w:pPr>
    </w:p>
    <w:p>
      <w:pPr>
        <w:ind w:left="920" w:hanging="703"/>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Power of Attorney. Reference is made to the Signature Page of this Registration Statement.</w:t>
      </w:r>
    </w:p>
    <w:p>
      <w:pPr>
        <w:spacing w:after="0" w:line="11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6"/>
          <w:szCs w:val="16"/>
          <w:color w:val="auto"/>
        </w:rPr>
        <w:t>Active Power, Inc. 2000 Stock Incentive Plan.</w:t>
      </w:r>
    </w:p>
    <w:p>
      <w:pPr>
        <w:spacing w:after="0" w:line="11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99.2*</w:t>
      </w:r>
      <w:r>
        <w:rPr>
          <w:rFonts w:ascii="Arial" w:cs="Arial" w:eastAsia="Arial" w:hAnsi="Arial"/>
          <w:sz w:val="15"/>
          <w:szCs w:val="15"/>
          <w:color w:val="auto"/>
        </w:rPr>
        <w:t>Active Power, Inc. Employee Stock Purchase Plan (as amended effective February 1, 2005).</w:t>
      </w:r>
    </w:p>
    <w:p>
      <w:pPr>
        <w:spacing w:after="0" w:line="238" w:lineRule="exact"/>
        <w:rPr>
          <w:rFonts w:ascii="Arial" w:cs="Arial" w:eastAsia="Arial" w:hAnsi="Arial"/>
          <w:sz w:val="18"/>
          <w:szCs w:val="18"/>
          <w:color w:val="auto"/>
        </w:rPr>
      </w:pPr>
    </w:p>
    <w:p>
      <w:pPr>
        <w:ind w:left="460" w:right="160" w:hanging="446"/>
        <w:spacing w:after="0" w:line="254" w:lineRule="auto"/>
        <w:rPr>
          <w:rFonts w:ascii="Arial" w:cs="Arial" w:eastAsia="Arial" w:hAnsi="Arial"/>
          <w:sz w:val="18"/>
          <w:szCs w:val="18"/>
          <w:color w:val="auto"/>
        </w:rPr>
      </w:pPr>
      <w:r>
        <w:rPr>
          <w:rFonts w:ascii="Arial" w:cs="Arial" w:eastAsia="Arial" w:hAnsi="Arial"/>
          <w:sz w:val="18"/>
          <w:szCs w:val="18"/>
          <w:color w:val="auto"/>
        </w:rPr>
        <w:t>*Exhibit 99.1 is incorporated herein by reference to Exhibit 99.1 to Registrant’s Registration Statement No. 333-43248 on Form S-8 filed with the SEC on August 8, 2000.</w:t>
      </w:r>
    </w:p>
    <w:p>
      <w:pPr>
        <w:ind w:left="460" w:right="18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Exhibit 99.2 is incorporated herein by reference to Exhibit 10.3 to Registrant’s Annual Report on Form 10-K for the year ended December 31, 2004 filed with the SEC on March 15,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-635635</wp:posOffset>
            </wp:positionV>
            <wp:extent cx="6000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9. </w:t>
      </w:r>
      <w:r>
        <w:rPr>
          <w:rFonts w:ascii="Arial" w:cs="Arial" w:eastAsia="Arial" w:hAnsi="Arial"/>
          <w:sz w:val="18"/>
          <w:szCs w:val="18"/>
          <w:u w:val="single" w:color="auto"/>
          <w:color w:val="auto"/>
        </w:rPr>
        <w:t>Undertakings</w:t>
      </w:r>
      <w:r>
        <w:rPr>
          <w:rFonts w:ascii="Arial" w:cs="Arial" w:eastAsia="Arial" w:hAnsi="Arial"/>
          <w:sz w:val="18"/>
          <w:szCs w:val="18"/>
          <w:color w:val="auto"/>
        </w:rPr>
        <w:t>.</w:t>
      </w:r>
    </w:p>
    <w:p>
      <w:pPr>
        <w:spacing w:after="0" w:line="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 The undersigned Registrant hereby undertakes: (1) to file, during any period in which offers or sales are being made, a post-effective amendment to this Registration Statement (i) to include any prospectus required by Section 10(a)(3) of the Securities Act of 1933 Act, as amended (the “1933 Act”), (ii)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 (iii) to include any material information with respect to the plan of distribution not previously disclosed in this Registration Statement or any material change to such information in this Registration Statement; provided, however, that clauses (1)(i) and (1)(ii) shall not apply if the information required to be included in a post-effective amendment by those clauses is contained in periodic reports filed with or furnished to the Commission by the Registrant pursuant to Section 13 or Section 15(d) of the 1934 Act that are incorporated by reference into this Registration Statement; (2) that for the purpose of determining any liability under the 1933 Act each such post-effective amendment shall be deemed to be a new registration statement relating to the securities offered therein and the offering of such securities at that time shall be deemed to be the initial bona fide offering thereof; and (3) to remove from registration by means of a post-effective amendment any of the securities being registered which remain unsold at the termination of the Registrant’s 2000 Stock Incentive Plan and Employee Stock Purchase Plan (as amended effective February 1, 2005).</w:t>
      </w:r>
    </w:p>
    <w:p>
      <w:pPr>
        <w:spacing w:after="0" w:line="11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 The undersigned Registrant hereby undertakes that, for purposes of determining any liability under the 1933 Act, each filing of the Registrant’s annual report pursuant to Section 13(a) or Section 15(d) of the 1934 Act that is incorporated by reference into this Registration Statement shall be deemed to be a new registration statement relating to the securities offered therein, and the offering of such securities at that time shall be deemed to be the initial bona fide offering thereof.</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280" w:right="279" w:bottom="1440" w:gutter="0" w:footer="0" w:header="0"/>
        </w:sectPr>
      </w:pPr>
    </w:p>
    <w:bookmarkStart w:id="4" w:name="page5"/>
    <w:bookmarkEnd w:id="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Insofar as indemnification for liabilities arising under the 1933 Act may be permitted to directors, officers, or controlling persons of the Registrant pursuant to the indemnification provisions summarized in Item 6 or otherwise, the Registrant has been advised that, in the opinion of the Commission, such indemnification is against public policy as expressed in the 1933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1933 Act and will be governed by the final adjudication of such issue.</w:t>
      </w: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40"/>
          </w:cols>
          <w:pgMar w:left="240" w:top="280" w:right="31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Austin, state of Texas on this 25th day of March, 2005.</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80010</wp:posOffset>
            </wp:positionV>
            <wp:extent cx="26930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1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Chairman of the Board, President and Chief</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Executive Officer</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KNOW ALL PERSONS BY THESE PRESENTS, that each person whose signature appears below hereby severally constitutes and appoints, Joseph F. Pinkerton, III and John Penver, and each or any of them, his true and lawful attorney-in-fact and agent, each with the power of substitution and resubstitution, for him in any and all capacities, to sign any and all amendments to this registration statement and to file the same, with exhibits thereto and other documents in connection therewith, with the Securities and Exchange Commission, hereby ratifying and confirming all that each said attorney-in-fact and agent, or his substitute or substitutes, may lawfully do or cause to be done by virtue hereof.</w:t>
      </w:r>
    </w:p>
    <w:p>
      <w:pPr>
        <w:spacing w:after="0" w:line="129"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report has been signed below by the following persons on behalf of the registrant in the capacities set forth below on March 25, 2005.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w w:val="95"/>
              </w:rPr>
              <w:t>Signature</w:t>
            </w:r>
          </w:p>
        </w:tc>
        <w:tc>
          <w:tcPr>
            <w:tcW w:w="25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380" w:type="dxa"/>
            <w:vAlign w:val="bottom"/>
            <w:gridSpan w:val="2"/>
          </w:tcPr>
          <w:p>
            <w:pPr>
              <w:jc w:val="center"/>
              <w:ind w:right="2000"/>
              <w:spacing w:after="0"/>
              <w:rPr>
                <w:sz w:val="20"/>
                <w:szCs w:val="20"/>
                <w:color w:val="auto"/>
              </w:rPr>
            </w:pPr>
            <w:r>
              <w:rPr>
                <w:rFonts w:ascii="Arial" w:cs="Arial" w:eastAsia="Arial" w:hAnsi="Arial"/>
                <w:sz w:val="14"/>
                <w:szCs w:val="14"/>
                <w:b w:val="1"/>
                <w:bCs w:val="1"/>
                <w:color w:val="auto"/>
                <w:w w:val="90"/>
              </w:rPr>
              <w:t>Title</w:t>
            </w: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27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220" w:type="dxa"/>
            <w:vAlign w:val="bottom"/>
            <w:gridSpan w:val="2"/>
          </w:tcPr>
          <w:p>
            <w:pPr>
              <w:spacing w:after="0"/>
              <w:rPr>
                <w:sz w:val="20"/>
                <w:szCs w:val="20"/>
                <w:color w:val="auto"/>
              </w:rPr>
            </w:pPr>
            <w:r>
              <w:rPr>
                <w:rFonts w:ascii="Arial" w:cs="Arial" w:eastAsia="Arial" w:hAnsi="Arial"/>
                <w:sz w:val="18"/>
                <w:szCs w:val="18"/>
                <w:color w:val="auto"/>
              </w:rPr>
              <w:t>/s/ Joseph F. Pinkerton, III</w:t>
            </w:r>
          </w:p>
        </w:tc>
        <w:tc>
          <w:tcPr>
            <w:tcW w:w="2500" w:type="dxa"/>
            <w:vAlign w:val="bottom"/>
          </w:tcPr>
          <w:p>
            <w:pPr>
              <w:spacing w:after="0"/>
              <w:rPr>
                <w:sz w:val="24"/>
                <w:szCs w:val="24"/>
                <w:color w:val="auto"/>
              </w:rPr>
            </w:pPr>
          </w:p>
        </w:tc>
        <w:tc>
          <w:tcPr>
            <w:tcW w:w="5100" w:type="dxa"/>
            <w:vAlign w:val="bottom"/>
            <w:gridSpan w:val="3"/>
          </w:tcPr>
          <w:p>
            <w:pPr>
              <w:jc w:val="center"/>
              <w:ind w:left="632"/>
              <w:spacing w:after="0"/>
              <w:rPr>
                <w:sz w:val="20"/>
                <w:szCs w:val="20"/>
                <w:color w:val="auto"/>
              </w:rPr>
            </w:pPr>
            <w:r>
              <w:rPr>
                <w:rFonts w:ascii="Arial" w:cs="Arial" w:eastAsia="Arial" w:hAnsi="Arial"/>
                <w:sz w:val="18"/>
                <w:szCs w:val="18"/>
                <w:color w:val="auto"/>
                <w:w w:val="89"/>
              </w:rPr>
              <w:t>Chairman of the Board, President and Chief Executive Officer</w:t>
            </w:r>
          </w:p>
        </w:tc>
        <w:tc>
          <w:tcPr>
            <w:tcW w:w="0" w:type="dxa"/>
            <w:vAlign w:val="bottom"/>
          </w:tcPr>
          <w:p>
            <w:pPr>
              <w:spacing w:after="0"/>
              <w:rPr>
                <w:sz w:val="1"/>
                <w:szCs w:val="1"/>
                <w:color w:val="auto"/>
              </w:rPr>
            </w:pPr>
          </w:p>
        </w:tc>
      </w:tr>
      <w:tr>
        <w:trPr>
          <w:trHeight w:val="116"/>
        </w:trPr>
        <w:tc>
          <w:tcPr>
            <w:tcW w:w="25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5100" w:type="dxa"/>
            <w:vAlign w:val="bottom"/>
            <w:gridSpan w:val="3"/>
            <w:vMerge w:val="restart"/>
          </w:tcPr>
          <w:p>
            <w:pPr>
              <w:jc w:val="center"/>
              <w:ind w:left="612"/>
              <w:spacing w:after="0"/>
              <w:rPr>
                <w:sz w:val="20"/>
                <w:szCs w:val="20"/>
                <w:color w:val="auto"/>
              </w:rPr>
            </w:pPr>
            <w:r>
              <w:rPr>
                <w:rFonts w:ascii="Arial" w:cs="Arial" w:eastAsia="Arial" w:hAnsi="Arial"/>
                <w:sz w:val="18"/>
                <w:szCs w:val="18"/>
                <w:color w:val="auto"/>
                <w:w w:val="91"/>
              </w:rPr>
              <w:t>(principal executive officer)</w:t>
            </w:r>
          </w:p>
        </w:tc>
        <w:tc>
          <w:tcPr>
            <w:tcW w:w="0" w:type="dxa"/>
            <w:vAlign w:val="bottom"/>
          </w:tcPr>
          <w:p>
            <w:pPr>
              <w:spacing w:after="0"/>
              <w:rPr>
                <w:sz w:val="1"/>
                <w:szCs w:val="1"/>
                <w:color w:val="auto"/>
              </w:rPr>
            </w:pPr>
          </w:p>
        </w:tc>
      </w:tr>
      <w:tr>
        <w:trPr>
          <w:trHeight w:val="86"/>
        </w:trPr>
        <w:tc>
          <w:tcPr>
            <w:tcW w:w="3220" w:type="dxa"/>
            <w:vAlign w:val="bottom"/>
            <w:gridSpan w:val="2"/>
            <w:vMerge w:val="restart"/>
          </w:tcPr>
          <w:p>
            <w:pPr>
              <w:ind w:left="360"/>
              <w:spacing w:after="0"/>
              <w:rPr>
                <w:sz w:val="20"/>
                <w:szCs w:val="20"/>
                <w:color w:val="auto"/>
              </w:rPr>
            </w:pPr>
            <w:r>
              <w:rPr>
                <w:rFonts w:ascii="Arial" w:cs="Arial" w:eastAsia="Arial" w:hAnsi="Arial"/>
                <w:sz w:val="18"/>
                <w:szCs w:val="18"/>
                <w:color w:val="auto"/>
              </w:rPr>
              <w:t>Joseph F. Pinkerton, III</w:t>
            </w:r>
          </w:p>
        </w:tc>
        <w:tc>
          <w:tcPr>
            <w:tcW w:w="2500" w:type="dxa"/>
            <w:vAlign w:val="bottom"/>
          </w:tcPr>
          <w:p>
            <w:pPr>
              <w:spacing w:after="0"/>
              <w:rPr>
                <w:sz w:val="7"/>
                <w:szCs w:val="7"/>
                <w:color w:val="auto"/>
              </w:rPr>
            </w:pPr>
          </w:p>
        </w:tc>
        <w:tc>
          <w:tcPr>
            <w:tcW w:w="51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220" w:type="dxa"/>
            <w:vAlign w:val="bottom"/>
            <w:gridSpan w:val="2"/>
            <w:vMerge w:val="continue"/>
          </w:tcPr>
          <w:p>
            <w:pPr>
              <w:spacing w:after="0"/>
              <w:rPr>
                <w:sz w:val="19"/>
                <w:szCs w:val="19"/>
                <w:color w:val="auto"/>
              </w:rPr>
            </w:pPr>
          </w:p>
        </w:tc>
        <w:tc>
          <w:tcPr>
            <w:tcW w:w="25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3220" w:type="dxa"/>
            <w:vAlign w:val="bottom"/>
            <w:gridSpan w:val="2"/>
          </w:tcPr>
          <w:p>
            <w:pPr>
              <w:spacing w:after="0"/>
              <w:rPr>
                <w:sz w:val="20"/>
                <w:szCs w:val="20"/>
                <w:color w:val="auto"/>
              </w:rPr>
            </w:pPr>
            <w:r>
              <w:rPr>
                <w:rFonts w:ascii="Arial" w:cs="Arial" w:eastAsia="Arial" w:hAnsi="Arial"/>
                <w:sz w:val="18"/>
                <w:szCs w:val="18"/>
                <w:color w:val="auto"/>
              </w:rPr>
              <w:t>/s/ John Penver</w:t>
            </w:r>
          </w:p>
        </w:tc>
        <w:tc>
          <w:tcPr>
            <w:tcW w:w="2500" w:type="dxa"/>
            <w:vAlign w:val="bottom"/>
          </w:tcPr>
          <w:p>
            <w:pPr>
              <w:spacing w:after="0"/>
              <w:rPr>
                <w:sz w:val="24"/>
                <w:szCs w:val="24"/>
                <w:color w:val="auto"/>
              </w:rPr>
            </w:pPr>
          </w:p>
        </w:tc>
        <w:tc>
          <w:tcPr>
            <w:tcW w:w="5100" w:type="dxa"/>
            <w:vAlign w:val="bottom"/>
            <w:gridSpan w:val="3"/>
          </w:tcPr>
          <w:p>
            <w:pPr>
              <w:jc w:val="center"/>
              <w:ind w:left="612"/>
              <w:spacing w:after="0"/>
              <w:rPr>
                <w:sz w:val="20"/>
                <w:szCs w:val="20"/>
                <w:color w:val="auto"/>
              </w:rPr>
            </w:pPr>
            <w:r>
              <w:rPr>
                <w:rFonts w:ascii="Arial" w:cs="Arial" w:eastAsia="Arial" w:hAnsi="Arial"/>
                <w:sz w:val="18"/>
                <w:szCs w:val="18"/>
                <w:color w:val="auto"/>
                <w:w w:val="90"/>
              </w:rPr>
              <w:t>Vice President and Chief Financial Officer</w:t>
            </w:r>
          </w:p>
        </w:tc>
        <w:tc>
          <w:tcPr>
            <w:tcW w:w="0" w:type="dxa"/>
            <w:vAlign w:val="bottom"/>
          </w:tcPr>
          <w:p>
            <w:pPr>
              <w:spacing w:after="0"/>
              <w:rPr>
                <w:sz w:val="1"/>
                <w:szCs w:val="1"/>
                <w:color w:val="auto"/>
              </w:rPr>
            </w:pPr>
          </w:p>
        </w:tc>
      </w:tr>
      <w:tr>
        <w:trPr>
          <w:trHeight w:val="116"/>
        </w:trPr>
        <w:tc>
          <w:tcPr>
            <w:tcW w:w="25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5100" w:type="dxa"/>
            <w:vAlign w:val="bottom"/>
            <w:gridSpan w:val="3"/>
            <w:vMerge w:val="restart"/>
          </w:tcPr>
          <w:p>
            <w:pPr>
              <w:jc w:val="center"/>
              <w:ind w:left="632"/>
              <w:spacing w:after="0"/>
              <w:rPr>
                <w:sz w:val="20"/>
                <w:szCs w:val="20"/>
                <w:color w:val="auto"/>
              </w:rPr>
            </w:pPr>
            <w:r>
              <w:rPr>
                <w:rFonts w:ascii="Arial" w:cs="Arial" w:eastAsia="Arial" w:hAnsi="Arial"/>
                <w:sz w:val="18"/>
                <w:szCs w:val="18"/>
                <w:color w:val="auto"/>
                <w:w w:val="91"/>
              </w:rPr>
              <w:t>(principal financial and accounting officer)</w:t>
            </w:r>
          </w:p>
        </w:tc>
        <w:tc>
          <w:tcPr>
            <w:tcW w:w="0" w:type="dxa"/>
            <w:vAlign w:val="bottom"/>
          </w:tcPr>
          <w:p>
            <w:pPr>
              <w:spacing w:after="0"/>
              <w:rPr>
                <w:sz w:val="1"/>
                <w:szCs w:val="1"/>
                <w:color w:val="auto"/>
              </w:rPr>
            </w:pPr>
          </w:p>
        </w:tc>
      </w:tr>
      <w:tr>
        <w:trPr>
          <w:trHeight w:val="86"/>
        </w:trPr>
        <w:tc>
          <w:tcPr>
            <w:tcW w:w="3220" w:type="dxa"/>
            <w:vAlign w:val="bottom"/>
            <w:gridSpan w:val="2"/>
            <w:vMerge w:val="restart"/>
          </w:tcPr>
          <w:p>
            <w:pPr>
              <w:ind w:left="360"/>
              <w:spacing w:after="0"/>
              <w:rPr>
                <w:sz w:val="20"/>
                <w:szCs w:val="20"/>
                <w:color w:val="auto"/>
              </w:rPr>
            </w:pPr>
            <w:r>
              <w:rPr>
                <w:rFonts w:ascii="Arial" w:cs="Arial" w:eastAsia="Arial" w:hAnsi="Arial"/>
                <w:sz w:val="18"/>
                <w:szCs w:val="18"/>
                <w:color w:val="auto"/>
              </w:rPr>
              <w:t>John Penver</w:t>
            </w:r>
          </w:p>
        </w:tc>
        <w:tc>
          <w:tcPr>
            <w:tcW w:w="2500" w:type="dxa"/>
            <w:vAlign w:val="bottom"/>
          </w:tcPr>
          <w:p>
            <w:pPr>
              <w:spacing w:after="0"/>
              <w:rPr>
                <w:sz w:val="7"/>
                <w:szCs w:val="7"/>
                <w:color w:val="auto"/>
              </w:rPr>
            </w:pPr>
          </w:p>
        </w:tc>
        <w:tc>
          <w:tcPr>
            <w:tcW w:w="51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220" w:type="dxa"/>
            <w:vAlign w:val="bottom"/>
            <w:gridSpan w:val="2"/>
            <w:vMerge w:val="continue"/>
          </w:tcPr>
          <w:p>
            <w:pPr>
              <w:spacing w:after="0"/>
              <w:rPr>
                <w:sz w:val="19"/>
                <w:szCs w:val="19"/>
                <w:color w:val="auto"/>
              </w:rPr>
            </w:pPr>
          </w:p>
        </w:tc>
        <w:tc>
          <w:tcPr>
            <w:tcW w:w="25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3220" w:type="dxa"/>
            <w:vAlign w:val="bottom"/>
            <w:gridSpan w:val="2"/>
          </w:tcPr>
          <w:p>
            <w:pPr>
              <w:spacing w:after="0"/>
              <w:rPr>
                <w:sz w:val="20"/>
                <w:szCs w:val="20"/>
                <w:color w:val="auto"/>
              </w:rPr>
            </w:pPr>
            <w:r>
              <w:rPr>
                <w:rFonts w:ascii="Arial" w:cs="Arial" w:eastAsia="Arial" w:hAnsi="Arial"/>
                <w:sz w:val="18"/>
                <w:szCs w:val="18"/>
                <w:color w:val="auto"/>
              </w:rPr>
              <w:t>/s/ Ake Almgren</w:t>
            </w:r>
          </w:p>
        </w:tc>
        <w:tc>
          <w:tcPr>
            <w:tcW w:w="2500" w:type="dxa"/>
            <w:vAlign w:val="bottom"/>
          </w:tcPr>
          <w:p>
            <w:pPr>
              <w:spacing w:after="0"/>
              <w:rPr>
                <w:sz w:val="24"/>
                <w:szCs w:val="24"/>
                <w:color w:val="auto"/>
              </w:rPr>
            </w:pPr>
          </w:p>
        </w:tc>
        <w:tc>
          <w:tcPr>
            <w:tcW w:w="5100" w:type="dxa"/>
            <w:vAlign w:val="bottom"/>
            <w:gridSpan w:val="3"/>
          </w:tcPr>
          <w:p>
            <w:pPr>
              <w:jc w:val="center"/>
              <w:ind w:left="6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3220" w:type="dxa"/>
            <w:vAlign w:val="bottom"/>
            <w:tcBorders>
              <w:bottom w:val="single" w:sz="8" w:color="auto"/>
            </w:tcBorders>
            <w:gridSpan w:val="2"/>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2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20" w:type="dxa"/>
            <w:vAlign w:val="bottom"/>
            <w:gridSpan w:val="2"/>
          </w:tcPr>
          <w:p>
            <w:pPr>
              <w:ind w:left="340"/>
              <w:spacing w:after="0"/>
              <w:rPr>
                <w:sz w:val="20"/>
                <w:szCs w:val="20"/>
                <w:color w:val="auto"/>
              </w:rPr>
            </w:pPr>
            <w:r>
              <w:rPr>
                <w:rFonts w:ascii="Arial" w:cs="Arial" w:eastAsia="Arial" w:hAnsi="Arial"/>
                <w:sz w:val="18"/>
                <w:szCs w:val="18"/>
                <w:color w:val="auto"/>
              </w:rPr>
              <w:t>Ake Almgren</w:t>
            </w: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220" w:type="dxa"/>
            <w:vAlign w:val="bottom"/>
            <w:gridSpan w:val="2"/>
          </w:tcPr>
          <w:p>
            <w:pPr>
              <w:spacing w:after="0"/>
              <w:rPr>
                <w:sz w:val="20"/>
                <w:szCs w:val="20"/>
                <w:color w:val="auto"/>
              </w:rPr>
            </w:pPr>
            <w:r>
              <w:rPr>
                <w:rFonts w:ascii="Arial" w:cs="Arial" w:eastAsia="Arial" w:hAnsi="Arial"/>
                <w:sz w:val="18"/>
                <w:szCs w:val="18"/>
                <w:color w:val="auto"/>
              </w:rPr>
              <w:t>/s/ Richard E. Anderson</w:t>
            </w:r>
          </w:p>
        </w:tc>
        <w:tc>
          <w:tcPr>
            <w:tcW w:w="2500" w:type="dxa"/>
            <w:vAlign w:val="bottom"/>
          </w:tcPr>
          <w:p>
            <w:pPr>
              <w:spacing w:after="0"/>
              <w:rPr>
                <w:sz w:val="24"/>
                <w:szCs w:val="24"/>
                <w:color w:val="auto"/>
              </w:rPr>
            </w:pPr>
          </w:p>
        </w:tc>
        <w:tc>
          <w:tcPr>
            <w:tcW w:w="5100" w:type="dxa"/>
            <w:vAlign w:val="bottom"/>
            <w:gridSpan w:val="3"/>
          </w:tcPr>
          <w:p>
            <w:pPr>
              <w:jc w:val="center"/>
              <w:ind w:left="6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3220" w:type="dxa"/>
            <w:vAlign w:val="bottom"/>
            <w:tcBorders>
              <w:bottom w:val="single" w:sz="8" w:color="auto"/>
            </w:tcBorders>
            <w:gridSpan w:val="2"/>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2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Richard E. Anderson</w:t>
            </w: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220" w:type="dxa"/>
            <w:vAlign w:val="bottom"/>
            <w:gridSpan w:val="2"/>
          </w:tcPr>
          <w:p>
            <w:pPr>
              <w:spacing w:after="0"/>
              <w:rPr>
                <w:sz w:val="20"/>
                <w:szCs w:val="20"/>
                <w:color w:val="auto"/>
              </w:rPr>
            </w:pPr>
            <w:r>
              <w:rPr>
                <w:rFonts w:ascii="Arial" w:cs="Arial" w:eastAsia="Arial" w:hAnsi="Arial"/>
                <w:sz w:val="18"/>
                <w:szCs w:val="18"/>
                <w:color w:val="auto"/>
              </w:rPr>
              <w:t>/s/ Rodney S. Bond</w:t>
            </w:r>
          </w:p>
        </w:tc>
        <w:tc>
          <w:tcPr>
            <w:tcW w:w="2500" w:type="dxa"/>
            <w:vAlign w:val="bottom"/>
          </w:tcPr>
          <w:p>
            <w:pPr>
              <w:spacing w:after="0"/>
              <w:rPr>
                <w:sz w:val="24"/>
                <w:szCs w:val="24"/>
                <w:color w:val="auto"/>
              </w:rPr>
            </w:pPr>
          </w:p>
        </w:tc>
        <w:tc>
          <w:tcPr>
            <w:tcW w:w="5100" w:type="dxa"/>
            <w:vAlign w:val="bottom"/>
            <w:gridSpan w:val="3"/>
          </w:tcPr>
          <w:p>
            <w:pPr>
              <w:jc w:val="center"/>
              <w:ind w:left="6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3220" w:type="dxa"/>
            <w:vAlign w:val="bottom"/>
            <w:tcBorders>
              <w:bottom w:val="single" w:sz="8" w:color="auto"/>
            </w:tcBorders>
            <w:gridSpan w:val="2"/>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2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Rodney S. Bond</w:t>
            </w: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220" w:type="dxa"/>
            <w:vAlign w:val="bottom"/>
            <w:gridSpan w:val="2"/>
          </w:tcPr>
          <w:p>
            <w:pPr>
              <w:spacing w:after="0"/>
              <w:rPr>
                <w:sz w:val="20"/>
                <w:szCs w:val="20"/>
                <w:color w:val="auto"/>
              </w:rPr>
            </w:pPr>
            <w:r>
              <w:rPr>
                <w:rFonts w:ascii="Arial" w:cs="Arial" w:eastAsia="Arial" w:hAnsi="Arial"/>
                <w:sz w:val="18"/>
                <w:szCs w:val="18"/>
                <w:color w:val="auto"/>
              </w:rPr>
              <w:t>/s/ Brad Boston</w:t>
            </w:r>
          </w:p>
        </w:tc>
        <w:tc>
          <w:tcPr>
            <w:tcW w:w="2500" w:type="dxa"/>
            <w:vAlign w:val="bottom"/>
          </w:tcPr>
          <w:p>
            <w:pPr>
              <w:spacing w:after="0"/>
              <w:rPr>
                <w:sz w:val="24"/>
                <w:szCs w:val="24"/>
                <w:color w:val="auto"/>
              </w:rPr>
            </w:pPr>
          </w:p>
        </w:tc>
        <w:tc>
          <w:tcPr>
            <w:tcW w:w="5100" w:type="dxa"/>
            <w:vAlign w:val="bottom"/>
            <w:gridSpan w:val="3"/>
          </w:tcPr>
          <w:p>
            <w:pPr>
              <w:jc w:val="center"/>
              <w:ind w:left="6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3220" w:type="dxa"/>
            <w:vAlign w:val="bottom"/>
            <w:tcBorders>
              <w:bottom w:val="single" w:sz="8" w:color="auto"/>
            </w:tcBorders>
            <w:gridSpan w:val="2"/>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2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Brad Boston</w:t>
            </w: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220" w:type="dxa"/>
            <w:vAlign w:val="bottom"/>
            <w:gridSpan w:val="2"/>
          </w:tcPr>
          <w:p>
            <w:pPr>
              <w:spacing w:after="0"/>
              <w:rPr>
                <w:sz w:val="20"/>
                <w:szCs w:val="20"/>
                <w:color w:val="auto"/>
              </w:rPr>
            </w:pPr>
            <w:r>
              <w:rPr>
                <w:rFonts w:ascii="Arial" w:cs="Arial" w:eastAsia="Arial" w:hAnsi="Arial"/>
                <w:sz w:val="18"/>
                <w:szCs w:val="18"/>
                <w:color w:val="auto"/>
              </w:rPr>
              <w:t>/s/ Benjamin L. Scott</w:t>
            </w:r>
          </w:p>
        </w:tc>
        <w:tc>
          <w:tcPr>
            <w:tcW w:w="2500" w:type="dxa"/>
            <w:vAlign w:val="bottom"/>
          </w:tcPr>
          <w:p>
            <w:pPr>
              <w:spacing w:after="0"/>
              <w:rPr>
                <w:sz w:val="24"/>
                <w:szCs w:val="24"/>
                <w:color w:val="auto"/>
              </w:rPr>
            </w:pPr>
          </w:p>
        </w:tc>
        <w:tc>
          <w:tcPr>
            <w:tcW w:w="5100" w:type="dxa"/>
            <w:vAlign w:val="bottom"/>
            <w:gridSpan w:val="3"/>
          </w:tcPr>
          <w:p>
            <w:pPr>
              <w:jc w:val="center"/>
              <w:ind w:left="6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3220" w:type="dxa"/>
            <w:vAlign w:val="bottom"/>
            <w:tcBorders>
              <w:bottom w:val="single" w:sz="8" w:color="auto"/>
            </w:tcBorders>
            <w:gridSpan w:val="2"/>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2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Benjamin L. Scott</w:t>
            </w: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220" w:type="dxa"/>
            <w:vAlign w:val="bottom"/>
            <w:gridSpan w:val="2"/>
          </w:tcPr>
          <w:p>
            <w:pPr>
              <w:spacing w:after="0"/>
              <w:rPr>
                <w:sz w:val="20"/>
                <w:szCs w:val="20"/>
                <w:color w:val="auto"/>
              </w:rPr>
            </w:pPr>
            <w:r>
              <w:rPr>
                <w:rFonts w:ascii="Arial" w:cs="Arial" w:eastAsia="Arial" w:hAnsi="Arial"/>
                <w:sz w:val="18"/>
                <w:szCs w:val="18"/>
                <w:color w:val="auto"/>
              </w:rPr>
              <w:t>/s/ Jan H. Lindelow</w:t>
            </w:r>
          </w:p>
        </w:tc>
        <w:tc>
          <w:tcPr>
            <w:tcW w:w="2500" w:type="dxa"/>
            <w:vAlign w:val="bottom"/>
          </w:tcPr>
          <w:p>
            <w:pPr>
              <w:spacing w:after="0"/>
              <w:rPr>
                <w:sz w:val="24"/>
                <w:szCs w:val="24"/>
                <w:color w:val="auto"/>
              </w:rPr>
            </w:pPr>
          </w:p>
        </w:tc>
        <w:tc>
          <w:tcPr>
            <w:tcW w:w="5100" w:type="dxa"/>
            <w:vAlign w:val="bottom"/>
            <w:gridSpan w:val="3"/>
          </w:tcPr>
          <w:p>
            <w:pPr>
              <w:jc w:val="center"/>
              <w:ind w:left="6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3220" w:type="dxa"/>
            <w:vAlign w:val="bottom"/>
            <w:tcBorders>
              <w:bottom w:val="single" w:sz="8" w:color="auto"/>
            </w:tcBorders>
            <w:gridSpan w:val="2"/>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2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Jan H. Lindelow</w:t>
            </w: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220" w:type="dxa"/>
            <w:vAlign w:val="bottom"/>
            <w:gridSpan w:val="2"/>
          </w:tcPr>
          <w:p>
            <w:pPr>
              <w:spacing w:after="0"/>
              <w:rPr>
                <w:sz w:val="20"/>
                <w:szCs w:val="20"/>
                <w:color w:val="auto"/>
              </w:rPr>
            </w:pPr>
            <w:r>
              <w:rPr>
                <w:rFonts w:ascii="Arial" w:cs="Arial" w:eastAsia="Arial" w:hAnsi="Arial"/>
                <w:sz w:val="18"/>
                <w:szCs w:val="18"/>
                <w:color w:val="auto"/>
              </w:rPr>
              <w:t>/s/ Terrence L. Rock</w:t>
            </w:r>
          </w:p>
        </w:tc>
        <w:tc>
          <w:tcPr>
            <w:tcW w:w="2500" w:type="dxa"/>
            <w:vAlign w:val="bottom"/>
          </w:tcPr>
          <w:p>
            <w:pPr>
              <w:spacing w:after="0"/>
              <w:rPr>
                <w:sz w:val="24"/>
                <w:szCs w:val="24"/>
                <w:color w:val="auto"/>
              </w:rPr>
            </w:pPr>
          </w:p>
        </w:tc>
        <w:tc>
          <w:tcPr>
            <w:tcW w:w="5100" w:type="dxa"/>
            <w:vAlign w:val="bottom"/>
            <w:gridSpan w:val="3"/>
          </w:tcPr>
          <w:p>
            <w:pPr>
              <w:jc w:val="center"/>
              <w:ind w:left="632"/>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3220" w:type="dxa"/>
            <w:vAlign w:val="bottom"/>
            <w:tcBorders>
              <w:bottom w:val="single" w:sz="8" w:color="auto"/>
            </w:tcBorders>
            <w:gridSpan w:val="2"/>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2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220" w:type="dxa"/>
            <w:vAlign w:val="bottom"/>
            <w:gridSpan w:val="2"/>
          </w:tcPr>
          <w:p>
            <w:pPr>
              <w:ind w:left="360"/>
              <w:spacing w:after="0"/>
              <w:rPr>
                <w:sz w:val="20"/>
                <w:szCs w:val="20"/>
                <w:color w:val="auto"/>
              </w:rPr>
            </w:pPr>
            <w:r>
              <w:rPr>
                <w:rFonts w:ascii="Arial" w:cs="Arial" w:eastAsia="Arial" w:hAnsi="Arial"/>
                <w:sz w:val="18"/>
                <w:szCs w:val="18"/>
                <w:color w:val="auto"/>
              </w:rPr>
              <w:t>Terrence L. Rock</w:t>
            </w:r>
          </w:p>
        </w:tc>
        <w:tc>
          <w:tcPr>
            <w:tcW w:w="2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0" w:type="dxa"/>
            <w:vAlign w:val="bottom"/>
            <w:gridSpan w:val="4"/>
          </w:tcPr>
          <w:p>
            <w:pPr>
              <w:ind w:left="236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1340"/>
          </w:cols>
          <w:pgMar w:left="240" w:top="274" w:right="31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Exhibit</w:t>
      </w:r>
    </w:p>
    <w:p>
      <w:pPr>
        <w:spacing w:after="0"/>
        <w:tabs>
          <w:tab w:leader="none" w:pos="1000" w:val="left"/>
        </w:tabs>
        <w:rPr>
          <w:sz w:val="20"/>
          <w:szCs w:val="20"/>
          <w:color w:val="auto"/>
        </w:rPr>
      </w:pPr>
      <w:r>
        <w:rPr>
          <w:rFonts w:ascii="Arial" w:cs="Arial" w:eastAsia="Arial" w:hAnsi="Arial"/>
          <w:sz w:val="14"/>
          <w:szCs w:val="14"/>
          <w:b w:val="1"/>
          <w:bCs w:val="1"/>
          <w:i w:val="1"/>
          <w:iCs w:val="1"/>
          <w:color w:val="auto"/>
        </w:rPr>
        <w:t>Number</w:t>
      </w:r>
      <w:r>
        <w:rPr>
          <w:sz w:val="20"/>
          <w:szCs w:val="20"/>
          <w:color w:val="auto"/>
        </w:rPr>
        <w:tab/>
      </w:r>
      <w:r>
        <w:rPr>
          <w:rFonts w:ascii="Arial" w:cs="Arial" w:eastAsia="Arial" w:hAnsi="Arial"/>
          <w:sz w:val="14"/>
          <w:szCs w:val="14"/>
          <w:b w:val="1"/>
          <w:bCs w:val="1"/>
          <w:i w:val="1"/>
          <w:i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3771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59690</wp:posOffset>
            </wp:positionV>
            <wp:extent cx="360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88" w:lineRule="exact"/>
        <w:rPr>
          <w:sz w:val="20"/>
          <w:szCs w:val="20"/>
          <w:color w:val="auto"/>
        </w:rPr>
      </w:pPr>
    </w:p>
    <w:p>
      <w:pPr>
        <w:jc w:val="both"/>
        <w:ind w:left="1020" w:hanging="759"/>
        <w:spacing w:after="0" w:line="25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Instruments Defining Rights of Stockholders. Reference is made to Registrant’s Registration Statement No. 000-30939 on Form 8-A12G filed with the SEC June 30, 2000 and Registration Statement No. 000-30939 on Form 8-A12G filed with the SEC December 14, 2001 which are incorporated herein by reference pursuant to Items 3(c) and (d).</w:t>
      </w:r>
    </w:p>
    <w:p>
      <w:pPr>
        <w:spacing w:after="0" w:line="86" w:lineRule="exact"/>
        <w:rPr>
          <w:sz w:val="20"/>
          <w:szCs w:val="20"/>
          <w:color w:val="auto"/>
        </w:rPr>
      </w:pPr>
    </w:p>
    <w:p>
      <w:pPr>
        <w:ind w:left="1020" w:hanging="759"/>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Opinion and Consent of Andrews Kurth LLP</w:t>
      </w:r>
    </w:p>
    <w:p>
      <w:pPr>
        <w:spacing w:after="0" w:line="117" w:lineRule="exact"/>
        <w:rPr>
          <w:sz w:val="20"/>
          <w:szCs w:val="20"/>
          <w:color w:val="auto"/>
        </w:rPr>
      </w:pPr>
    </w:p>
    <w:p>
      <w:pPr>
        <w:ind w:left="160"/>
        <w:spacing w:after="0"/>
        <w:tabs>
          <w:tab w:leader="none" w:pos="10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Independent Auditors.</w:t>
      </w:r>
    </w:p>
    <w:p>
      <w:pPr>
        <w:spacing w:after="0" w:line="117" w:lineRule="exact"/>
        <w:rPr>
          <w:sz w:val="20"/>
          <w:szCs w:val="20"/>
          <w:color w:val="auto"/>
        </w:rPr>
      </w:pPr>
    </w:p>
    <w:p>
      <w:pPr>
        <w:ind w:left="160"/>
        <w:spacing w:after="0"/>
        <w:tabs>
          <w:tab w:leader="none" w:pos="10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Andrews Kurth LLP is contained in Exhibit 5.</w:t>
      </w:r>
    </w:p>
    <w:p>
      <w:pPr>
        <w:spacing w:after="0" w:line="117" w:lineRule="exact"/>
        <w:rPr>
          <w:sz w:val="20"/>
          <w:szCs w:val="20"/>
          <w:color w:val="auto"/>
        </w:rPr>
      </w:pPr>
    </w:p>
    <w:p>
      <w:pPr>
        <w:ind w:left="1020" w:hanging="8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of Attorney. Reference is made to the Signature Page of this Registration Statement.</w:t>
      </w:r>
    </w:p>
    <w:p>
      <w:pPr>
        <w:spacing w:after="0" w:line="117"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6"/>
          <w:szCs w:val="16"/>
          <w:color w:val="auto"/>
        </w:rPr>
        <w:t>Active Power, Inc. 2000 Stock Incentive Plan.</w:t>
      </w:r>
    </w:p>
    <w:p>
      <w:pPr>
        <w:spacing w:after="0" w:line="117"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Active Power, Inc. Employee Stock Purchase Plan (as amended effective February 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ind w:left="460" w:right="160" w:hanging="452"/>
        <w:spacing w:after="0" w:line="25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 99.1 is incorporated herein by reference to Exhibit 99.1 to Registrant’s Registration Statement No. 333-43248 on Form S-8 filed with the SEC on August 8, 2000.</w:t>
      </w:r>
    </w:p>
    <w:p>
      <w:pPr>
        <w:ind w:left="460" w:right="18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Exhibit 99.2 is incorporated herein by reference to Exhibit 10.3 to Registrant’s Annual Report on Form 10-K for the year ended December 31, 2004 filed with the SEC on March 15, 2005.</w:t>
      </w:r>
    </w:p>
    <w:p>
      <w:pPr>
        <w:sectPr>
          <w:pgSz w:w="11900" w:h="16838" w:orient="portrait"/>
          <w:cols w:equalWidth="0" w:num="1">
            <w:col w:w="11380"/>
          </w:cols>
          <w:pgMar w:left="240" w:top="274" w:right="2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[ANDREWS KURTH LLP LETTERHEAD]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25,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2128 W. Braker, BK12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TX 78758</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Active Power, Inc. - Registration Statement on Form S-8 for</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u w:val="single" w:color="auto"/>
          <w:color w:val="auto"/>
        </w:rPr>
        <w:t>Offering of an Aggregate of 1,180,799 Shares of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We have acted as counsel to Active Power, Inc., a Delaware corporation (the “Company”), in connection with the registration on Form S-8 (the “Registration Statement”) under the Securities Act of 1933, as amended, of an additional 1,180,799 shares of Common Stock, which consists of (i) 855,799 shares of Common Stock under the Company’s 2000 Stock Incentive Plan (the “Incentive Plan”), and (ii) 325,000 shares of Common Stock under the Company’s Employee Stock Purchase Plan (as amended effective February 1, 2005) (the “Purchase Plan”). All of such additional shares are collectively referred to herein as the “Shares”.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being furnished in accordance with the requirements of Item 8 of Form S-8 and Item 601(b)(5)(i) of Regulation S-K.</w:t>
      </w:r>
    </w:p>
    <w:p>
      <w:pPr>
        <w:spacing w:after="0" w:line="15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connection with this opinion, we have examined originals or copies, certified or otherwise identified to our satisfaction, of (i) the Amended and Restated Certificate of Incorporation of the Company on file with the Secretary of State of the State of Delaware (the “Certificate of Incorporation”), (ii) the Amended and Restated Bylaws of the Company as in effect on the date hereof and at the time of the adoption of the resolutions by the Board of Directors approving the Incentive Plan, Purchase Plan, any amendments thereto and the issuance of the Shares thereunder, as certified to us by a Company officer, (iii) certain resolutions of the Board of Directors of the Company, as certified to us by a Company officer, (iv) a specimen certificate representing the Common Stock, and (v) such other documents and records as we have deemed necessary and relevant for purposes hereof. Based on such review, we are of the opinion that, if, as and when the Shares have been issued and sold (and the consideration therefor received) pursuant to the provisions of option agreements duly authorized under the Incentive Plan and in accordance with the Registration Statement, or in accordance with the stock purchase agreements under the Purchase Plan and in accordance with the Registration Statement, such Shares will be duly authorized, legally issued, fully paid and nonassessable.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filing of this opinion letter as Exhibit 5 to the Registration Statement.</w:t>
      </w:r>
    </w:p>
    <w:p>
      <w:pPr>
        <w:spacing w:after="0" w:line="15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the Incentive Plan, the Purchase Plan, or the Shares.</w:t>
      </w:r>
    </w:p>
    <w:p>
      <w:pPr>
        <w:spacing w:after="0" w:line="1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ANDREWS KURTH LLP</w:t>
      </w:r>
    </w:p>
    <w:p>
      <w:pPr>
        <w:spacing w:after="0" w:line="15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ANDREWS KURTH LLP</w:t>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2000 Stock Incentive Plan and the Employee Stock Purchase Plan (as amended effective February 1, 2005) of Active Power, Inc. of our reports dated March 11, 2005, with respect to the financial statements of Active Power, Inc., Active Power, Inc.’s management’s assessment of the effectiveness of internal control over financial reporting, and the effectiveness of internal control over financial reporting of Active Power, Inc. included in its Annual Report on Form 10-K for the year ended December 31, 2004, filed with the Securities and Exchange Commission.</w:t>
      </w:r>
    </w:p>
    <w:p>
      <w:pPr>
        <w:spacing w:after="0" w:line="1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Austin, TX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24, 2005</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4"/>
      <w:numFmt w:val="bullet"/>
      <w:start w:val="1"/>
    </w:lvl>
  </w:abstractNum>
  <w:abstractNum w:abstractNumId="3">
    <w:nsid w:val="79E2A9E3"/>
    <w:multiLevelType w:val="hybridMultilevel"/>
    <w:lvl w:ilvl="0">
      <w:lvlJc w:val="left"/>
      <w:lvlText w:val="5"/>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24"/>
    </w:lvl>
  </w:abstractNum>
  <w:abstractNum w:abstractNumId="5">
    <w:nsid w:val="515F007C"/>
    <w:multiLevelType w:val="hybridMultilevel"/>
    <w:lvl w:ilvl="0">
      <w:lvlJc w:val="left"/>
      <w:lvlText w:val="**"/>
      <w:numFmt w:val="bullet"/>
      <w:start w:val="1"/>
    </w:lvl>
    <w:lvl w:ilvl="1">
      <w:lvlJc w:val="left"/>
      <w:lvlText w:val="%2"/>
      <w:numFmt w:val="decimal"/>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5"/>
      <w:numFmt w:val="bullet"/>
      <w:start w:val="1"/>
    </w:lvl>
  </w:abstractNum>
  <w:abstractNum w:abstractNumId="8">
    <w:nsid w:val="4DB127F8"/>
    <w:multiLevelType w:val="hybridMultilevel"/>
    <w:lvl w:ilvl="0">
      <w:lvlJc w:val="left"/>
      <w:lvlText w:val="%1"/>
      <w:numFmt w:val="decimal"/>
      <w:start w:val="2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2019-12-14T16:12:32Z</dcterms:created>
  <dcterms:modified xsi:type="dcterms:W3CDTF">2019-12-14T16:12:32Z</dcterms:modified>
</cp:coreProperties>
</file>