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33655</wp:posOffset>
            </wp:positionV>
            <wp:extent cx="7772400" cy="9991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991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right"/>
        <w:spacing w:after="0" w:line="552" w:lineRule="exact"/>
        <w:rPr>
          <w:sz w:val="20"/>
          <w:szCs w:val="20"/>
          <w:color w:val="auto"/>
        </w:rPr>
      </w:pPr>
      <w:r>
        <w:rPr>
          <w:rFonts w:ascii="PMingLiU" w:cs="PMingLiU" w:eastAsia="PMingLiU" w:hAnsi="PMingLiU"/>
          <w:sz w:val="46"/>
          <w:szCs w:val="46"/>
          <w:color w:val="000012"/>
        </w:rPr>
        <w:t/>
      </w:r>
    </w:p>
    <w:p>
      <w:pPr>
        <w:spacing w:after="0" w:line="67" w:lineRule="exact"/>
        <w:rPr>
          <w:sz w:val="24"/>
          <w:szCs w:val="24"/>
          <w:color w:val="auto"/>
        </w:rPr>
      </w:pPr>
    </w:p>
    <w:p>
      <w:pPr>
        <w:ind w:left="9040" w:hanging="862"/>
        <w:spacing w:after="0" w:line="558" w:lineRule="exact"/>
        <w:tabs>
          <w:tab w:leader="none" w:pos="9040" w:val="left"/>
        </w:tabs>
        <w:numPr>
          <w:ilvl w:val="0"/>
          <w:numId w:val="1"/>
        </w:numPr>
        <w:rPr>
          <w:rFonts w:ascii="Arial" w:cs="Arial" w:eastAsia="Arial" w:hAnsi="Arial"/>
          <w:sz w:val="46"/>
          <w:szCs w:val="46"/>
          <w:color w:val="000012"/>
        </w:rPr>
      </w:pPr>
      <w:r>
        <w:rPr>
          <w:rFonts w:ascii="Arial" w:cs="Arial" w:eastAsia="Arial" w:hAnsi="Arial"/>
          <w:sz w:val="46"/>
          <w:szCs w:val="46"/>
          <w:color w:val="000012"/>
        </w:rPr>
        <w:t>U</w:t>
      </w:r>
      <w:r>
        <w:rPr>
          <w:rFonts w:ascii="PMingLiU" w:cs="PMingLiU" w:eastAsia="PMingLiU" w:hAnsi="PMingLiU"/>
          <w:sz w:val="46"/>
          <w:szCs w:val="46"/>
          <w:color w:val="000012"/>
        </w:rPr>
        <w:t/>
      </w:r>
      <w:r>
        <w:rPr>
          <w:rFonts w:ascii="Arial" w:cs="Arial" w:eastAsia="Arial" w:hAnsi="Arial"/>
          <w:sz w:val="46"/>
          <w:szCs w:val="46"/>
          <w:color w:val="000012"/>
        </w:rPr>
        <w:t>L</w:t>
      </w:r>
      <w:r>
        <w:rPr>
          <w:rFonts w:ascii="PMingLiU" w:cs="PMingLiU" w:eastAsia="PMingLiU" w:hAnsi="PMingLiU"/>
          <w:sz w:val="46"/>
          <w:szCs w:val="46"/>
          <w:color w:val="000012"/>
        </w:rPr>
        <w:t/>
      </w:r>
    </w:p>
    <w:p>
      <w:pPr>
        <w:spacing w:after="0" w:line="8" w:lineRule="exact"/>
        <w:rPr>
          <w:rFonts w:ascii="Arial" w:cs="Arial" w:eastAsia="Arial" w:hAnsi="Arial"/>
          <w:sz w:val="46"/>
          <w:szCs w:val="46"/>
          <w:color w:val="000012"/>
        </w:rPr>
      </w:pPr>
    </w:p>
    <w:p>
      <w:pPr>
        <w:ind w:left="8200"/>
        <w:spacing w:after="0" w:line="558" w:lineRule="exact"/>
        <w:rPr>
          <w:rFonts w:ascii="Arial" w:cs="Arial" w:eastAsia="Arial" w:hAnsi="Arial"/>
          <w:sz w:val="46"/>
          <w:szCs w:val="46"/>
          <w:color w:val="000012"/>
        </w:rPr>
      </w:pPr>
      <w:r>
        <w:rPr>
          <w:rFonts w:ascii="Arial" w:cs="Arial" w:eastAsia="Arial" w:hAnsi="Arial"/>
          <w:sz w:val="46"/>
          <w:szCs w:val="46"/>
          <w:color w:val="000012"/>
        </w:rPr>
        <w:t>2</w:t>
      </w:r>
      <w:r>
        <w:rPr>
          <w:rFonts w:ascii="PMingLiU" w:cs="PMingLiU" w:eastAsia="PMingLiU" w:hAnsi="PMingLiU"/>
          <w:sz w:val="46"/>
          <w:szCs w:val="46"/>
          <w:color w:val="000012"/>
        </w:rPr>
        <w:t/>
      </w:r>
      <w:r>
        <w:rPr>
          <w:rFonts w:ascii="Arial" w:cs="Arial" w:eastAsia="Arial" w:hAnsi="Arial"/>
          <w:sz w:val="46"/>
          <w:szCs w:val="46"/>
          <w:color w:val="000012"/>
        </w:rPr>
        <w:t>P</w:t>
      </w:r>
      <w:r>
        <w:rPr>
          <w:rFonts w:ascii="PMingLiU" w:cs="PMingLiU" w:eastAsia="PMingLiU" w:hAnsi="PMingLiU"/>
          <w:sz w:val="46"/>
          <w:szCs w:val="46"/>
          <w:color w:val="000012"/>
        </w:rPr>
        <w:t/>
      </w:r>
    </w:p>
    <w:p>
      <w:pPr>
        <w:sectPr>
          <w:pgSz w:w="12240" w:h="15840" w:orient="portrait"/>
          <w:cols w:equalWidth="0" w:num="1">
            <w:col w:w="9840"/>
          </w:cols>
          <w:pgMar w:left="1440" w:top="1440" w:right="960" w:bottom="494" w:gutter="0" w:footer="0" w:header="0"/>
        </w:sectPr>
      </w:pPr>
    </w:p>
    <w:bookmarkStart w:id="1" w:name="page2"/>
    <w:bookmarkEnd w:id="1"/>
    <w:p>
      <w:pPr>
        <w:spacing w:after="0" w:line="5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767080</wp:posOffset>
            </wp:positionH>
            <wp:positionV relativeFrom="page">
              <wp:posOffset>684530</wp:posOffset>
            </wp:positionV>
            <wp:extent cx="6238240" cy="8711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238240" cy="87115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Segoe UI" w:cs="Segoe UI" w:eastAsia="Segoe UI" w:hAnsi="Segoe UI"/>
          <w:sz w:val="21"/>
          <w:szCs w:val="21"/>
          <w:color w:val="242424"/>
        </w:rPr>
        <w:drawing>
          <wp:anchor simplePos="0" relativeHeight="251657728" behindDoc="1" locked="0" layoutInCell="0" allowOverlap="1">
            <wp:simplePos x="0" y="0"/>
            <wp:positionH relativeFrom="page">
              <wp:posOffset>838200</wp:posOffset>
            </wp:positionH>
            <wp:positionV relativeFrom="page">
              <wp:posOffset>228600</wp:posOffset>
            </wp:positionV>
            <wp:extent cx="142494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4940" cy="664845"/>
                    </a:xfrm>
                    <a:prstGeom prst="rect">
                      <a:avLst/>
                    </a:prstGeom>
                    <a:noFill/>
                  </pic:spPr>
                </pic:pic>
              </a:graphicData>
            </a:graphic>
          </wp:anchor>
        </w:drawing>
        <w:t>Dear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-146050</wp:posOffset>
                </wp:positionV>
                <wp:extent cx="5979795" cy="225488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2254885"/>
                        </a:xfrm>
                        <a:prstGeom prst="rect">
                          <a:avLst/>
                        </a:prstGeom>
                        <a:solidFill>
                          <a:srgbClr val="FAFAFA"/>
                        </a:solidFill>
                      </wps:spPr>
                      <wps:bodyPr/>
                    </wps:wsp>
                  </a:graphicData>
                </a:graphic>
              </wp:anchor>
            </w:drawing>
          </mc:Choice>
          <mc:Fallback>
            <w:pict>
              <v:rect id="Shape 4" o:spid="_x0000_s1029" style="position:absolute;margin-left:-1.3999pt;margin-top:-11.4999pt;width:470.85pt;height:17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FAFA" stroked="f"/>
            </w:pict>
          </mc:Fallback>
        </mc:AlternateContent>
      </w:r>
    </w:p>
    <w:p>
      <w:pPr>
        <w:spacing w:after="0" w:line="219" w:lineRule="exact"/>
        <w:rPr>
          <w:sz w:val="20"/>
          <w:szCs w:val="20"/>
          <w:color w:val="auto"/>
        </w:rPr>
      </w:pPr>
    </w:p>
    <w:p>
      <w:pPr>
        <w:ind w:right="280"/>
        <w:spacing w:after="0" w:line="274" w:lineRule="auto"/>
        <w:rPr>
          <w:sz w:val="20"/>
          <w:szCs w:val="20"/>
          <w:color w:val="auto"/>
        </w:rPr>
      </w:pPr>
      <w:r>
        <w:rPr>
          <w:rFonts w:ascii="Segoe UI" w:cs="Segoe UI" w:eastAsia="Segoe UI" w:hAnsi="Segoe UI"/>
          <w:sz w:val="21"/>
          <w:szCs w:val="21"/>
          <w:color w:val="242424"/>
        </w:rPr>
        <w:t>As we reflect on 2024, I am pleased to share the outstanding progress P10 made, and the strong results we achieved. The year was truly transformative for our company, and the team’s dedication and hard work have positioned us for future success.</w:t>
      </w:r>
    </w:p>
    <w:p>
      <w:pPr>
        <w:spacing w:after="0" w:line="123" w:lineRule="exact"/>
        <w:rPr>
          <w:sz w:val="20"/>
          <w:szCs w:val="20"/>
          <w:color w:val="auto"/>
        </w:rPr>
      </w:pPr>
    </w:p>
    <w:p>
      <w:pPr>
        <w:spacing w:after="0" w:line="249" w:lineRule="auto"/>
        <w:rPr>
          <w:sz w:val="20"/>
          <w:szCs w:val="20"/>
          <w:color w:val="auto"/>
        </w:rPr>
      </w:pPr>
      <w:r>
        <w:rPr>
          <w:rFonts w:ascii="Segoe UI" w:cs="Segoe UI" w:eastAsia="Segoe UI" w:hAnsi="Segoe UI"/>
          <w:sz w:val="21"/>
          <w:szCs w:val="21"/>
          <w:color w:val="242424"/>
        </w:rPr>
        <w:t>In 2024, we surpassed our financial and operational targets, achieving remarkable growth across key metrics. Our fee-paying assets under management (FPAUM) increased by 10%, reaching $25.7 billion. Revenues grew by 23%, totaling $296.4 million, and adjusted EBITDA rose by 17%, amounting to $144.5 million. We generated $3.8 billion in gross fundraising and capital deployment, significantly exceeding our initial target of $2.5 billion. A highlight of the year was Bonaccord Capital Partners closing Fund II with a record $1.6 billion, P10’s first fund to attract over $1 billion in capital. We also strengthened our balance sheet by increasing our borrowing capacity from $359 million to $500 million, which enhanced our financial flexibility.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-200025</wp:posOffset>
                </wp:positionV>
                <wp:extent cx="5979795" cy="585597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5855970"/>
                        </a:xfrm>
                        <a:prstGeom prst="rect">
                          <a:avLst/>
                        </a:prstGeom>
                        <a:solidFill>
                          <a:srgbClr val="FAFAFA"/>
                        </a:solidFill>
                      </wps:spPr>
                      <wps:bodyPr/>
                    </wps:wsp>
                  </a:graphicData>
                </a:graphic>
              </wp:anchor>
            </w:drawing>
          </mc:Choice>
          <mc:Fallback>
            <w:pict>
              <v:rect id="Shape 5" o:spid="_x0000_s1030" style="position:absolute;margin-left:-1.3999pt;margin-top:-15.7499pt;width:470.85pt;height:46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FAFA" stroked="f"/>
            </w:pict>
          </mc:Fallback>
        </mc:AlternateContent>
      </w:r>
    </w:p>
    <w:p>
      <w:pPr>
        <w:spacing w:after="0" w:line="136" w:lineRule="exact"/>
        <w:rPr>
          <w:sz w:val="20"/>
          <w:szCs w:val="20"/>
          <w:color w:val="auto"/>
        </w:rPr>
      </w:pPr>
    </w:p>
    <w:p>
      <w:pPr>
        <w:ind w:right="980"/>
        <w:spacing w:after="0" w:line="308" w:lineRule="auto"/>
        <w:rPr>
          <w:sz w:val="20"/>
          <w:szCs w:val="20"/>
          <w:color w:val="auto"/>
        </w:rPr>
      </w:pPr>
      <w:r>
        <w:rPr>
          <w:rFonts w:ascii="Segoe UI" w:cs="Segoe UI" w:eastAsia="Segoe UI" w:hAnsi="Segoe UI"/>
          <w:sz w:val="21"/>
          <w:szCs w:val="21"/>
          <w:color w:val="auto"/>
        </w:rPr>
        <w:t>The success we achieved was the result of a carefully designed and executed strategic plan consisting of five key pillars.</w:t>
      </w:r>
    </w:p>
    <w:p>
      <w:pPr>
        <w:spacing w:after="0" w:line="80" w:lineRule="exact"/>
        <w:rPr>
          <w:sz w:val="20"/>
          <w:szCs w:val="20"/>
          <w:color w:val="auto"/>
        </w:rPr>
      </w:pPr>
    </w:p>
    <w:p>
      <w:pPr>
        <w:ind w:right="40"/>
        <w:spacing w:after="0" w:line="274" w:lineRule="auto"/>
        <w:rPr>
          <w:sz w:val="20"/>
          <w:szCs w:val="20"/>
          <w:color w:val="auto"/>
        </w:rPr>
      </w:pPr>
      <w:r>
        <w:rPr>
          <w:rFonts w:ascii="Segoe UI" w:cs="Segoe UI" w:eastAsia="Segoe UI" w:hAnsi="Segoe UI"/>
          <w:sz w:val="21"/>
          <w:szCs w:val="21"/>
          <w:color w:val="auto"/>
        </w:rPr>
        <w:t>First, we committed to optimizing the leadership team and corporate organizational structure. In 2024, we hired Arjay Jensen as Head of Strategy and M&amp;A and Sarita Jairath as Global Head of Client Solutions. We also filled other key leadership roles across the organization.</w:t>
      </w:r>
    </w:p>
    <w:p>
      <w:pPr>
        <w:spacing w:after="0" w:line="121" w:lineRule="exact"/>
        <w:rPr>
          <w:sz w:val="20"/>
          <w:szCs w:val="20"/>
          <w:color w:val="auto"/>
        </w:rPr>
      </w:pPr>
    </w:p>
    <w:p>
      <w:pPr>
        <w:ind w:right="80"/>
        <w:spacing w:after="0" w:line="263" w:lineRule="auto"/>
        <w:rPr>
          <w:sz w:val="20"/>
          <w:szCs w:val="20"/>
          <w:color w:val="auto"/>
        </w:rPr>
      </w:pPr>
      <w:r>
        <w:rPr>
          <w:rFonts w:ascii="Segoe UI" w:cs="Segoe UI" w:eastAsia="Segoe UI" w:hAnsi="Segoe UI"/>
          <w:sz w:val="21"/>
          <w:szCs w:val="21"/>
          <w:color w:val="auto"/>
        </w:rPr>
        <w:t>Second, we committed to accelerating organic growth by deepening and expanding our client franchise. We delivered on this goal by laying the foundation for deeper client engagement, which resulted in P10 exceeding its fundraising goals for the year. Examples of this success include offering new, innovative client solutions and advancing engagement with larger pools of capital.</w:t>
      </w:r>
    </w:p>
    <w:p>
      <w:pPr>
        <w:spacing w:after="0" w:line="134" w:lineRule="exact"/>
        <w:rPr>
          <w:sz w:val="20"/>
          <w:szCs w:val="20"/>
          <w:color w:val="auto"/>
        </w:rPr>
      </w:pPr>
    </w:p>
    <w:p>
      <w:pPr>
        <w:ind w:right="20"/>
        <w:spacing w:after="0" w:line="262" w:lineRule="auto"/>
        <w:rPr>
          <w:sz w:val="20"/>
          <w:szCs w:val="20"/>
          <w:color w:val="auto"/>
        </w:rPr>
      </w:pPr>
      <w:r>
        <w:rPr>
          <w:rFonts w:ascii="Segoe UI" w:cs="Segoe UI" w:eastAsia="Segoe UI" w:hAnsi="Segoe UI"/>
          <w:sz w:val="21"/>
          <w:szCs w:val="21"/>
          <w:color w:val="auto"/>
        </w:rPr>
        <w:t>Third, we committed to reaccelerating our M&amp;A initiatives. During 2024, we built a process-driven and proactive inorganic growth engine with a targeted investment thesis across attractive strategies and asset classes. I</w:t>
      </w:r>
      <w:r>
        <w:rPr>
          <w:rFonts w:ascii="Segoe UI" w:cs="Segoe UI" w:eastAsia="Segoe UI" w:hAnsi="Segoe UI"/>
          <w:sz w:val="21"/>
          <w:szCs w:val="21"/>
          <w:color w:val="242424"/>
        </w:rPr>
        <w:t>n September, our efforts culminated in the acquisition of Qualitas Funds, a leading</w:t>
      </w:r>
      <w:r>
        <w:rPr>
          <w:rFonts w:ascii="Segoe UI" w:cs="Segoe UI" w:eastAsia="Segoe UI" w:hAnsi="Segoe UI"/>
          <w:sz w:val="21"/>
          <w:szCs w:val="21"/>
          <w:color w:val="auto"/>
        </w:rPr>
        <w:t xml:space="preserve"> </w:t>
      </w:r>
      <w:r>
        <w:rPr>
          <w:rFonts w:ascii="Segoe UI" w:cs="Segoe UI" w:eastAsia="Segoe UI" w:hAnsi="Segoe UI"/>
          <w:sz w:val="21"/>
          <w:szCs w:val="21"/>
          <w:color w:val="242424"/>
        </w:rPr>
        <w:t>European private equity fund-of-funds manager. We completed this acquisition in April of 2025.</w:t>
      </w:r>
    </w:p>
    <w:p>
      <w:pPr>
        <w:spacing w:after="0" w:line="139" w:lineRule="exact"/>
        <w:rPr>
          <w:sz w:val="20"/>
          <w:szCs w:val="20"/>
          <w:color w:val="auto"/>
        </w:rPr>
      </w:pPr>
    </w:p>
    <w:p>
      <w:pPr>
        <w:spacing w:after="0" w:line="251" w:lineRule="auto"/>
        <w:rPr>
          <w:sz w:val="20"/>
          <w:szCs w:val="20"/>
          <w:color w:val="auto"/>
        </w:rPr>
      </w:pPr>
      <w:r>
        <w:rPr>
          <w:rFonts w:ascii="Segoe UI" w:cs="Segoe UI" w:eastAsia="Segoe UI" w:hAnsi="Segoe UI"/>
          <w:sz w:val="21"/>
          <w:szCs w:val="21"/>
          <w:color w:val="242424"/>
        </w:rPr>
        <w:t>Fourth, we committed to driving operational efficiencies through leveraging our unique data insights. Throughout 2024, we made tremendous progress in the use of our powerful proprietary data stores. One of our key advantages as a franchise is the market data we’ve collected over decades. By using this data in a thoughtful and client -friendly way, we can expand our touchpoints with our large and growing global investor base. Our access to proprietary data sets is one of several shared services that we are offering our underlying strategies to increase collaboration and drive further operational efficiencies over time.</w:t>
      </w:r>
    </w:p>
    <w:p>
      <w:pPr>
        <w:spacing w:after="0" w:line="149" w:lineRule="exact"/>
        <w:rPr>
          <w:sz w:val="20"/>
          <w:szCs w:val="20"/>
          <w:color w:val="auto"/>
        </w:rPr>
      </w:pPr>
    </w:p>
    <w:p>
      <w:pPr>
        <w:ind w:right="460"/>
        <w:spacing w:after="0" w:line="253" w:lineRule="auto"/>
        <w:rPr>
          <w:sz w:val="20"/>
          <w:szCs w:val="20"/>
          <w:color w:val="auto"/>
        </w:rPr>
      </w:pPr>
      <w:r>
        <w:rPr>
          <w:rFonts w:ascii="Segoe UI" w:cs="Segoe UI" w:eastAsia="Segoe UI" w:hAnsi="Segoe UI"/>
          <w:sz w:val="21"/>
          <w:szCs w:val="21"/>
          <w:color w:val="242424"/>
        </w:rPr>
        <w:t>Finally, we committed to more transparency with shareholders. To that end, we hosted our first Investor Day this past September at the New York Stock Exchange. The management team and strategy leadership presented our compelling growth vision and the numerous attributes that uniquely position P10 for continued success. I encourage you to visit our website and watch the presentations. We have been thrilled with the reception from that event and welcome additional input.</w:t>
      </w:r>
    </w:p>
    <w:p>
      <w:pPr>
        <w:sectPr>
          <w:pgSz w:w="12240" w:h="15840" w:orient="portrait"/>
          <w:cols w:equalWidth="0" w:num="1">
            <w:col w:w="9360"/>
          </w:cols>
          <w:pgMar w:left="1440" w:top="1391" w:right="1440" w:bottom="1440" w:gutter="0" w:footer="0" w:header="0"/>
        </w:sectPr>
      </w:pPr>
    </w:p>
    <w:bookmarkStart w:id="3" w:name="page4"/>
    <w:bookmarkEnd w:id="3"/>
    <w:p>
      <w:pPr>
        <w:spacing w:after="0"/>
        <w:rPr>
          <w:sz w:val="20"/>
          <w:szCs w:val="20"/>
          <w:color w:val="auto"/>
        </w:rPr>
      </w:pPr>
      <w:r>
        <w:rPr>
          <w:rFonts w:ascii="Segoe UI" w:cs="Segoe UI" w:eastAsia="Segoe UI" w:hAnsi="Segoe UI"/>
          <w:sz w:val="21"/>
          <w:szCs w:val="21"/>
          <w:color w:val="242424"/>
        </w:rPr>
        <w:t>In addition to enhancing investor engagement, we introduced key performance indicators such 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-146050</wp:posOffset>
                </wp:positionV>
                <wp:extent cx="5979795" cy="225488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2254885"/>
                        </a:xfrm>
                        <a:prstGeom prst="rect">
                          <a:avLst/>
                        </a:prstGeom>
                        <a:solidFill>
                          <a:srgbClr val="FAFAFA"/>
                        </a:solidFill>
                      </wps:spPr>
                      <wps:bodyPr/>
                    </wps:wsp>
                  </a:graphicData>
                </a:graphic>
              </wp:anchor>
            </w:drawing>
          </mc:Choice>
          <mc:Fallback>
            <w:pict>
              <v:rect id="Shape 6" o:spid="_x0000_s1031" style="position:absolute;margin-left:-1.3999pt;margin-top:-11.4999pt;width:470.85pt;height:17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FAFA" stroked="f"/>
            </w:pict>
          </mc:Fallback>
        </mc:AlternateContent>
      </w:r>
    </w:p>
    <w:p>
      <w:pPr>
        <w:spacing w:after="0" w:line="25" w:lineRule="exact"/>
        <w:rPr>
          <w:sz w:val="20"/>
          <w:szCs w:val="20"/>
          <w:color w:val="auto"/>
        </w:rPr>
      </w:pPr>
    </w:p>
    <w:p>
      <w:pPr>
        <w:spacing w:after="0"/>
        <w:rPr>
          <w:sz w:val="20"/>
          <w:szCs w:val="20"/>
          <w:color w:val="auto"/>
        </w:rPr>
      </w:pPr>
      <w:r>
        <w:rPr>
          <w:rFonts w:ascii="Segoe UI" w:cs="Segoe UI" w:eastAsia="Segoe UI" w:hAnsi="Segoe UI"/>
          <w:sz w:val="21"/>
          <w:szCs w:val="21"/>
          <w:color w:val="242424"/>
        </w:rPr>
        <w:t>fee-related revenue, fee-related earnings, and fee-related earnings margin. These metrics make it</w:t>
      </w:r>
    </w:p>
    <w:p>
      <w:pPr>
        <w:spacing w:after="0" w:line="1" w:lineRule="exact"/>
        <w:rPr>
          <w:sz w:val="20"/>
          <w:szCs w:val="20"/>
          <w:color w:val="auto"/>
        </w:rPr>
      </w:pPr>
    </w:p>
    <w:p>
      <w:pPr>
        <w:spacing w:after="0"/>
        <w:rPr>
          <w:sz w:val="20"/>
          <w:szCs w:val="20"/>
          <w:color w:val="auto"/>
        </w:rPr>
      </w:pPr>
      <w:r>
        <w:rPr>
          <w:rFonts w:ascii="Segoe UI" w:cs="Segoe UI" w:eastAsia="Segoe UI" w:hAnsi="Segoe UI"/>
          <w:sz w:val="21"/>
          <w:szCs w:val="21"/>
          <w:color w:val="242424"/>
        </w:rPr>
        <w:t>easier for the investment community to compare P10 to our industry peers on a like-for-like basis.</w:t>
      </w:r>
    </w:p>
    <w:p>
      <w:pPr>
        <w:spacing w:after="0" w:line="193" w:lineRule="exact"/>
        <w:rPr>
          <w:sz w:val="20"/>
          <w:szCs w:val="20"/>
          <w:color w:val="auto"/>
        </w:rPr>
      </w:pPr>
    </w:p>
    <w:p>
      <w:pPr>
        <w:spacing w:after="0" w:line="249" w:lineRule="auto"/>
        <w:rPr>
          <w:sz w:val="20"/>
          <w:szCs w:val="20"/>
          <w:color w:val="auto"/>
        </w:rPr>
      </w:pPr>
      <w:r>
        <w:rPr>
          <w:rFonts w:ascii="Segoe UI" w:cs="Segoe UI" w:eastAsia="Segoe UI" w:hAnsi="Segoe UI"/>
          <w:sz w:val="21"/>
          <w:szCs w:val="21"/>
          <w:color w:val="242424"/>
        </w:rPr>
        <w:t>Looking ahead, we remain confident in our ability to create shareholder value. In our view, we’ve only just begun to realize the full value of our franchise. The P10 platform is built on high-quality strategies with long track records of delivering durable alpha. Over the course of decades, our strategy leadership teams have refined their investment processes and created what we consider to be an all-weather product offering, capable of withstanding the ebbs and flows of a complex and evolving global economy. With a growing global LP base, and the addition of Qualitas Funds, we are well-positioned to serve our clients and expand our global product offerings. Our proprietary data platform and commitment to operational efficiencies further enhance our competitive advantage.</w:t>
      </w:r>
    </w:p>
    <w:p>
      <w:pPr>
        <w:spacing w:after="0" w:line="156" w:lineRule="exact"/>
        <w:rPr>
          <w:sz w:val="20"/>
          <w:szCs w:val="20"/>
          <w:color w:val="auto"/>
        </w:rPr>
      </w:pPr>
    </w:p>
    <w:p>
      <w:pPr>
        <w:ind w:right="120"/>
        <w:spacing w:after="0" w:line="273" w:lineRule="auto"/>
        <w:rPr>
          <w:sz w:val="20"/>
          <w:szCs w:val="20"/>
          <w:color w:val="auto"/>
        </w:rPr>
      </w:pPr>
      <w:r>
        <w:rPr>
          <w:rFonts w:ascii="Segoe UI" w:cs="Segoe UI" w:eastAsia="Segoe UI" w:hAnsi="Segoe UI"/>
          <w:sz w:val="20"/>
          <w:szCs w:val="20"/>
          <w:color w:val="242424"/>
        </w:rPr>
        <w:t>Our capital allocation efforts, which include share repurchases and dividend distributions, demonstrate our commitment to returning value to our shareholders. In 2024, we repurchased over 6.6 million shares at an average price of $8.88 per share. In total, the 2024 buyback amounted to over $59 million. Additionally, since 2022, P10’s dividend has increased 17%. Both share repurchases and dividend distributions will remain critical components of our overall capital allocation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-929640</wp:posOffset>
                </wp:positionV>
                <wp:extent cx="5979795" cy="309308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3093085"/>
                        </a:xfrm>
                        <a:prstGeom prst="rect">
                          <a:avLst/>
                        </a:prstGeom>
                        <a:solidFill>
                          <a:srgbClr val="FAFAFA"/>
                        </a:solidFill>
                      </wps:spPr>
                      <wps:bodyPr/>
                    </wps:wsp>
                  </a:graphicData>
                </a:graphic>
              </wp:anchor>
            </w:drawing>
          </mc:Choice>
          <mc:Fallback>
            <w:pict>
              <v:rect id="Shape 7" o:spid="_x0000_s1032" style="position:absolute;margin-left:-1.3999pt;margin-top:-73.1999pt;width:470.85pt;height:24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FAFA" stroked="f"/>
            </w:pict>
          </mc:Fallback>
        </mc:AlternateContent>
      </w:r>
    </w:p>
    <w:p>
      <w:pPr>
        <w:spacing w:after="0" w:line="104" w:lineRule="exact"/>
        <w:rPr>
          <w:sz w:val="20"/>
          <w:szCs w:val="20"/>
          <w:color w:val="auto"/>
        </w:rPr>
      </w:pPr>
    </w:p>
    <w:p>
      <w:pPr>
        <w:ind w:right="40"/>
        <w:spacing w:after="0" w:line="257" w:lineRule="auto"/>
        <w:rPr>
          <w:sz w:val="20"/>
          <w:szCs w:val="20"/>
          <w:color w:val="auto"/>
        </w:rPr>
      </w:pPr>
      <w:r>
        <w:rPr>
          <w:rFonts w:ascii="Segoe UI" w:cs="Segoe UI" w:eastAsia="Segoe UI" w:hAnsi="Segoe UI"/>
          <w:sz w:val="21"/>
          <w:szCs w:val="21"/>
          <w:color w:val="242424"/>
        </w:rPr>
        <w:t>As we move forward, we are focused on executing on our clear strategic plan, and delivering sustainable growth. I want to thank the entire P10 team for delivering a record 2024. Our people, our strategies, and our conviction will guide us through the year ahead. We believe we have the right strategy and the right team to capitalize on attractive opportunities and navigate any market volatility in the coming year.</w:t>
      </w:r>
    </w:p>
    <w:p>
      <w:pPr>
        <w:spacing w:after="0" w:line="141" w:lineRule="exact"/>
        <w:rPr>
          <w:sz w:val="20"/>
          <w:szCs w:val="20"/>
          <w:color w:val="auto"/>
        </w:rPr>
      </w:pPr>
    </w:p>
    <w:p>
      <w:pPr>
        <w:spacing w:after="0"/>
        <w:rPr>
          <w:sz w:val="20"/>
          <w:szCs w:val="20"/>
          <w:color w:val="auto"/>
        </w:rPr>
      </w:pPr>
      <w:r>
        <w:rPr>
          <w:rFonts w:ascii="Segoe UI" w:cs="Segoe UI" w:eastAsia="Segoe UI" w:hAnsi="Segoe UI"/>
          <w:sz w:val="21"/>
          <w:szCs w:val="21"/>
          <w:color w:val="242424"/>
        </w:rPr>
        <w:t>Lastly, thank you for being a shareholder.</w:t>
      </w:r>
    </w:p>
    <w:p>
      <w:pPr>
        <w:spacing w:after="0" w:line="239" w:lineRule="exact"/>
        <w:rPr>
          <w:sz w:val="20"/>
          <w:szCs w:val="20"/>
          <w:color w:val="auto"/>
        </w:rPr>
      </w:pPr>
    </w:p>
    <w:p>
      <w:pPr>
        <w:spacing w:after="0"/>
        <w:rPr>
          <w:sz w:val="20"/>
          <w:szCs w:val="20"/>
          <w:color w:val="auto"/>
        </w:rPr>
      </w:pPr>
      <w:r>
        <w:rPr>
          <w:rFonts w:ascii="Segoe UI" w:cs="Segoe UI" w:eastAsia="Segoe UI" w:hAnsi="Segoe UI"/>
          <w:sz w:val="21"/>
          <w:szCs w:val="21"/>
          <w:color w:val="242424"/>
        </w:rPr>
        <w:t>Sincerely,</w:t>
      </w:r>
    </w:p>
    <w:p>
      <w:pPr>
        <w:spacing w:after="0" w:line="241" w:lineRule="exact"/>
        <w:rPr>
          <w:sz w:val="20"/>
          <w:szCs w:val="20"/>
          <w:color w:val="auto"/>
        </w:rPr>
      </w:pPr>
    </w:p>
    <w:p>
      <w:pPr>
        <w:spacing w:after="0"/>
        <w:rPr>
          <w:sz w:val="20"/>
          <w:szCs w:val="20"/>
          <w:color w:val="auto"/>
        </w:rPr>
      </w:pPr>
      <w:r>
        <w:rPr>
          <w:rFonts w:ascii="Segoe UI" w:cs="Segoe UI" w:eastAsia="Segoe UI" w:hAnsi="Segoe UI"/>
          <w:sz w:val="21"/>
          <w:szCs w:val="21"/>
          <w:color w:val="242424"/>
        </w:rPr>
        <w:t>Luke A. Sarsfield III</w:t>
      </w:r>
    </w:p>
    <w:p>
      <w:pPr>
        <w:spacing w:after="0" w:line="45" w:lineRule="exact"/>
        <w:rPr>
          <w:sz w:val="20"/>
          <w:szCs w:val="20"/>
          <w:color w:val="auto"/>
        </w:rPr>
      </w:pPr>
    </w:p>
    <w:p>
      <w:pPr>
        <w:spacing w:after="0"/>
        <w:rPr>
          <w:sz w:val="20"/>
          <w:szCs w:val="20"/>
          <w:color w:val="auto"/>
        </w:rPr>
      </w:pPr>
      <w:r>
        <w:rPr>
          <w:rFonts w:ascii="Segoe UI" w:cs="Segoe UI" w:eastAsia="Segoe UI" w:hAnsi="Segoe UI"/>
          <w:sz w:val="21"/>
          <w:szCs w:val="21"/>
          <w:color w:val="242424"/>
        </w:rPr>
        <w:t>Chairman &amp; CEO</w:t>
      </w:r>
    </w:p>
    <w:p>
      <w:pPr>
        <w:sectPr>
          <w:pgSz w:w="12240" w:h="15840" w:orient="portrait"/>
          <w:cols w:equalWidth="0" w:num="1">
            <w:col w:w="9360"/>
          </w:cols>
          <w:pgMar w:left="1440" w:top="1391" w:right="1440" w:bottom="1440" w:gutter="0" w:footer="0" w:header="0"/>
        </w:sectPr>
      </w:pPr>
    </w:p>
    <w:bookmarkStart w:id="4" w:name="page5"/>
    <w:bookmarkEnd w:id="4"/>
    <w:p>
      <w:pPr>
        <w:spacing w:after="0"/>
        <w:rPr>
          <w:sz w:val="20"/>
          <w:szCs w:val="20"/>
          <w:color w:val="auto"/>
        </w:rPr>
      </w:pPr>
      <w:r>
        <w:rPr>
          <w:rFonts w:ascii="Segoe UI" w:cs="Segoe UI" w:eastAsia="Segoe UI" w:hAnsi="Segoe UI"/>
          <w:sz w:val="21"/>
          <w:szCs w:val="21"/>
          <w:b w:val="1"/>
          <w:bCs w:val="1"/>
          <w:color w:val="auto"/>
        </w:rPr>
        <w:t>Forward-Looking Statements</w:t>
      </w:r>
    </w:p>
    <w:p>
      <w:pPr>
        <w:spacing w:after="0" w:line="205" w:lineRule="exact"/>
        <w:rPr>
          <w:sz w:val="20"/>
          <w:szCs w:val="20"/>
          <w:color w:val="auto"/>
        </w:rPr>
      </w:pPr>
    </w:p>
    <w:p>
      <w:pPr>
        <w:ind w:right="140"/>
        <w:spacing w:after="0" w:line="391" w:lineRule="auto"/>
        <w:rPr>
          <w:sz w:val="20"/>
          <w:szCs w:val="20"/>
          <w:color w:val="auto"/>
        </w:rPr>
      </w:pPr>
      <w:r>
        <w:rPr>
          <w:rFonts w:ascii="PMingLiU" w:cs="PMingLiU" w:eastAsia="PMingLiU" w:hAnsi="PMingLiU"/>
          <w:sz w:val="17"/>
          <w:szCs w:val="17"/>
          <w:color w:val="auto"/>
        </w:rPr>
        <w:t>6RPHRIWKHVWDWHPHQWVLQWKLVGRFXPHQWPD\FRQVWLWXWH´IRUZDUGORRNLQJVWDWHPHQWVµZLWKLQWKH PHDQLQJRI6HFWLRQ$RIWKH6HFXULWLHV$FWRIDVDPHQGHG6HFWLRQ(RIWKH6HFXULWLHV ([FKDQJH$FWRIDVDPHQGHGDQGWKH3ULYDWH6HFXULWLHV/LWLJDWLRQ5HIRUP$FWRI:RUGV VXFKDV´ZLOOµ´H[SHFWµ´EHOLHYHµ´HVWLPDWHµ´FRQWLQXHµ´DQWLFLSDWHµ´LQWHQGµ´SODQµDQGVLPLODU</w:t>
      </w:r>
    </w:p>
    <w:p>
      <w:pPr>
        <w:spacing w:after="0" w:line="2" w:lineRule="exact"/>
        <w:rPr>
          <w:sz w:val="20"/>
          <w:szCs w:val="20"/>
          <w:color w:val="auto"/>
        </w:rPr>
      </w:pPr>
    </w:p>
    <w:p>
      <w:pPr>
        <w:ind w:right="20"/>
        <w:spacing w:after="0" w:line="404" w:lineRule="auto"/>
        <w:rPr>
          <w:sz w:val="20"/>
          <w:szCs w:val="20"/>
          <w:color w:val="auto"/>
        </w:rPr>
      </w:pPr>
      <w:r>
        <w:rPr>
          <w:rFonts w:ascii="PMingLiU" w:cs="PMingLiU" w:eastAsia="PMingLiU" w:hAnsi="PMingLiU"/>
          <w:sz w:val="16"/>
          <w:szCs w:val="16"/>
          <w:color w:val="auto"/>
        </w:rPr>
        <w:t>H[SUHVVLRQVDUHLQWHQGHGWRLGHQWLI\WKHVHIRUZDUGORRNLQJVWDWHPHQWV)RUZDUGORRNLQJVWDWHPHQWV GLVFXVVPDQDJHPHQW·VFXUUHQWH[SHFWDWLRQVDQGSURMHFWLRQVUHODWLQJWRRXUILQDQFLDOSRVLWLRQUHVXOWV RIRSHUDWLRQVSODQVREMHFWLYHVIXWXUHSHUIRUPDQFHDQGEXVLQHVV7KHLQFOXVLRQRIDQ\IRUZDUG ORRNLQJLQIRUPDWLRQLQWKLVGRFXPHQWVKRXOGQRWEHUHJDUGHGDVDUHSUHVHQWDWLRQWKDWWKHIXWXUH</w:t>
      </w:r>
    </w:p>
    <w:p>
      <w:pPr>
        <w:spacing w:after="0" w:line="2" w:lineRule="exact"/>
        <w:rPr>
          <w:sz w:val="20"/>
          <w:szCs w:val="20"/>
          <w:color w:val="auto"/>
        </w:rPr>
      </w:pPr>
    </w:p>
    <w:p>
      <w:pPr>
        <w:ind w:right="60"/>
        <w:spacing w:after="0" w:line="404" w:lineRule="auto"/>
        <w:rPr>
          <w:sz w:val="20"/>
          <w:szCs w:val="20"/>
          <w:color w:val="auto"/>
        </w:rPr>
      </w:pPr>
      <w:r>
        <w:rPr>
          <w:rFonts w:ascii="PMingLiU" w:cs="PMingLiU" w:eastAsia="PMingLiU" w:hAnsi="PMingLiU"/>
          <w:sz w:val="16"/>
          <w:szCs w:val="16"/>
          <w:color w:val="auto"/>
        </w:rPr>
        <w:t>SODQVHVWLPDWHVRUH[SHFWDWLRQVFRQWHPSODWHGZLOOEHDFKLHYHG)RUZDUGORRNLQJVWDWHPHQWVUHIOHFW PDQDJHPHQW·VFXUUHQWSODQVHVWLPDWHVDQGH[SHFWDWLRQVDQGDUHLQKHUHQWO\XQFHUWDLQ$OOIRUZDUG ORRNLQJVWDWHPHQWVDUHVXEMHFWWRNQRZQDQGXQNQRZQULVNVXQFHUWDLQWLHVDVVXPSWLRQVDQGRWKHU LPSRUWDQWIDFWRUVWKDWPD\FDXVHDFWXDOUHVXOWVWREHPDWHULDOO\GLIIHUHQWLQFOXGLQJULVNVUHODWLQJWR JOREDODQGGRPHVWLFPDUNHWDQGEXVLQHVVFRQGLWLRQVVXFFHVVIXOH[HFXWLRQRIEXVLQHVVDQGJURZWK VWUDWHJLHVDQGUHJXODWRU\IDFWRUVUHOHYDQWWRRXUEXVLQHVVFKDQJHVLQRXUWD[VWDWXVRXUDELOLW\WR PDLQWDLQRXUIHHVWUXFWXUHRXUDELOLW\WRDWWUDFWDQGUHWDLQNH\HPSOR\HHVRXUDELOLW\WRPDQDJHRXU</w:t>
      </w:r>
    </w:p>
    <w:p>
      <w:pPr>
        <w:spacing w:after="0" w:line="3" w:lineRule="exact"/>
        <w:rPr>
          <w:sz w:val="20"/>
          <w:szCs w:val="20"/>
          <w:color w:val="auto"/>
        </w:rPr>
      </w:pPr>
    </w:p>
    <w:p>
      <w:pPr>
        <w:ind w:right="80"/>
        <w:spacing w:after="0" w:line="417" w:lineRule="auto"/>
        <w:rPr>
          <w:sz w:val="20"/>
          <w:szCs w:val="20"/>
          <w:color w:val="auto"/>
        </w:rPr>
      </w:pPr>
      <w:r>
        <w:rPr>
          <w:rFonts w:ascii="PMingLiU" w:cs="PMingLiU" w:eastAsia="PMingLiU" w:hAnsi="PMingLiU"/>
          <w:sz w:val="16"/>
          <w:szCs w:val="16"/>
          <w:color w:val="auto"/>
        </w:rPr>
        <w:t>REOLJDWLRQVXQGHURXUGHEWDJUHHPHQWVRXUDELOLW\WRPDNHDFTXLVLWLRQVDQGVXFFHVVIXOO\LQWHJUDWH WKHEXVLQHVVHVZHDFTXLUHDVVXPSWLRQVUHODWLQJWRRXURSHUDWLRQVILQDQFLDOUHVXOWVILQDQFLDO FRQGLWLRQEXVLQHVVSURVSHFWVDQGJURZWKVWUDWHJ\WKHLPSDFWVRIHPHUJLQJWHFKQRORJLHVVXFKDV DUWLILFLDOLQWHOOLJHQFHDQGPDFKLQHOHDUQLQJDQGRXUDELOLW\WRPDQDJHWKHHIIHFWVRIHYHQWVRXWVLGH RIRXUFRQWURO7KHIRUHJRLQJOLVWRIIDFWRUVLVQRWH[KDXVWLYH)RUPRUHLQIRUPDWLRQUHJDUGLQJWKHVH ULVNVDQGXQFHUWDLQWLHVDVZHOODVDGGLWLRQDOULVNVWKDWZHIDFH\RXVKRXOGUHIHUWRWKH´5LVN)DFWRUVµ LQFOXGHGLQRXUDQQXDOUHSRUWRQ)RUP.IRUWKH\HDUHQGHG'HFHPEHUILOHGZLWKWKH 866HFXULWLHVDQG([FKDQJH&amp;RPPLVVLRQ´6(&amp;µRQ)HEUXDU\DQGLQRXUVXEVHTXHQW UHSRUWVILOHGIURPWLPHWRWLPHZLWKWKH6(&amp;7KHIRUZDUGORRNLQJVWDWHPHQWVLQFOXGHGLQWKLV GRFXPHQWDUHPDGHRQO\DVRIWKHGDWHKHUHRI:HXQGHUWDNHQRREOLJDWLRQWRXSGDWHRUUHYLVHDQ\ IRUZDUGORRNLQJVWDWHPHQWDVDUHVXOWRIQHZLQIRUPDWLRQRUIXWXUHHYHQWVH[FHSWDVRWKHUZLVH UHTXLUHGE\ODZ</w:t>
      </w:r>
    </w:p>
    <w:p>
      <w:pPr>
        <w:spacing w:after="0" w:line="5" w:lineRule="exact"/>
        <w:rPr>
          <w:sz w:val="20"/>
          <w:szCs w:val="20"/>
          <w:color w:val="auto"/>
        </w:rPr>
      </w:pPr>
    </w:p>
    <w:p>
      <w:pPr>
        <w:spacing w:after="0"/>
        <w:rPr>
          <w:sz w:val="20"/>
          <w:szCs w:val="20"/>
          <w:color w:val="auto"/>
        </w:rPr>
      </w:pPr>
      <w:r>
        <w:rPr>
          <w:rFonts w:ascii="Segoe UI" w:cs="Segoe UI" w:eastAsia="Segoe UI" w:hAnsi="Segoe UI"/>
          <w:sz w:val="21"/>
          <w:szCs w:val="21"/>
          <w:b w:val="1"/>
          <w:bCs w:val="1"/>
          <w:color w:val="auto"/>
        </w:rPr>
        <w:t>Use of Non-GAAP Financial Measures by P10</w:t>
      </w:r>
    </w:p>
    <w:p>
      <w:pPr>
        <w:spacing w:after="0" w:line="205" w:lineRule="exact"/>
        <w:rPr>
          <w:sz w:val="20"/>
          <w:szCs w:val="20"/>
          <w:color w:val="auto"/>
        </w:rPr>
      </w:pPr>
    </w:p>
    <w:p>
      <w:pPr>
        <w:ind w:right="140"/>
        <w:spacing w:after="0" w:line="286" w:lineRule="auto"/>
        <w:rPr>
          <w:sz w:val="20"/>
          <w:szCs w:val="20"/>
          <w:color w:val="auto"/>
        </w:rPr>
      </w:pPr>
      <w:r>
        <w:rPr>
          <w:rFonts w:ascii="Segoe UI" w:cs="Segoe UI" w:eastAsia="Segoe UI" w:hAnsi="Segoe UI"/>
          <w:sz w:val="21"/>
          <w:szCs w:val="21"/>
          <w:color w:val="auto"/>
        </w:rPr>
        <w:t>The non-GAAP financial measures contained in this press release (including, without limitation, Adjusted EBITDA, Adjusted EBITDA Margin, Fee-Related Revenue (“FRR”), Fee-Related Earnings (“FRE”), Fee-Related Earnings Margin, Adjusted Net Income (“ANI”) and, Fully Diluted ANI per share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 useful additional information to investors because it provides better</w:t>
      </w:r>
    </w:p>
    <w:p>
      <w:pPr>
        <w:sectPr>
          <w:pgSz w:w="12240" w:h="15840" w:orient="portrait"/>
          <w:cols w:equalWidth="0" w:num="1">
            <w:col w:w="9360"/>
          </w:cols>
          <w:pgMar w:left="1440" w:top="1391" w:right="1440" w:bottom="1025" w:gutter="0" w:footer="0" w:header="0"/>
        </w:sectPr>
      </w:pPr>
    </w:p>
    <w:bookmarkStart w:id="5" w:name="page6"/>
    <w:bookmarkEnd w:id="5"/>
    <w:p>
      <w:pPr>
        <w:ind w:right="20"/>
        <w:spacing w:after="0" w:line="289" w:lineRule="auto"/>
        <w:rPr>
          <w:sz w:val="20"/>
          <w:szCs w:val="20"/>
          <w:color w:val="auto"/>
        </w:rPr>
      </w:pPr>
      <w:r>
        <w:rPr>
          <w:rFonts w:ascii="Segoe UI" w:cs="Segoe UI" w:eastAsia="Segoe UI" w:hAnsi="Segoe UI"/>
          <w:sz w:val="21"/>
          <w:szCs w:val="21"/>
          <w:color w:val="auto"/>
        </w:rPr>
        <w:t>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67" w:lineRule="exact"/>
        <w:rPr>
          <w:sz w:val="20"/>
          <w:szCs w:val="20"/>
          <w:color w:val="auto"/>
        </w:rPr>
      </w:pPr>
    </w:p>
    <w:p>
      <w:pPr>
        <w:spacing w:after="0"/>
        <w:rPr>
          <w:sz w:val="20"/>
          <w:szCs w:val="20"/>
          <w:color w:val="auto"/>
        </w:rPr>
      </w:pPr>
      <w:r>
        <w:rPr>
          <w:rFonts w:ascii="Segoe UI" w:cs="Segoe UI" w:eastAsia="Segoe UI" w:hAnsi="Segoe UI"/>
          <w:sz w:val="21"/>
          <w:szCs w:val="21"/>
          <w:b w:val="1"/>
          <w:bCs w:val="1"/>
          <w:color w:val="auto"/>
        </w:rPr>
        <w:t>Key Financial &amp; Operating Metrics</w:t>
      </w:r>
    </w:p>
    <w:p>
      <w:pPr>
        <w:spacing w:after="0" w:line="208" w:lineRule="exact"/>
        <w:rPr>
          <w:sz w:val="20"/>
          <w:szCs w:val="20"/>
          <w:color w:val="auto"/>
        </w:rPr>
      </w:pPr>
    </w:p>
    <w:p>
      <w:pPr>
        <w:spacing w:after="0" w:line="300" w:lineRule="auto"/>
        <w:rPr>
          <w:sz w:val="20"/>
          <w:szCs w:val="20"/>
          <w:color w:val="auto"/>
        </w:rPr>
      </w:pPr>
      <w:r>
        <w:rPr>
          <w:rFonts w:ascii="Segoe UI" w:cs="Segoe UI" w:eastAsia="Segoe UI" w:hAnsi="Segoe UI"/>
          <w:sz w:val="21"/>
          <w:szCs w:val="21"/>
          <w:color w:val="auto"/>
        </w:rPr>
        <w:t>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58" w:lineRule="exact"/>
        <w:rPr>
          <w:sz w:val="20"/>
          <w:szCs w:val="20"/>
          <w:color w:val="auto"/>
        </w:rPr>
      </w:pPr>
    </w:p>
    <w:p>
      <w:pPr>
        <w:spacing w:after="0"/>
        <w:rPr>
          <w:sz w:val="20"/>
          <w:szCs w:val="20"/>
          <w:color w:val="auto"/>
        </w:rPr>
      </w:pPr>
      <w:r>
        <w:rPr>
          <w:rFonts w:ascii="Segoe UI" w:cs="Segoe UI" w:eastAsia="Segoe UI" w:hAnsi="Segoe UI"/>
          <w:sz w:val="21"/>
          <w:szCs w:val="21"/>
          <w:b w:val="1"/>
          <w:bCs w:val="1"/>
          <w:color w:val="auto"/>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5943600" cy="3442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5943600" cy="3442335"/>
                    </a:xfrm>
                    <a:prstGeom prst="rect">
                      <a:avLst/>
                    </a:prstGeom>
                    <a:noFill/>
                  </pic:spPr>
                </pic:pic>
              </a:graphicData>
            </a:graphic>
          </wp:anchor>
        </w:drawing>
      </w:r>
    </w:p>
    <w:p>
      <w:pPr>
        <w:sectPr>
          <w:pgSz w:w="12240" w:h="15840" w:orient="portrait"/>
          <w:cols w:equalWidth="0" w:num="1">
            <w:col w:w="9360"/>
          </w:cols>
          <w:pgMar w:left="144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308" w:lineRule="auto"/>
        <w:tabs>
          <w:tab w:leader="none" w:pos="257" w:val="left"/>
        </w:tabs>
        <w:numPr>
          <w:ilvl w:val="0"/>
          <w:numId w:val="2"/>
        </w:numPr>
        <w:rPr>
          <w:rFonts w:ascii="Segoe UI" w:cs="Segoe UI" w:eastAsia="Segoe UI" w:hAnsi="Segoe UI"/>
          <w:sz w:val="18"/>
          <w:szCs w:val="18"/>
          <w:color w:val="auto"/>
        </w:rPr>
      </w:pPr>
      <w:r>
        <w:rPr>
          <w:rFonts w:ascii="Segoe UI" w:cs="Segoe UI" w:eastAsia="Segoe UI" w:hAnsi="Segoe UI"/>
          <w:sz w:val="18"/>
          <w:szCs w:val="18"/>
          <w:color w:val="auto"/>
        </w:rPr>
        <w:t>Fully Diluted ANI per share calculations include the total of all shares of common stock, stock</w:t>
      </w:r>
      <w:r>
        <w:rPr>
          <w:rFonts w:ascii="PMingLiU" w:cs="PMingLiU" w:eastAsia="PMingLiU" w:hAnsi="PMingLiU"/>
          <w:sz w:val="18"/>
          <w:szCs w:val="18"/>
          <w:color w:val="auto"/>
        </w:rPr>
        <w:t/>
      </w:r>
      <w:r>
        <w:rPr>
          <w:rFonts w:ascii="Segoe UI" w:cs="Segoe UI" w:eastAsia="Segoe UI" w:hAnsi="Segoe UI"/>
          <w:sz w:val="18"/>
          <w:szCs w:val="18"/>
          <w:color w:val="auto"/>
        </w:rPr>
        <w:t>options under the treasury stock method, restricted stock awards, and the redeemable non-controlling interests of P10 Intermediate converted to Class A stock as of each period presented.</w:t>
      </w:r>
    </w:p>
    <w:p>
      <w:pPr>
        <w:sectPr>
          <w:pgSz w:w="12240" w:h="15840" w:orient="portrait"/>
          <w:cols w:equalWidth="0" w:num="1">
            <w:col w:w="9360"/>
          </w:cols>
          <w:pgMar w:left="1440" w:top="1394" w:right="1440" w:bottom="1440" w:gutter="0" w:footer="0" w:header="0"/>
          <w:type w:val="continuous"/>
        </w:sectPr>
      </w:pPr>
    </w:p>
    <w:bookmarkStart w:id="6" w:name="page7"/>
    <w:bookmarkEnd w:id="6"/>
    <w:p>
      <w:pPr>
        <w:spacing w:after="0"/>
        <w:rPr>
          <w:sz w:val="20"/>
          <w:szCs w:val="20"/>
          <w:color w:val="auto"/>
        </w:rPr>
      </w:pPr>
      <w:r>
        <w:rPr>
          <w:rFonts w:ascii="Segoe UI" w:cs="Segoe UI" w:eastAsia="Segoe UI" w:hAnsi="Segoe UI"/>
          <w:sz w:val="21"/>
          <w:szCs w:val="21"/>
          <w:b w:val="1"/>
          <w:bCs w:val="1"/>
          <w:color w:val="auto"/>
        </w:rPr>
        <w:t>Notes to Reconciliation of Non-GAAP Financial Measures</w:t>
      </w:r>
    </w:p>
    <w:p>
      <w:pPr>
        <w:spacing w:after="0" w:line="205" w:lineRule="exact"/>
        <w:rPr>
          <w:sz w:val="20"/>
          <w:szCs w:val="20"/>
          <w:color w:val="auto"/>
        </w:rPr>
      </w:pPr>
    </w:p>
    <w:p>
      <w:pPr>
        <w:ind w:right="100"/>
        <w:spacing w:after="0" w:line="291" w:lineRule="auto"/>
        <w:rPr>
          <w:sz w:val="20"/>
          <w:szCs w:val="20"/>
          <w:color w:val="auto"/>
        </w:rPr>
      </w:pPr>
      <w:r>
        <w:rPr>
          <w:rFonts w:ascii="Segoe UI" w:cs="Segoe UI" w:eastAsia="Segoe UI" w:hAnsi="Segoe UI"/>
          <w:sz w:val="21"/>
          <w:szCs w:val="21"/>
          <w:color w:val="auto"/>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70" w:lineRule="exact"/>
        <w:rPr>
          <w:sz w:val="20"/>
          <w:szCs w:val="20"/>
          <w:color w:val="auto"/>
        </w:rPr>
      </w:pPr>
    </w:p>
    <w:p>
      <w:pPr>
        <w:ind w:right="20"/>
        <w:spacing w:after="0" w:line="287" w:lineRule="auto"/>
        <w:rPr>
          <w:sz w:val="20"/>
          <w:szCs w:val="20"/>
          <w:color w:val="auto"/>
        </w:rPr>
      </w:pPr>
      <w:r>
        <w:rPr>
          <w:rFonts w:ascii="Segoe UI" w:cs="Segoe UI" w:eastAsia="Segoe UI" w:hAnsi="Segoe UI"/>
          <w:sz w:val="21"/>
          <w:szCs w:val="21"/>
          <w:color w:val="auto"/>
        </w:rPr>
        <w:t>We use Adjusted Net Income, or ANI, as well as Adjusted EBITDA (Earnings Before Interest, Taxes, Depreciation and Amortization), Adjusted EBITDA Margin, Fee-Related Revenues,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Adjusted EBITDA, less actual cash paid for interest and federal and state income taxes.</w:t>
      </w:r>
    </w:p>
    <w:p>
      <w:pPr>
        <w:spacing w:after="0" w:line="74" w:lineRule="exact"/>
        <w:rPr>
          <w:sz w:val="20"/>
          <w:szCs w:val="20"/>
          <w:color w:val="auto"/>
        </w:rPr>
      </w:pPr>
    </w:p>
    <w:p>
      <w:pPr>
        <w:spacing w:after="0"/>
        <w:rPr>
          <w:sz w:val="20"/>
          <w:szCs w:val="20"/>
          <w:color w:val="auto"/>
        </w:rPr>
      </w:pPr>
      <w:r>
        <w:rPr>
          <w:rFonts w:ascii="Segoe UI" w:cs="Segoe UI" w:eastAsia="Segoe UI" w:hAnsi="Segoe UI"/>
          <w:sz w:val="21"/>
          <w:szCs w:val="21"/>
          <w:color w:val="auto"/>
        </w:rPr>
        <w:t>In order to compute Adjusted EBITDA, we adjust our GAAP Net Income for the following items:</w:t>
      </w:r>
    </w:p>
    <w:p>
      <w:pPr>
        <w:spacing w:after="0" w:line="208" w:lineRule="exact"/>
        <w:rPr>
          <w:sz w:val="20"/>
          <w:szCs w:val="20"/>
          <w:color w:val="auto"/>
        </w:rPr>
      </w:pPr>
    </w:p>
    <w:p>
      <w:pPr>
        <w:ind w:left="720" w:right="260" w:hanging="359"/>
        <w:spacing w:after="0" w:line="292" w:lineRule="auto"/>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Expenses that typically do not require us to pay them in cash in the current period (such as depreciation, amortization and stock-based compensation);</w:t>
      </w:r>
    </w:p>
    <w:p>
      <w:pPr>
        <w:spacing w:after="0" w:line="1" w:lineRule="exact"/>
        <w:rPr>
          <w:rFonts w:ascii="Arial" w:cs="Arial" w:eastAsia="Arial" w:hAnsi="Arial"/>
          <w:sz w:val="21"/>
          <w:szCs w:val="21"/>
          <w:color w:val="auto"/>
        </w:rPr>
      </w:pPr>
    </w:p>
    <w:p>
      <w:pPr>
        <w:ind w:left="720" w:hanging="359"/>
        <w:spacing w:after="0"/>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The cost of financing our business;</w:t>
      </w:r>
    </w:p>
    <w:p>
      <w:pPr>
        <w:spacing w:after="0" w:line="44" w:lineRule="exact"/>
        <w:rPr>
          <w:rFonts w:ascii="Arial" w:cs="Arial" w:eastAsia="Arial" w:hAnsi="Arial"/>
          <w:sz w:val="21"/>
          <w:szCs w:val="21"/>
          <w:color w:val="auto"/>
        </w:rPr>
      </w:pPr>
    </w:p>
    <w:p>
      <w:pPr>
        <w:ind w:left="720" w:right="1320" w:hanging="359"/>
        <w:spacing w:after="0" w:line="278" w:lineRule="auto"/>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One-time expenses related to restructuring of the management team including placement/search fees;</w:t>
      </w:r>
    </w:p>
    <w:p>
      <w:pPr>
        <w:ind w:left="720" w:hanging="359"/>
        <w:spacing w:after="0"/>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Expenses related to the debt refinance completed in August 2024;</w:t>
      </w:r>
    </w:p>
    <w:p>
      <w:pPr>
        <w:spacing w:after="0" w:line="44" w:lineRule="exact"/>
        <w:rPr>
          <w:rFonts w:ascii="Arial" w:cs="Arial" w:eastAsia="Arial" w:hAnsi="Arial"/>
          <w:sz w:val="21"/>
          <w:szCs w:val="21"/>
          <w:color w:val="auto"/>
        </w:rPr>
      </w:pPr>
    </w:p>
    <w:p>
      <w:pPr>
        <w:ind w:left="720" w:right="300" w:hanging="359"/>
        <w:spacing w:after="0" w:line="277" w:lineRule="auto"/>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4" w:lineRule="exact"/>
        <w:rPr>
          <w:rFonts w:ascii="Arial" w:cs="Arial" w:eastAsia="Arial" w:hAnsi="Arial"/>
          <w:sz w:val="21"/>
          <w:szCs w:val="21"/>
          <w:color w:val="auto"/>
        </w:rPr>
      </w:pPr>
    </w:p>
    <w:p>
      <w:pPr>
        <w:ind w:left="720" w:hanging="359"/>
        <w:spacing w:after="0"/>
        <w:tabs>
          <w:tab w:leader="none" w:pos="720" w:val="left"/>
        </w:tabs>
        <w:numPr>
          <w:ilvl w:val="0"/>
          <w:numId w:val="3"/>
        </w:numPr>
        <w:rPr>
          <w:rFonts w:ascii="Arial" w:cs="Arial" w:eastAsia="Arial" w:hAnsi="Arial"/>
          <w:sz w:val="21"/>
          <w:szCs w:val="21"/>
          <w:color w:val="auto"/>
        </w:rPr>
      </w:pPr>
      <w:r>
        <w:rPr>
          <w:rFonts w:ascii="Segoe UI" w:cs="Segoe UI" w:eastAsia="Segoe UI" w:hAnsi="Segoe UI"/>
          <w:sz w:val="21"/>
          <w:szCs w:val="21"/>
          <w:color w:val="auto"/>
        </w:rPr>
        <w:t>The effects of income taxes.</w:t>
      </w:r>
    </w:p>
    <w:p>
      <w:pPr>
        <w:spacing w:after="0" w:line="165" w:lineRule="exact"/>
        <w:rPr>
          <w:sz w:val="20"/>
          <w:szCs w:val="20"/>
          <w:color w:val="auto"/>
        </w:rPr>
      </w:pPr>
    </w:p>
    <w:p>
      <w:pPr>
        <w:spacing w:after="0"/>
        <w:rPr>
          <w:sz w:val="20"/>
          <w:szCs w:val="20"/>
          <w:color w:val="auto"/>
        </w:rPr>
      </w:pPr>
      <w:r>
        <w:rPr>
          <w:rFonts w:ascii="Segoe UI" w:cs="Segoe UI" w:eastAsia="Segoe UI" w:hAnsi="Segoe UI"/>
          <w:sz w:val="21"/>
          <w:szCs w:val="21"/>
          <w:color w:val="auto"/>
        </w:rPr>
        <w:t>Fee-Related Revenues is calculated as Total Revenues less any incentive fees.</w:t>
      </w:r>
    </w:p>
    <w:p>
      <w:pPr>
        <w:spacing w:after="0" w:line="208" w:lineRule="exact"/>
        <w:rPr>
          <w:sz w:val="20"/>
          <w:szCs w:val="20"/>
          <w:color w:val="auto"/>
        </w:rPr>
      </w:pPr>
    </w:p>
    <w:p>
      <w:pPr>
        <w:ind w:right="340"/>
        <w:spacing w:after="0" w:line="343" w:lineRule="auto"/>
        <w:rPr>
          <w:sz w:val="20"/>
          <w:szCs w:val="20"/>
          <w:color w:val="auto"/>
        </w:rPr>
      </w:pPr>
      <w:r>
        <w:rPr>
          <w:rFonts w:ascii="Segoe UI" w:cs="Segoe UI" w:eastAsia="Segoe UI" w:hAnsi="Segoe UI"/>
          <w:sz w:val="21"/>
          <w:szCs w:val="21"/>
          <w:color w:val="auto"/>
        </w:rPr>
        <w:t>Fee-Related Earnings is a non-GAAP performance measure used to monitor our baseline earnings less any incentive fee revenue and excluding any incentive fee-related expenses.</w:t>
      </w:r>
    </w:p>
    <w:p>
      <w:pPr>
        <w:spacing w:after="0" w:line="5" w:lineRule="exact"/>
        <w:rPr>
          <w:sz w:val="20"/>
          <w:szCs w:val="20"/>
          <w:color w:val="auto"/>
        </w:rPr>
      </w:pPr>
    </w:p>
    <w:p>
      <w:pPr>
        <w:spacing w:after="0"/>
        <w:rPr>
          <w:sz w:val="20"/>
          <w:szCs w:val="20"/>
          <w:color w:val="auto"/>
        </w:rPr>
      </w:pPr>
      <w:r>
        <w:rPr>
          <w:rFonts w:ascii="Segoe UI" w:cs="Segoe UI" w:eastAsia="Segoe UI" w:hAnsi="Segoe UI"/>
          <w:sz w:val="21"/>
          <w:szCs w:val="21"/>
          <w:color w:val="auto"/>
        </w:rPr>
        <w:t>Fee-Related Earnings Margin is calculated as Fee-Related Earnings divided by Fee-Related Revenues.</w:t>
      </w:r>
    </w:p>
    <w:p>
      <w:pPr>
        <w:spacing w:after="0" w:line="205" w:lineRule="exact"/>
        <w:rPr>
          <w:sz w:val="20"/>
          <w:szCs w:val="20"/>
          <w:color w:val="auto"/>
        </w:rPr>
      </w:pPr>
    </w:p>
    <w:p>
      <w:pPr>
        <w:ind w:right="560"/>
        <w:spacing w:after="0" w:line="332" w:lineRule="auto"/>
        <w:rPr>
          <w:sz w:val="20"/>
          <w:szCs w:val="20"/>
          <w:color w:val="auto"/>
        </w:rPr>
      </w:pPr>
      <w:r>
        <w:rPr>
          <w:rFonts w:ascii="Segoe UI" w:cs="Segoe UI" w:eastAsia="Segoe UI" w:hAnsi="Segoe UI"/>
          <w:sz w:val="21"/>
          <w:szCs w:val="21"/>
          <w:color w:val="auto"/>
        </w:rPr>
        <w:t>Adjusted Net Income reflects net cash paid for federal and state income taxes and cash interest expense.</w:t>
      </w:r>
    </w:p>
    <w:p>
      <w:pPr>
        <w:spacing w:after="0" w:line="1" w:lineRule="exact"/>
        <w:rPr>
          <w:sz w:val="20"/>
          <w:szCs w:val="20"/>
          <w:color w:val="auto"/>
        </w:rPr>
      </w:pPr>
    </w:p>
    <w:p>
      <w:pPr>
        <w:ind w:right="280"/>
        <w:spacing w:after="0" w:line="347" w:lineRule="auto"/>
        <w:rPr>
          <w:sz w:val="20"/>
          <w:szCs w:val="20"/>
          <w:color w:val="auto"/>
        </w:rPr>
      </w:pPr>
      <w:r>
        <w:rPr>
          <w:rFonts w:ascii="Segoe UI" w:cs="Segoe UI" w:eastAsia="Segoe UI" w:hAnsi="Segoe UI"/>
          <w:sz w:val="21"/>
          <w:szCs w:val="21"/>
          <w:color w:val="auto"/>
        </w:rPr>
        <w:t>Adjusted EBITDA Margin is calculated as Adjusted EBITDA divided by total GAAP revenues. We use Adjusted EBITDA Margin to provide an additional measure of profitability.</w:t>
      </w:r>
    </w:p>
    <w:p>
      <w:pPr>
        <w:sectPr>
          <w:pgSz w:w="12240" w:h="15840" w:orient="portrait"/>
          <w:cols w:equalWidth="0" w:num="1">
            <w:col w:w="9360"/>
          </w:cols>
          <w:pgMar w:left="1440" w:top="1391" w:right="1440" w:bottom="99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621665</wp:posOffset>
                </wp:positionH>
                <wp:positionV relativeFrom="page">
                  <wp:posOffset>644525</wp:posOffset>
                </wp:positionV>
                <wp:extent cx="652907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90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50.75pt" to="563.05pt,50.7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621665</wp:posOffset>
                </wp:positionH>
                <wp:positionV relativeFrom="page">
                  <wp:posOffset>663575</wp:posOffset>
                </wp:positionV>
                <wp:extent cx="65290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90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52.25pt" to="563.05pt,52.25pt" o:allowincell="f" strokecolor="#000000" strokeweight="0.7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-188595</wp:posOffset>
                </wp:positionV>
                <wp:extent cx="652843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4.8499pt" to="513.05pt,-1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71755</wp:posOffset>
                </wp:positionV>
                <wp:extent cx="652843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5.65pt" to="513.05pt,5.65pt" o:allowincell="f" strokecolor="#000000" strokeweight="1pt"/>
            </w:pict>
          </mc:Fallback>
        </mc:AlternateConten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420" w:hanging="412"/>
        <w:spacing w:after="0" w:line="182" w:lineRule="auto"/>
        <w:tabs>
          <w:tab w:leader="none" w:pos="420" w:val="left"/>
        </w:tabs>
        <w:numPr>
          <w:ilvl w:val="0"/>
          <w:numId w:val="4"/>
        </w:numPr>
        <w:rPr>
          <w:rFonts w:ascii="MS PGothic" w:cs="MS PGothic" w:eastAsia="MS PGothic" w:hAnsi="MS PGothic"/>
          <w:sz w:val="34"/>
          <w:szCs w:val="34"/>
          <w:b w:val="1"/>
          <w:bCs w:val="1"/>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ind w:left="420" w:hanging="412"/>
        <w:spacing w:after="0" w:line="185" w:lineRule="auto"/>
        <w:tabs>
          <w:tab w:leader="none" w:pos="420" w:val="left"/>
        </w:tabs>
        <w:numPr>
          <w:ilvl w:val="0"/>
          <w:numId w:val="5"/>
        </w:numPr>
        <w:rPr>
          <w:rFonts w:ascii="MS PGothic" w:cs="MS PGothic" w:eastAsia="MS PGothic" w:hAnsi="MS PGothic"/>
          <w:sz w:val="30"/>
          <w:szCs w:val="30"/>
          <w:b w:val="1"/>
          <w:bCs w:val="1"/>
          <w:color w:val="auto"/>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4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____________________ to ____________________</w:t>
      </w: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001-40937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-268605</wp:posOffset>
                </wp:positionV>
                <wp:extent cx="65284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1499pt" to="513.05pt,-21.1499pt" o:allowincell="f" strokecolor="#000000" strokeweight="1pt"/>
            </w:pict>
          </mc:Fallback>
        </mc:AlternateConten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45720</wp:posOffset>
                </wp:positionV>
                <wp:extent cx="65284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6pt" to="513.05pt,3.6pt" o:allowincell="f" strokecolor="#000000" strokeweight="1pt"/>
            </w:pict>
          </mc:Fallback>
        </mc:AlternateContent>
      </w:r>
    </w:p>
    <w:p>
      <w:pPr>
        <w:spacing w:after="0" w:line="195" w:lineRule="exact"/>
        <w:rPr>
          <w:sz w:val="20"/>
          <w:szCs w:val="20"/>
          <w:color w:val="auto"/>
        </w:rPr>
      </w:pPr>
    </w:p>
    <w:tbl>
      <w:tblPr>
        <w:tblLayout w:type="fixed"/>
        <w:tblInd w:w="1240" w:type="dxa"/>
        <w:tblCellMar>
          <w:top w:w="0" w:type="dxa"/>
          <w:left w:w="0" w:type="dxa"/>
          <w:bottom w:w="0" w:type="dxa"/>
          <w:right w:w="0" w:type="dxa"/>
        </w:tblCellMar>
      </w:tblP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84"/>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 State or other jurisdiction of</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184"/>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4514 Cole Ave, Suite 500</w:t>
            </w:r>
          </w:p>
        </w:tc>
        <w:tc>
          <w:tcPr>
            <w:tcW w:w="28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840" w:type="dxa"/>
            <w:vAlign w:val="bottom"/>
          </w:tcPr>
          <w:p>
            <w:pPr>
              <w:spacing w:after="0"/>
              <w:rPr>
                <w:sz w:val="17"/>
                <w:szCs w:val="17"/>
                <w:color w:val="auto"/>
              </w:rPr>
            </w:pPr>
          </w:p>
        </w:tc>
      </w:tr>
      <w:tr>
        <w:trPr>
          <w:trHeight w:val="210"/>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ind w:left="28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31115</wp:posOffset>
                </wp:positionV>
                <wp:extent cx="652843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45pt" to="513.05pt,2.45pt" o:allowincell="f" strokecolor="#000000" strokeweight="1pt"/>
            </w:pict>
          </mc:Fallback>
        </mc:AlternateConten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0" w:type="dxa"/>
            <w:vAlign w:val="bottom"/>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213"/>
        </w:trPr>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NYSE</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9" w:lineRule="exact"/>
        <w:rPr>
          <w:sz w:val="20"/>
          <w:szCs w:val="20"/>
          <w:color w:val="auto"/>
        </w:rPr>
      </w:pPr>
    </w:p>
    <w:p>
      <w:pPr>
        <w:ind w:right="166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ind w:right="40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33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33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47" w:lineRule="exact"/>
        <w:rPr>
          <w:sz w:val="20"/>
          <w:szCs w:val="20"/>
          <w:color w:val="auto"/>
        </w:rPr>
      </w:pPr>
    </w:p>
    <w:p>
      <w:pPr>
        <w:ind w:right="2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right="16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its audit report.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12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right="14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6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The aggregate market value of Class A common stock held by non-affiliates of the Registrant on June 30, 2024, the last business day of the Registrant's most recently completed second fiscal quarter was approximately $387.5 million, based on the closing price of $8.48 as reported by the NYSE Stock Market.</w:t>
      </w:r>
    </w:p>
    <w:p>
      <w:pPr>
        <w:spacing w:after="0" w:line="8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6"/>
          <w:szCs w:val="16"/>
          <w:color w:val="auto"/>
        </w:rPr>
        <w:t>As of February 24, 2025, there were 74,792,964 shares of the Registrant's Class A common stock and 36,405,311 shares of the Registrant's Class B common stock outstanding.</w:t>
      </w:r>
    </w:p>
    <w:p>
      <w:pPr>
        <w:sectPr>
          <w:pgSz w:w="12240" w:h="15840" w:orient="portrait"/>
          <w:cols w:equalWidth="0" w:num="1">
            <w:col w:w="10240"/>
          </w:cols>
          <w:pgMar w:left="1000" w:top="1222" w:right="1000" w:bottom="1069" w:gutter="0" w:footer="0" w:header="0"/>
        </w:sectPr>
      </w:pPr>
    </w:p>
    <w:bookmarkStart w:id="8" w:name="page9"/>
    <w:bookmarkEnd w:id="8"/>
    <w:p>
      <w:pPr>
        <w:jc w:val="center"/>
        <w:ind w:right="-23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2025 annual meeting of stockholders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45720</wp:posOffset>
                </wp:positionV>
                <wp:extent cx="65284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6pt" to="513.05pt,3.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26670</wp:posOffset>
                </wp:positionV>
                <wp:extent cx="65284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pt" to="513.05pt,2.1pt" o:allowincell="f" strokecolor="#000000" strokeweight="0.75pt"/>
            </w:pict>
          </mc:Fallback>
        </mc:AlternateContent>
      </w:r>
    </w:p>
    <w:p>
      <w:pPr>
        <w:sectPr>
          <w:pgSz w:w="12240" w:h="15840" w:orient="portrait"/>
          <w:cols w:equalWidth="0" w:num="1">
            <w:col w:w="10000"/>
          </w:cols>
          <w:pgMar w:left="1000" w:top="992" w:right="12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2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3"/>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b w:val="1"/>
                <w:bCs w:val="1"/>
                <w:color w:val="0D248E"/>
              </w:rPr>
              <w:t>PART I</w:t>
            </w: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0D248E"/>
              </w:rPr>
              <w:t>Business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4"/>
        </w:trPr>
        <w:tc>
          <w:tcPr>
            <w:tcW w:w="680" w:type="dxa"/>
            <w:vAlign w:val="bottom"/>
            <w:tcBorders>
              <w:top w:val="single" w:sz="8" w:color="0D248E"/>
            </w:tcBorders>
          </w:tcPr>
          <w:p>
            <w:pPr>
              <w:spacing w:after="0" w:line="224" w:lineRule="exact"/>
              <w:rPr>
                <w:sz w:val="20"/>
                <w:szCs w:val="20"/>
                <w:color w:val="auto"/>
              </w:rPr>
            </w:pPr>
            <w:r>
              <w:rPr>
                <w:rFonts w:ascii="Times New Roman" w:cs="Times New Roman" w:eastAsia="Times New Roman" w:hAnsi="Times New Roman"/>
                <w:sz w:val="20"/>
                <w:szCs w:val="20"/>
                <w:color w:val="auto"/>
              </w:rPr>
              <w:t>Item 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700" w:type="dxa"/>
            <w:vAlign w:val="bottom"/>
            <w:shd w:val="clear" w:color="auto" w:fill="0D24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line="20" w:lineRule="exact"/>
              <w:rPr>
                <w:sz w:val="1"/>
                <w:szCs w:val="1"/>
                <w:color w:val="auto"/>
              </w:rPr>
            </w:pPr>
          </w:p>
        </w:tc>
      </w:tr>
      <w:tr>
        <w:trPr>
          <w:trHeight w:val="224"/>
        </w:trPr>
        <w:tc>
          <w:tcPr>
            <w:tcW w:w="1020" w:type="dxa"/>
            <w:vAlign w:val="bottom"/>
            <w:gridSpan w:val="5"/>
            <w:vMerge w:val="continue"/>
          </w:tcPr>
          <w:p>
            <w:pPr>
              <w:spacing w:after="0"/>
              <w:rPr>
                <w:sz w:val="19"/>
                <w:szCs w:val="19"/>
                <w:color w:val="auto"/>
              </w:rPr>
            </w:pPr>
          </w:p>
        </w:tc>
        <w:tc>
          <w:tcPr>
            <w:tcW w:w="1000" w:type="dxa"/>
            <w:vAlign w:val="bottom"/>
            <w:tcBorders>
              <w:bottom w:val="single" w:sz="8" w:color="0D248E"/>
            </w:tcBorders>
            <w:gridSpan w:val="5"/>
          </w:tcPr>
          <w:p>
            <w:pPr>
              <w:spacing w:after="0" w:line="224" w:lineRule="exact"/>
              <w:rPr>
                <w:sz w:val="20"/>
                <w:szCs w:val="20"/>
                <w:color w:val="auto"/>
              </w:rPr>
            </w:pPr>
            <w:r>
              <w:rPr>
                <w:rFonts w:ascii="Times New Roman" w:cs="Times New Roman" w:eastAsia="Times New Roman" w:hAnsi="Times New Roman"/>
                <w:sz w:val="20"/>
                <w:szCs w:val="20"/>
                <w:color w:val="0D248E"/>
                <w:w w:val="97"/>
              </w:rPr>
              <w:t>Risk Factors</w:t>
            </w:r>
          </w:p>
        </w:tc>
        <w:tc>
          <w:tcPr>
            <w:tcW w:w="7340" w:type="dxa"/>
            <w:vAlign w:val="bottom"/>
            <w:gridSpan w:val="19"/>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1B.</w:t>
            </w:r>
          </w:p>
        </w:tc>
        <w:tc>
          <w:tcPr>
            <w:tcW w:w="2280" w:type="dxa"/>
            <w:vAlign w:val="bottom"/>
            <w:tcBorders>
              <w:bottom w:val="single" w:sz="8" w:color="0D248E"/>
            </w:tcBorders>
            <w:gridSpan w:val="12"/>
          </w:tcPr>
          <w:p>
            <w:pPr>
              <w:spacing w:after="0" w:line="224" w:lineRule="exact"/>
              <w:rPr>
                <w:sz w:val="20"/>
                <w:szCs w:val="20"/>
                <w:color w:val="auto"/>
              </w:rPr>
            </w:pPr>
            <w:r>
              <w:rPr>
                <w:rFonts w:ascii="Times New Roman" w:cs="Times New Roman" w:eastAsia="Times New Roman" w:hAnsi="Times New Roman"/>
                <w:sz w:val="20"/>
                <w:szCs w:val="20"/>
                <w:color w:val="0D248E"/>
                <w:w w:val="99"/>
              </w:rPr>
              <w:t>Unresolved Staff Comments</w:t>
            </w:r>
          </w:p>
        </w:tc>
        <w:tc>
          <w:tcPr>
            <w:tcW w:w="6060" w:type="dxa"/>
            <w:vAlign w:val="bottom"/>
            <w:gridSpan w:val="12"/>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1C.</w:t>
            </w:r>
          </w:p>
        </w:tc>
        <w:tc>
          <w:tcPr>
            <w:tcW w:w="1120" w:type="dxa"/>
            <w:vAlign w:val="bottom"/>
            <w:tcBorders>
              <w:bottom w:val="single" w:sz="8" w:color="0D248E"/>
            </w:tcBorders>
            <w:gridSpan w:val="6"/>
          </w:tcPr>
          <w:p>
            <w:pPr>
              <w:spacing w:after="0" w:line="224" w:lineRule="exact"/>
              <w:rPr>
                <w:sz w:val="20"/>
                <w:szCs w:val="20"/>
                <w:color w:val="auto"/>
              </w:rPr>
            </w:pPr>
            <w:r>
              <w:rPr>
                <w:rFonts w:ascii="Times New Roman" w:cs="Times New Roman" w:eastAsia="Times New Roman" w:hAnsi="Times New Roman"/>
                <w:sz w:val="20"/>
                <w:szCs w:val="20"/>
                <w:color w:val="0D248E"/>
                <w:w w:val="97"/>
              </w:rPr>
              <w:t>Cybersecurity</w:t>
            </w:r>
          </w:p>
        </w:tc>
        <w:tc>
          <w:tcPr>
            <w:tcW w:w="7220" w:type="dxa"/>
            <w:vAlign w:val="bottom"/>
            <w:gridSpan w:val="18"/>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2.</w:t>
            </w:r>
          </w:p>
        </w:tc>
        <w:tc>
          <w:tcPr>
            <w:tcW w:w="83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0D248E"/>
              </w:rPr>
              <w:t>Properties</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780" w:type="dxa"/>
            <w:vAlign w:val="bottom"/>
            <w:gridSpan w:val="2"/>
            <w:shd w:val="clear" w:color="auto" w:fill="0D248E"/>
          </w:tcPr>
          <w:p>
            <w:pPr>
              <w:spacing w:after="0" w:line="20" w:lineRule="exact"/>
              <w:rPr>
                <w:sz w:val="1"/>
                <w:szCs w:val="1"/>
                <w:color w:val="auto"/>
              </w:rPr>
            </w:pPr>
          </w:p>
        </w:tc>
        <w:tc>
          <w:tcPr>
            <w:tcW w:w="60" w:type="dxa"/>
            <w:vAlign w:val="bottom"/>
            <w:tcBorders>
              <w:left w:val="single" w:sz="8" w:color="0D248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line="20" w:lineRule="exact"/>
              <w:rPr>
                <w:sz w:val="1"/>
                <w:szCs w:val="1"/>
                <w:color w:val="auto"/>
              </w:rPr>
            </w:pPr>
          </w:p>
        </w:tc>
      </w:tr>
      <w:tr>
        <w:trPr>
          <w:trHeight w:val="224"/>
        </w:trPr>
        <w:tc>
          <w:tcPr>
            <w:tcW w:w="1020" w:type="dxa"/>
            <w:vAlign w:val="bottom"/>
            <w:gridSpan w:val="5"/>
            <w:vMerge w:val="continue"/>
          </w:tcPr>
          <w:p>
            <w:pPr>
              <w:spacing w:after="0"/>
              <w:rPr>
                <w:sz w:val="19"/>
                <w:szCs w:val="19"/>
                <w:color w:val="auto"/>
              </w:rPr>
            </w:pPr>
          </w:p>
        </w:tc>
        <w:tc>
          <w:tcPr>
            <w:tcW w:w="1480" w:type="dxa"/>
            <w:vAlign w:val="bottom"/>
            <w:tcBorders>
              <w:bottom w:val="single" w:sz="8" w:color="0D248E"/>
            </w:tcBorders>
            <w:gridSpan w:val="8"/>
          </w:tcPr>
          <w:p>
            <w:pPr>
              <w:spacing w:after="0" w:line="224" w:lineRule="exact"/>
              <w:rPr>
                <w:sz w:val="20"/>
                <w:szCs w:val="20"/>
                <w:color w:val="auto"/>
              </w:rPr>
            </w:pPr>
            <w:r>
              <w:rPr>
                <w:rFonts w:ascii="Times New Roman" w:cs="Times New Roman" w:eastAsia="Times New Roman" w:hAnsi="Times New Roman"/>
                <w:sz w:val="20"/>
                <w:szCs w:val="20"/>
                <w:color w:val="0D248E"/>
                <w:w w:val="98"/>
              </w:rPr>
              <w:t>Legal Proceedings</w:t>
            </w:r>
          </w:p>
        </w:tc>
        <w:tc>
          <w:tcPr>
            <w:tcW w:w="6860" w:type="dxa"/>
            <w:vAlign w:val="bottom"/>
            <w:gridSpan w:val="16"/>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4.</w:t>
            </w:r>
          </w:p>
        </w:tc>
        <w:tc>
          <w:tcPr>
            <w:tcW w:w="83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0D248E"/>
              </w:rPr>
              <w:t>Mine Safety Disclosures</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D248E"/>
              </w:rPr>
              <w:t>PART II</w:t>
            </w:r>
          </w:p>
        </w:tc>
        <w:tc>
          <w:tcPr>
            <w:tcW w:w="70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60" w:type="dxa"/>
            <w:vAlign w:val="bottom"/>
            <w:tcBorders>
              <w:left w:val="single" w:sz="8" w:color="0D248E"/>
            </w:tcBorders>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020" w:type="dxa"/>
            <w:vAlign w:val="bottom"/>
            <w:gridSpan w:val="5"/>
            <w:vMerge w:val="continue"/>
          </w:tcPr>
          <w:p>
            <w:pPr>
              <w:spacing w:after="0"/>
              <w:rPr>
                <w:sz w:val="24"/>
                <w:szCs w:val="24"/>
                <w:color w:val="auto"/>
              </w:rPr>
            </w:pP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0D248E"/>
              </w:rPr>
              <w:t>Market for Registrant’s Common Equity, Related Stockholder Matters and Issuer Purchases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24"/>
        </w:trPr>
        <w:tc>
          <w:tcPr>
            <w:tcW w:w="760" w:type="dxa"/>
            <w:vAlign w:val="bottom"/>
            <w:tcBorders>
              <w:top w:val="single" w:sz="8" w:color="0D248E"/>
            </w:tcBorders>
            <w:gridSpan w:val="2"/>
          </w:tcPr>
          <w:p>
            <w:pPr>
              <w:spacing w:after="0" w:line="224" w:lineRule="exact"/>
              <w:rPr>
                <w:sz w:val="20"/>
                <w:szCs w:val="20"/>
                <w:color w:val="auto"/>
              </w:rPr>
            </w:pPr>
            <w:r>
              <w:rPr>
                <w:rFonts w:ascii="Times New Roman" w:cs="Times New Roman" w:eastAsia="Times New Roman" w:hAnsi="Times New Roman"/>
                <w:sz w:val="20"/>
                <w:szCs w:val="20"/>
                <w:color w:val="auto"/>
              </w:rPr>
              <w:t>Item 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8160" w:type="dxa"/>
            <w:vAlign w:val="bottom"/>
            <w:tcBorders>
              <w:top w:val="single" w:sz="8" w:color="0D248E"/>
            </w:tcBorders>
            <w:gridSpan w:val="23"/>
          </w:tcPr>
          <w:p>
            <w:pPr>
              <w:spacing w:after="0" w:line="210" w:lineRule="exact"/>
              <w:rPr>
                <w:sz w:val="20"/>
                <w:szCs w:val="20"/>
                <w:color w:val="auto"/>
              </w:rPr>
            </w:pPr>
            <w:r>
              <w:rPr>
                <w:rFonts w:ascii="Times New Roman" w:cs="Times New Roman" w:eastAsia="Times New Roman" w:hAnsi="Times New Roman"/>
                <w:sz w:val="20"/>
                <w:szCs w:val="20"/>
                <w:color w:val="0D248E"/>
              </w:rPr>
              <w:t>Securities</w:t>
            </w: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0"/>
        </w:trPr>
        <w:tc>
          <w:tcPr>
            <w:tcW w:w="1020" w:type="dxa"/>
            <w:vAlign w:val="bottom"/>
            <w:gridSpan w:val="5"/>
            <w:vMerge w:val="continue"/>
          </w:tcPr>
          <w:p>
            <w:pPr>
              <w:spacing w:after="0" w:line="20" w:lineRule="exact"/>
              <w:rPr>
                <w:sz w:val="1"/>
                <w:szCs w:val="1"/>
                <w:color w:val="auto"/>
              </w:rPr>
            </w:pPr>
          </w:p>
        </w:tc>
        <w:tc>
          <w:tcPr>
            <w:tcW w:w="780" w:type="dxa"/>
            <w:vAlign w:val="bottom"/>
            <w:gridSpan w:val="2"/>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gridSpan w:val="5"/>
            <w:vMerge w:val="continue"/>
          </w:tcPr>
          <w:p>
            <w:pPr>
              <w:spacing w:after="0"/>
              <w:rPr>
                <w:sz w:val="19"/>
                <w:szCs w:val="19"/>
                <w:color w:val="auto"/>
              </w:rPr>
            </w:pPr>
          </w:p>
        </w:tc>
        <w:tc>
          <w:tcPr>
            <w:tcW w:w="880" w:type="dxa"/>
            <w:vAlign w:val="bottom"/>
            <w:tcBorders>
              <w:bottom w:val="single" w:sz="8" w:color="0D248E"/>
            </w:tcBorders>
            <w:gridSpan w:val="4"/>
          </w:tcPr>
          <w:p>
            <w:pPr>
              <w:spacing w:after="0" w:line="224" w:lineRule="exact"/>
              <w:rPr>
                <w:sz w:val="20"/>
                <w:szCs w:val="20"/>
                <w:color w:val="auto"/>
              </w:rPr>
            </w:pPr>
            <w:r>
              <w:rPr>
                <w:rFonts w:ascii="Times New Roman" w:cs="Times New Roman" w:eastAsia="Times New Roman" w:hAnsi="Times New Roman"/>
                <w:sz w:val="20"/>
                <w:szCs w:val="20"/>
                <w:color w:val="0D248E"/>
                <w:w w:val="97"/>
              </w:rPr>
              <w:t>[Reserved]</w:t>
            </w:r>
          </w:p>
        </w:tc>
        <w:tc>
          <w:tcPr>
            <w:tcW w:w="7460" w:type="dxa"/>
            <w:vAlign w:val="bottom"/>
            <w:gridSpan w:val="20"/>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7.</w:t>
            </w:r>
          </w:p>
        </w:tc>
        <w:tc>
          <w:tcPr>
            <w:tcW w:w="83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0D248E"/>
              </w:rPr>
              <w:t>Management’s Discussion and Analysis of Financial Condition and Results of Operations</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7A.</w:t>
            </w:r>
          </w:p>
        </w:tc>
        <w:tc>
          <w:tcPr>
            <w:tcW w:w="4840" w:type="dxa"/>
            <w:vAlign w:val="bottom"/>
            <w:tcBorders>
              <w:top w:val="single" w:sz="8" w:color="0D248E"/>
              <w:bottom w:val="single" w:sz="8" w:color="0D248E"/>
            </w:tcBorders>
            <w:gridSpan w:val="17"/>
          </w:tcPr>
          <w:p>
            <w:pPr>
              <w:spacing w:after="0" w:line="224" w:lineRule="exact"/>
              <w:rPr>
                <w:sz w:val="20"/>
                <w:szCs w:val="20"/>
                <w:color w:val="auto"/>
              </w:rPr>
            </w:pPr>
            <w:r>
              <w:rPr>
                <w:rFonts w:ascii="Times New Roman" w:cs="Times New Roman" w:eastAsia="Times New Roman" w:hAnsi="Times New Roman"/>
                <w:sz w:val="20"/>
                <w:szCs w:val="20"/>
                <w:color w:val="0D248E"/>
                <w:w w:val="99"/>
              </w:rPr>
              <w:t>Quantitative and Qualitative Disclosures About Market Risk</w:t>
            </w:r>
          </w:p>
        </w:tc>
        <w:tc>
          <w:tcPr>
            <w:tcW w:w="2340" w:type="dxa"/>
            <w:vAlign w:val="bottom"/>
            <w:tcBorders>
              <w:top w:val="single" w:sz="8" w:color="0D248E"/>
            </w:tcBorders>
            <w:gridSpan w:val="3"/>
          </w:tcPr>
          <w:p>
            <w:pPr>
              <w:spacing w:after="0"/>
              <w:rPr>
                <w:sz w:val="19"/>
                <w:szCs w:val="19"/>
                <w:color w:val="auto"/>
              </w:rPr>
            </w:pPr>
          </w:p>
        </w:tc>
        <w:tc>
          <w:tcPr>
            <w:tcW w:w="1160" w:type="dxa"/>
            <w:vAlign w:val="bottom"/>
            <w:gridSpan w:val="4"/>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8.</w:t>
            </w:r>
          </w:p>
        </w:tc>
        <w:tc>
          <w:tcPr>
            <w:tcW w:w="3700" w:type="dxa"/>
            <w:vAlign w:val="bottom"/>
            <w:tcBorders>
              <w:bottom w:val="single" w:sz="8" w:color="0D248E"/>
            </w:tcBorders>
            <w:gridSpan w:val="15"/>
          </w:tcPr>
          <w:p>
            <w:pPr>
              <w:spacing w:after="0" w:line="224" w:lineRule="exact"/>
              <w:rPr>
                <w:sz w:val="20"/>
                <w:szCs w:val="20"/>
                <w:color w:val="auto"/>
              </w:rPr>
            </w:pPr>
            <w:r>
              <w:rPr>
                <w:rFonts w:ascii="Times New Roman" w:cs="Times New Roman" w:eastAsia="Times New Roman" w:hAnsi="Times New Roman"/>
                <w:sz w:val="20"/>
                <w:szCs w:val="20"/>
                <w:color w:val="0D248E"/>
                <w:w w:val="99"/>
              </w:rPr>
              <w:t>Financial Statements and Supplementary Data</w:t>
            </w:r>
          </w:p>
        </w:tc>
        <w:tc>
          <w:tcPr>
            <w:tcW w:w="4640" w:type="dxa"/>
            <w:vAlign w:val="bottom"/>
            <w:gridSpan w:val="9"/>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9.</w:t>
            </w:r>
          </w:p>
        </w:tc>
        <w:tc>
          <w:tcPr>
            <w:tcW w:w="7240" w:type="dxa"/>
            <w:vAlign w:val="bottom"/>
            <w:tcBorders>
              <w:bottom w:val="single" w:sz="8" w:color="0D248E"/>
            </w:tcBorders>
            <w:gridSpan w:val="21"/>
          </w:tcPr>
          <w:p>
            <w:pPr>
              <w:spacing w:after="0" w:line="224" w:lineRule="exact"/>
              <w:rPr>
                <w:sz w:val="20"/>
                <w:szCs w:val="20"/>
                <w:color w:val="auto"/>
              </w:rPr>
            </w:pPr>
            <w:r>
              <w:rPr>
                <w:rFonts w:ascii="Times New Roman" w:cs="Times New Roman" w:eastAsia="Times New Roman" w:hAnsi="Times New Roman"/>
                <w:sz w:val="20"/>
                <w:szCs w:val="20"/>
                <w:color w:val="0D248E"/>
                <w:w w:val="99"/>
              </w:rPr>
              <w:t>Changes in and Disagreements With Accountants on Accounting and Financial Disclosure</w:t>
            </w:r>
          </w:p>
        </w:tc>
        <w:tc>
          <w:tcPr>
            <w:tcW w:w="1100" w:type="dxa"/>
            <w:vAlign w:val="bottom"/>
            <w:gridSpan w:val="3"/>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9A.</w:t>
            </w:r>
          </w:p>
        </w:tc>
        <w:tc>
          <w:tcPr>
            <w:tcW w:w="83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0D248E"/>
              </w:rPr>
              <w:t>Controls and Procedures</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9B.</w:t>
            </w:r>
          </w:p>
        </w:tc>
        <w:tc>
          <w:tcPr>
            <w:tcW w:w="1460" w:type="dxa"/>
            <w:vAlign w:val="bottom"/>
            <w:tcBorders>
              <w:top w:val="single" w:sz="8" w:color="0D248E"/>
              <w:bottom w:val="single" w:sz="8" w:color="0D248E"/>
            </w:tcBorders>
            <w:gridSpan w:val="7"/>
          </w:tcPr>
          <w:p>
            <w:pPr>
              <w:spacing w:after="0" w:line="224" w:lineRule="exact"/>
              <w:rPr>
                <w:sz w:val="20"/>
                <w:szCs w:val="20"/>
                <w:color w:val="auto"/>
              </w:rPr>
            </w:pPr>
            <w:r>
              <w:rPr>
                <w:rFonts w:ascii="Times New Roman" w:cs="Times New Roman" w:eastAsia="Times New Roman" w:hAnsi="Times New Roman"/>
                <w:sz w:val="20"/>
                <w:szCs w:val="20"/>
                <w:color w:val="0D248E"/>
                <w:w w:val="98"/>
              </w:rPr>
              <w:t>Other Information</w:t>
            </w:r>
          </w:p>
        </w:tc>
        <w:tc>
          <w:tcPr>
            <w:tcW w:w="500" w:type="dxa"/>
            <w:vAlign w:val="bottom"/>
            <w:tcBorders>
              <w:top w:val="single" w:sz="8" w:color="0D248E"/>
            </w:tcBorders>
            <w:gridSpan w:val="3"/>
          </w:tcPr>
          <w:p>
            <w:pPr>
              <w:spacing w:after="0"/>
              <w:rPr>
                <w:sz w:val="19"/>
                <w:szCs w:val="19"/>
                <w:color w:val="auto"/>
              </w:rPr>
            </w:pPr>
          </w:p>
        </w:tc>
        <w:tc>
          <w:tcPr>
            <w:tcW w:w="6380" w:type="dxa"/>
            <w:vAlign w:val="bottom"/>
            <w:gridSpan w:val="14"/>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9C.</w:t>
            </w:r>
          </w:p>
        </w:tc>
        <w:tc>
          <w:tcPr>
            <w:tcW w:w="5440" w:type="dxa"/>
            <w:vAlign w:val="bottom"/>
            <w:tcBorders>
              <w:bottom w:val="single" w:sz="8" w:color="0D248E"/>
            </w:tcBorders>
            <w:gridSpan w:val="18"/>
          </w:tcPr>
          <w:p>
            <w:pPr>
              <w:spacing w:after="0" w:line="224" w:lineRule="exact"/>
              <w:rPr>
                <w:sz w:val="20"/>
                <w:szCs w:val="20"/>
                <w:color w:val="auto"/>
              </w:rPr>
            </w:pPr>
            <w:r>
              <w:rPr>
                <w:rFonts w:ascii="Times New Roman" w:cs="Times New Roman" w:eastAsia="Times New Roman" w:hAnsi="Times New Roman"/>
                <w:sz w:val="20"/>
                <w:szCs w:val="20"/>
                <w:color w:val="0D248E"/>
                <w:w w:val="99"/>
              </w:rPr>
              <w:t>Disclosure Regarding Foreign Jurisdictions that Prevent Inspections</w:t>
            </w:r>
          </w:p>
        </w:tc>
        <w:tc>
          <w:tcPr>
            <w:tcW w:w="2900" w:type="dxa"/>
            <w:vAlign w:val="bottom"/>
            <w:gridSpan w:val="6"/>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468"/>
        </w:trPr>
        <w:tc>
          <w:tcPr>
            <w:tcW w:w="10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D248E"/>
              </w:rPr>
              <w:t>PART III</w:t>
            </w: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0D248E"/>
              </w:rPr>
              <w:t>Directors, Executive Officers and Corporate Governance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24"/>
        </w:trPr>
        <w:tc>
          <w:tcPr>
            <w:tcW w:w="840" w:type="dxa"/>
            <w:vAlign w:val="bottom"/>
            <w:tcBorders>
              <w:top w:val="single" w:sz="8" w:color="0D248E"/>
            </w:tcBorders>
            <w:gridSpan w:val="4"/>
          </w:tcPr>
          <w:p>
            <w:pPr>
              <w:spacing w:after="0" w:line="224" w:lineRule="exact"/>
              <w:rPr>
                <w:sz w:val="20"/>
                <w:szCs w:val="20"/>
                <w:color w:val="auto"/>
              </w:rPr>
            </w:pPr>
            <w:r>
              <w:rPr>
                <w:rFonts w:ascii="Times New Roman" w:cs="Times New Roman" w:eastAsia="Times New Roman" w:hAnsi="Times New Roman"/>
                <w:sz w:val="20"/>
                <w:szCs w:val="20"/>
                <w:color w:val="auto"/>
              </w:rPr>
              <w:t>Item 10.</w:t>
            </w: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11.</w:t>
            </w:r>
          </w:p>
        </w:tc>
        <w:tc>
          <w:tcPr>
            <w:tcW w:w="2000" w:type="dxa"/>
            <w:vAlign w:val="bottom"/>
            <w:tcBorders>
              <w:top w:val="single" w:sz="8" w:color="0D248E"/>
              <w:bottom w:val="single" w:sz="8" w:color="0D248E"/>
            </w:tcBorders>
            <w:gridSpan w:val="11"/>
          </w:tcPr>
          <w:p>
            <w:pPr>
              <w:spacing w:after="0" w:line="224" w:lineRule="exact"/>
              <w:rPr>
                <w:sz w:val="20"/>
                <w:szCs w:val="20"/>
                <w:color w:val="auto"/>
              </w:rPr>
            </w:pPr>
            <w:r>
              <w:rPr>
                <w:rFonts w:ascii="Times New Roman" w:cs="Times New Roman" w:eastAsia="Times New Roman" w:hAnsi="Times New Roman"/>
                <w:sz w:val="20"/>
                <w:szCs w:val="20"/>
                <w:color w:val="0D248E"/>
                <w:w w:val="98"/>
              </w:rPr>
              <w:t>Executive Compensation</w:t>
            </w:r>
          </w:p>
        </w:tc>
        <w:tc>
          <w:tcPr>
            <w:tcW w:w="2540" w:type="dxa"/>
            <w:vAlign w:val="bottom"/>
            <w:tcBorders>
              <w:top w:val="single" w:sz="8" w:color="0D248E"/>
            </w:tcBorders>
            <w:gridSpan w:val="5"/>
          </w:tcPr>
          <w:p>
            <w:pPr>
              <w:spacing w:after="0"/>
              <w:rPr>
                <w:sz w:val="19"/>
                <w:szCs w:val="19"/>
                <w:color w:val="auto"/>
              </w:rPr>
            </w:pPr>
          </w:p>
        </w:tc>
        <w:tc>
          <w:tcPr>
            <w:tcW w:w="3800" w:type="dxa"/>
            <w:vAlign w:val="bottom"/>
            <w:gridSpan w:val="8"/>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12.</w:t>
            </w:r>
          </w:p>
        </w:tc>
        <w:tc>
          <w:tcPr>
            <w:tcW w:w="8100" w:type="dxa"/>
            <w:vAlign w:val="bottom"/>
            <w:tcBorders>
              <w:bottom w:val="single" w:sz="8" w:color="0D248E"/>
            </w:tcBorders>
            <w:gridSpan w:val="22"/>
          </w:tcPr>
          <w:p>
            <w:pPr>
              <w:spacing w:after="0" w:line="224" w:lineRule="exact"/>
              <w:rPr>
                <w:sz w:val="20"/>
                <w:szCs w:val="20"/>
                <w:color w:val="auto"/>
              </w:rPr>
            </w:pPr>
            <w:r>
              <w:rPr>
                <w:rFonts w:ascii="Times New Roman" w:cs="Times New Roman" w:eastAsia="Times New Roman" w:hAnsi="Times New Roman"/>
                <w:sz w:val="20"/>
                <w:szCs w:val="20"/>
                <w:color w:val="0D248E"/>
                <w:w w:val="99"/>
              </w:rPr>
              <w:t>Security Ownership of Certain Beneficial Owners and Management and Related Stockholder Matters</w:t>
            </w:r>
          </w:p>
        </w:tc>
        <w:tc>
          <w:tcPr>
            <w:tcW w:w="240" w:type="dxa"/>
            <w:vAlign w:val="bottom"/>
            <w:gridSpan w:val="2"/>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13.</w:t>
            </w:r>
          </w:p>
        </w:tc>
        <w:tc>
          <w:tcPr>
            <w:tcW w:w="6060" w:type="dxa"/>
            <w:vAlign w:val="bottom"/>
            <w:tcBorders>
              <w:bottom w:val="single" w:sz="8" w:color="0D248E"/>
            </w:tcBorders>
            <w:gridSpan w:val="19"/>
          </w:tcPr>
          <w:p>
            <w:pPr>
              <w:spacing w:after="0" w:line="224" w:lineRule="exact"/>
              <w:rPr>
                <w:sz w:val="20"/>
                <w:szCs w:val="20"/>
                <w:color w:val="auto"/>
              </w:rPr>
            </w:pPr>
            <w:r>
              <w:rPr>
                <w:rFonts w:ascii="Times New Roman" w:cs="Times New Roman" w:eastAsia="Times New Roman" w:hAnsi="Times New Roman"/>
                <w:sz w:val="20"/>
                <w:szCs w:val="20"/>
                <w:color w:val="0D248E"/>
                <w:w w:val="99"/>
              </w:rPr>
              <w:t>Certain Relationships and Related Transactions, and Director Independence</w:t>
            </w:r>
          </w:p>
        </w:tc>
        <w:tc>
          <w:tcPr>
            <w:tcW w:w="2280" w:type="dxa"/>
            <w:vAlign w:val="bottom"/>
            <w:gridSpan w:val="5"/>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14.</w:t>
            </w:r>
          </w:p>
        </w:tc>
        <w:tc>
          <w:tcPr>
            <w:tcW w:w="83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0D248E"/>
              </w:rPr>
              <w:t>Principal Accounting Fees and Services</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D248E"/>
              </w:rPr>
              <w:t>PART IV</w:t>
            </w:r>
          </w:p>
        </w:tc>
        <w:tc>
          <w:tcPr>
            <w:tcW w:w="70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60" w:type="dxa"/>
            <w:vAlign w:val="bottom"/>
            <w:tcBorders>
              <w:left w:val="single" w:sz="8" w:color="0D248E"/>
            </w:tcBorders>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280" w:type="dxa"/>
            <w:vAlign w:val="bottom"/>
            <w:shd w:val="clear" w:color="auto" w:fill="0D248E"/>
          </w:tcPr>
          <w:p>
            <w:pPr>
              <w:spacing w:after="0" w:line="20" w:lineRule="exact"/>
              <w:rPr>
                <w:sz w:val="1"/>
                <w:szCs w:val="1"/>
                <w:color w:val="auto"/>
              </w:rPr>
            </w:pPr>
          </w:p>
        </w:tc>
        <w:tc>
          <w:tcPr>
            <w:tcW w:w="900" w:type="dxa"/>
            <w:vAlign w:val="bottom"/>
            <w:shd w:val="clear" w:color="auto" w:fill="0D24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020" w:type="dxa"/>
            <w:vAlign w:val="bottom"/>
            <w:gridSpan w:val="5"/>
            <w:vMerge w:val="continue"/>
          </w:tcPr>
          <w:p>
            <w:pPr>
              <w:spacing w:after="0"/>
              <w:rPr>
                <w:sz w:val="24"/>
                <w:szCs w:val="24"/>
                <w:color w:val="auto"/>
              </w:rPr>
            </w:pPr>
          </w:p>
        </w:tc>
        <w:tc>
          <w:tcPr>
            <w:tcW w:w="322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D248E"/>
                <w:w w:val="99"/>
              </w:rPr>
              <w:t>Exhibits, Financial Statement Schedules</w:t>
            </w:r>
          </w:p>
        </w:tc>
        <w:tc>
          <w:tcPr>
            <w:tcW w:w="5120" w:type="dxa"/>
            <w:vAlign w:val="bottom"/>
            <w:gridSpan w:val="10"/>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29"/>
        </w:trPr>
        <w:tc>
          <w:tcPr>
            <w:tcW w:w="820" w:type="dxa"/>
            <w:vAlign w:val="bottom"/>
            <w:tcBorders>
              <w:top w:val="single" w:sz="8" w:color="0D248E"/>
            </w:tcBorders>
            <w:gridSpan w:val="3"/>
          </w:tcPr>
          <w:p>
            <w:pPr>
              <w:spacing w:after="0" w:line="224" w:lineRule="exact"/>
              <w:rPr>
                <w:sz w:val="20"/>
                <w:szCs w:val="20"/>
                <w:color w:val="auto"/>
              </w:rPr>
            </w:pPr>
            <w:r>
              <w:rPr>
                <w:rFonts w:ascii="Times New Roman" w:cs="Times New Roman" w:eastAsia="Times New Roman" w:hAnsi="Times New Roman"/>
                <w:sz w:val="20"/>
                <w:szCs w:val="20"/>
                <w:color w:val="auto"/>
              </w:rPr>
              <w:t>Item 15.</w:t>
            </w:r>
          </w:p>
        </w:tc>
        <w:tc>
          <w:tcPr>
            <w:tcW w:w="200" w:type="dxa"/>
            <w:vAlign w:val="bottom"/>
            <w:gridSpan w:val="2"/>
          </w:tcPr>
          <w:p>
            <w:pPr>
              <w:spacing w:after="0"/>
              <w:rPr>
                <w:sz w:val="19"/>
                <w:szCs w:val="19"/>
                <w:color w:val="auto"/>
              </w:rPr>
            </w:pPr>
          </w:p>
        </w:tc>
        <w:tc>
          <w:tcPr>
            <w:tcW w:w="3220" w:type="dxa"/>
            <w:vAlign w:val="bottom"/>
            <w:tcBorders>
              <w:bottom w:val="single" w:sz="8" w:color="0D248E"/>
            </w:tcBorders>
            <w:gridSpan w:val="14"/>
            <w:vMerge w:val="continue"/>
          </w:tcPr>
          <w:p>
            <w:pPr>
              <w:spacing w:after="0"/>
              <w:rPr>
                <w:sz w:val="19"/>
                <w:szCs w:val="19"/>
                <w:color w:val="auto"/>
              </w:rPr>
            </w:pPr>
          </w:p>
        </w:tc>
        <w:tc>
          <w:tcPr>
            <w:tcW w:w="5120" w:type="dxa"/>
            <w:vAlign w:val="bottom"/>
            <w:gridSpan w:val="10"/>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Item 16.</w:t>
            </w:r>
          </w:p>
        </w:tc>
        <w:tc>
          <w:tcPr>
            <w:tcW w:w="1720" w:type="dxa"/>
            <w:vAlign w:val="bottom"/>
            <w:tcBorders>
              <w:bottom w:val="single" w:sz="8" w:color="0D248E"/>
            </w:tcBorders>
            <w:gridSpan w:val="9"/>
          </w:tcPr>
          <w:p>
            <w:pPr>
              <w:spacing w:after="0" w:line="224" w:lineRule="exact"/>
              <w:rPr>
                <w:sz w:val="20"/>
                <w:szCs w:val="20"/>
                <w:color w:val="auto"/>
              </w:rPr>
            </w:pPr>
            <w:r>
              <w:rPr>
                <w:rFonts w:ascii="Times New Roman" w:cs="Times New Roman" w:eastAsia="Times New Roman" w:hAnsi="Times New Roman"/>
                <w:sz w:val="20"/>
                <w:szCs w:val="20"/>
                <w:color w:val="0D248E"/>
                <w:w w:val="98"/>
              </w:rPr>
              <w:t>Form 10-K Summary</w:t>
            </w:r>
          </w:p>
        </w:tc>
        <w:tc>
          <w:tcPr>
            <w:tcW w:w="6620" w:type="dxa"/>
            <w:vAlign w:val="bottom"/>
            <w:gridSpan w:val="15"/>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0D248E"/>
            </w:tcBorders>
            <w:gridSpan w:val="3"/>
          </w:tcPr>
          <w:p>
            <w:pPr>
              <w:spacing w:after="0" w:line="224" w:lineRule="exact"/>
              <w:rPr>
                <w:sz w:val="20"/>
                <w:szCs w:val="20"/>
                <w:color w:val="auto"/>
              </w:rPr>
            </w:pPr>
            <w:r>
              <w:rPr>
                <w:rFonts w:ascii="Times New Roman" w:cs="Times New Roman" w:eastAsia="Times New Roman" w:hAnsi="Times New Roman"/>
                <w:sz w:val="20"/>
                <w:szCs w:val="20"/>
                <w:color w:val="0D248E"/>
                <w:w w:val="97"/>
              </w:rPr>
              <w:t>Signatures</w:t>
            </w:r>
          </w:p>
        </w:tc>
        <w:tc>
          <w:tcPr>
            <w:tcW w:w="7500" w:type="dxa"/>
            <w:vAlign w:val="bottom"/>
            <w:gridSpan w:val="21"/>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bl>
    <w:p>
      <w:pPr>
        <w:sectPr>
          <w:pgSz w:w="12240" w:h="15840" w:orient="portrait"/>
          <w:cols w:equalWidth="0" w:num="1">
            <w:col w:w="10080"/>
          </w:cols>
          <w:pgMar w:left="1080" w:top="1056" w:right="1080" w:bottom="1440" w:gutter="0" w:footer="0" w:header="0"/>
        </w:sectPr>
      </w:pPr>
    </w:p>
    <w:bookmarkStart w:id="10" w:name="page11"/>
    <w:bookmarkEnd w:id="10"/>
    <w:p>
      <w:pPr>
        <w:ind w:firstLine="490"/>
        <w:spacing w:after="0" w:line="255" w:lineRule="auto"/>
        <w:rPr>
          <w:sz w:val="20"/>
          <w:szCs w:val="20"/>
          <w:color w:val="auto"/>
        </w:rPr>
      </w:pPr>
      <w:r>
        <w:rPr>
          <w:rFonts w:ascii="Times New Roman" w:cs="Times New Roman" w:eastAsia="Times New Roman" w:hAnsi="Times New Roman"/>
          <w:sz w:val="20"/>
          <w:szCs w:val="20"/>
          <w:b w:val="1"/>
          <w:bCs w:val="1"/>
          <w:color w:val="auto"/>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78"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77"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auto"/>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88"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Unless otherwise indicated, information contained in this Form 10-K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233" w:lineRule="exact"/>
        <w:rPr>
          <w:sz w:val="20"/>
          <w:szCs w:val="20"/>
          <w:color w:val="auto"/>
        </w:rPr>
      </w:pPr>
    </w:p>
    <w:p>
      <w:pPr>
        <w:ind w:firstLine="490"/>
        <w:spacing w:after="0" w:line="285" w:lineRule="auto"/>
        <w:rPr>
          <w:sz w:val="20"/>
          <w:szCs w:val="20"/>
          <w:color w:val="auto"/>
        </w:rPr>
      </w:pPr>
      <w:r>
        <w:rPr>
          <w:rFonts w:ascii="Times New Roman" w:cs="Times New Roman" w:eastAsia="Times New Roman" w:hAnsi="Times New Roman"/>
          <w:sz w:val="20"/>
          <w:szCs w:val="20"/>
          <w:color w:val="auto"/>
        </w:rPr>
        <w:t>Our principal operating brands are RCP Advisors 2, LLC (“RCP 2”) and RCP Advisors 3, LLC (“RCP 3”, and collectively with RCP 2, “RCP Advisors”), TrueBridge Capital Partners LLC (“TrueBridge”), Five Points Capital, Inc. (“Five Points”), Reynolda Equity Partners ("Reynolda"), Enhanced Capital Group, LLC (“ECG” or “Enhanced”), Bonaccord Capital Advisors LLC ("Bonaccord"), Hark Capital Advisors, LLC ("Hark"), P10 Advisors, LLC (“P10 Advisors”), and Westech Investment Advisors LLC (“WTI”).</w:t>
      </w:r>
    </w:p>
    <w:p>
      <w:pPr>
        <w:spacing w:after="0" w:line="274" w:lineRule="exact"/>
        <w:rPr>
          <w:sz w:val="20"/>
          <w:szCs w:val="20"/>
          <w:color w:val="auto"/>
        </w:rPr>
      </w:pPr>
    </w:p>
    <w:p>
      <w:pPr>
        <w:jc w:val="both"/>
        <w:ind w:right="100" w:firstLine="490"/>
        <w:spacing w:after="0" w:line="262" w:lineRule="auto"/>
        <w:rPr>
          <w:sz w:val="20"/>
          <w:szCs w:val="20"/>
          <w:color w:val="auto"/>
        </w:rPr>
      </w:pPr>
      <w:r>
        <w:rPr>
          <w:rFonts w:ascii="Times New Roman" w:cs="Times New Roman" w:eastAsia="Times New Roman" w:hAnsi="Times New Roman"/>
          <w:sz w:val="20"/>
          <w:szCs w:val="20"/>
          <w:color w:val="auto"/>
        </w:rPr>
        <w:t>Unless otherwise indicated or the context otherwise requires, all references in this Form 10-K to “we, ”“us,” “our,” the “Company,” “P10”and similar terms refer to P10, Inc. and its subsidiaries and, to the extent applicable, its predecessors. As used in this Form 10-K, (i) the term “P10 Holdings” refers to P10 Holdings, Inc. for all periods and (ii) the term “P10, Inc.” refers solely to P10, Inc., a Delaware corporation, and not to any of its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41" w:lineRule="exact"/>
        <w:rPr>
          <w:sz w:val="20"/>
          <w:szCs w:val="20"/>
          <w:color w:val="auto"/>
        </w:rPr>
      </w:pPr>
    </w:p>
    <w:p>
      <w:pPr>
        <w:ind w:right="180" w:firstLine="490"/>
        <w:spacing w:after="0" w:line="283" w:lineRule="auto"/>
        <w:rPr>
          <w:sz w:val="20"/>
          <w:szCs w:val="20"/>
          <w:color w:val="auto"/>
        </w:rPr>
      </w:pPr>
      <w:r>
        <w:rPr>
          <w:rFonts w:ascii="Times New Roman" w:cs="Times New Roman" w:eastAsia="Times New Roman" w:hAnsi="Times New Roman"/>
          <w:sz w:val="20"/>
          <w:szCs w:val="20"/>
          <w:color w:val="auto"/>
        </w:rPr>
        <w:t>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 performance and on our current plans, estimates and expectations. The inclusion of this or any forward-looking information should not be regarded as a representation by us or any other person that the future plans, estimates or expectations</w:t>
      </w:r>
    </w:p>
    <w:p>
      <w:pPr>
        <w:sectPr>
          <w:pgSz w:w="12240" w:h="15840" w:orient="portrait"/>
          <w:cols w:equalWidth="0" w:num="1">
            <w:col w:w="10080"/>
          </w:cols>
          <w:pgMar w:left="1080" w:top="1056" w:right="1080" w:bottom="175"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56" w:right="1080" w:bottom="175" w:gutter="0" w:footer="0" w:header="0"/>
          <w:type w:val="continuous"/>
        </w:sectPr>
      </w:pPr>
    </w:p>
    <w:bookmarkStart w:id="11" w:name="page12"/>
    <w:bookmarkEnd w:id="11"/>
    <w:p>
      <w:pPr>
        <w:ind w:right="120"/>
        <w:spacing w:after="0" w:line="279" w:lineRule="auto"/>
        <w:rPr>
          <w:sz w:val="20"/>
          <w:szCs w:val="20"/>
          <w:color w:val="auto"/>
        </w:rPr>
      </w:pPr>
      <w:r>
        <w:rPr>
          <w:rFonts w:ascii="Times New Roman" w:cs="Times New Roman" w:eastAsia="Times New Roman" w:hAnsi="Times New Roman"/>
          <w:sz w:val="20"/>
          <w:szCs w:val="20"/>
          <w:color w:val="auto"/>
        </w:rPr>
        <w:t>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8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83" w:lineRule="exact"/>
        <w:rPr>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 in any given period is dependent on the number of fee-paying clients in such period.</w:t>
      </w:r>
    </w:p>
    <w:p>
      <w:pPr>
        <w:spacing w:after="0" w:line="13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Poor performance of our specialized investment vehicles can adversely affect our ability to raise capital for future specialized investment vehicles.</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business depends on the identification and availability of suitable investment opportunities for our investors and competition for such access is intense.</w:t>
      </w:r>
    </w:p>
    <w:p>
      <w:pPr>
        <w:spacing w:after="0" w:line="64"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deal appropriately with conflicts of interest could damage our reputation; some of our obligations may conflict with interests of our stockholders.</w:t>
      </w:r>
    </w:p>
    <w:p>
      <w:pPr>
        <w:spacing w:after="0" w:line="64"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retain, and develop human capital in a highly competitive talent market is critical to our success.</w:t>
      </w:r>
    </w:p>
    <w:p>
      <w:pPr>
        <w:spacing w:after="0" w:line="64" w:lineRule="exact"/>
        <w:rPr>
          <w:rFonts w:ascii="Arial" w:cs="Arial" w:eastAsia="Arial" w:hAnsi="Arial"/>
          <w:sz w:val="20"/>
          <w:szCs w:val="20"/>
          <w:color w:val="auto"/>
        </w:rPr>
      </w:pPr>
    </w:p>
    <w:p>
      <w:pPr>
        <w:jc w:val="both"/>
        <w:ind w:left="980" w:right="400" w:hanging="491"/>
        <w:spacing w:after="0" w:line="304" w:lineRule="auto"/>
        <w:tabs>
          <w:tab w:leader="none" w:pos="98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We intend to expand our business and may enter into new lines of business or geographic markets including through acquisitions, such as Qualitas, which may result in additional risks and uncertainties in our business.</w:t>
      </w:r>
    </w:p>
    <w:p>
      <w:pPr>
        <w:spacing w:after="0" w:line="39" w:lineRule="exact"/>
        <w:rPr>
          <w:rFonts w:ascii="Arial" w:cs="Arial" w:eastAsia="Arial" w:hAnsi="Arial"/>
          <w:sz w:val="19"/>
          <w:szCs w:val="19"/>
          <w:color w:val="auto"/>
        </w:rPr>
      </w:pPr>
    </w:p>
    <w:p>
      <w:pPr>
        <w:ind w:left="980" w:right="10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due diligence process that we undertake in connection with investments may not reveal all facts that may be relevant in connection with an investment.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Terms of our indebtedness may adversely affect our ability to operate our business.</w:t>
      </w:r>
    </w:p>
    <w:p>
      <w:pPr>
        <w:spacing w:after="0" w:line="133" w:lineRule="exact"/>
        <w:rPr>
          <w:rFonts w:ascii="Arial" w:cs="Arial" w:eastAsia="Arial" w:hAnsi="Arial"/>
          <w:sz w:val="20"/>
          <w:szCs w:val="20"/>
          <w:color w:val="auto"/>
        </w:rPr>
      </w:pPr>
    </w:p>
    <w:p>
      <w:pPr>
        <w:ind w:left="980" w:right="140" w:hanging="491"/>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Defaults by investors in our specialized funds could adversely affect that funds' operations.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comply with investment guidelines set by our investors could result in damage awards against us and/or a reduction in Fee Paying Assets Under Management ("FPAUM").</w:t>
      </w:r>
    </w:p>
    <w:p>
      <w:pPr>
        <w:spacing w:after="0" w:line="64"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Misconduct by our employees, advisors or third-party service providers could impair our ability to attract and retain investors and subject us to legal liability and reputational harm.</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Valuation methodologies for certain assets in our specialized investment vehicles can be significantly subjective, and the values of assets established pursuant to such methodologies may never be realized.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investment management activities may involve investments in relatively illiquid assets.</w:t>
      </w:r>
    </w:p>
    <w:p>
      <w:pPr>
        <w:spacing w:after="0" w:line="133"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specialized investment vehicles may make undiversified investments and investments in companies that we do not control. These investments may rank junior to investments made by other investors.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our desired fee structure.</w:t>
      </w:r>
    </w:p>
    <w:p>
      <w:pPr>
        <w:sectPr>
          <w:pgSz w:w="12240" w:h="15840" w:orient="portrait"/>
          <w:cols w:equalWidth="0" w:num="1">
            <w:col w:w="10080"/>
          </w:cols>
          <w:pgMar w:left="1080" w:top="1060" w:right="1080" w:bottom="175"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60" w:right="1080" w:bottom="175" w:gutter="0" w:footer="0" w:header="0"/>
          <w:type w:val="continuous"/>
        </w:sectPr>
      </w:pPr>
    </w:p>
    <w:bookmarkStart w:id="12" w:name="page13"/>
    <w:bookmarkEnd w:id="12"/>
    <w:p>
      <w:pPr>
        <w:ind w:left="620" w:right="6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our ability to collect and analyze data regarding our investors’ investments could adversely affect our business.</w:t>
      </w:r>
    </w:p>
    <w:p>
      <w:pPr>
        <w:spacing w:after="0" w:line="64" w:lineRule="exact"/>
        <w:rPr>
          <w:rFonts w:ascii="Arial" w:cs="Arial" w:eastAsia="Arial" w:hAnsi="Arial"/>
          <w:sz w:val="20"/>
          <w:szCs w:val="20"/>
          <w:color w:val="auto"/>
        </w:rPr>
      </w:pPr>
    </w:p>
    <w:p>
      <w:pPr>
        <w:ind w:left="620" w:right="140" w:hanging="491"/>
        <w:spacing w:after="0" w:line="258"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w:t>
      </w:r>
    </w:p>
    <w:p>
      <w:pPr>
        <w:spacing w:after="0" w:line="81" w:lineRule="exact"/>
        <w:rPr>
          <w:rFonts w:ascii="Arial" w:cs="Arial" w:eastAsia="Arial" w:hAnsi="Arial"/>
          <w:sz w:val="20"/>
          <w:szCs w:val="20"/>
          <w:color w:val="auto"/>
        </w:rPr>
      </w:pPr>
    </w:p>
    <w:p>
      <w:pPr>
        <w:ind w:left="620" w:right="76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damage to our professional reputation and legal liability if our services are not regarded as satisfactory and any failure to maintain, protect, and enhance our brand would have an adverse impact.</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in using custodians, counterparties, administrators and other agents.</w:t>
      </w:r>
    </w:p>
    <w:p>
      <w:pPr>
        <w:spacing w:after="0" w:line="133" w:lineRule="exact"/>
        <w:rPr>
          <w:rFonts w:ascii="Arial" w:cs="Arial" w:eastAsia="Arial" w:hAnsi="Arial"/>
          <w:sz w:val="20"/>
          <w:szCs w:val="20"/>
          <w:color w:val="auto"/>
        </w:rPr>
      </w:pPr>
    </w:p>
    <w:p>
      <w:pPr>
        <w:ind w:left="620" w:right="32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fully utilize our net operating loss (“NOL”) and other tax carryforwards or the Internal Revenue Service ("IRS") could challenge our use of the NOL.</w:t>
      </w:r>
    </w:p>
    <w:p>
      <w:pPr>
        <w:spacing w:after="0" w:line="64" w:lineRule="exact"/>
        <w:rPr>
          <w:rFonts w:ascii="Arial" w:cs="Arial" w:eastAsia="Arial" w:hAnsi="Arial"/>
          <w:sz w:val="20"/>
          <w:szCs w:val="20"/>
          <w:color w:val="auto"/>
        </w:rPr>
      </w:pPr>
    </w:p>
    <w:p>
      <w:pPr>
        <w:ind w:left="620" w:right="58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collectability of revenue under the Advisory Services Agreement is dependent on future cash flows of Enhanced PC.</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investment management and investment advisory business is intensely competitive and highly regulated.</w:t>
      </w:r>
    </w:p>
    <w:p>
      <w:pPr>
        <w:spacing w:after="0" w:line="133" w:lineRule="exact"/>
        <w:rPr>
          <w:rFonts w:ascii="Arial" w:cs="Arial" w:eastAsia="Arial" w:hAnsi="Arial"/>
          <w:sz w:val="20"/>
          <w:szCs w:val="20"/>
          <w:color w:val="auto"/>
        </w:rPr>
      </w:pPr>
    </w:p>
    <w:p>
      <w:pPr>
        <w:ind w:left="620" w:right="16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Emerging technologies, such as artificial intelligence, may disrupt the market and adversely affect our ability to compete.</w:t>
      </w:r>
    </w:p>
    <w:p>
      <w:pPr>
        <w:spacing w:after="0" w:line="64" w:lineRule="exact"/>
        <w:rPr>
          <w:rFonts w:ascii="Arial" w:cs="Arial" w:eastAsia="Arial" w:hAnsi="Arial"/>
          <w:sz w:val="20"/>
          <w:szCs w:val="20"/>
          <w:color w:val="auto"/>
        </w:rPr>
      </w:pPr>
    </w:p>
    <w:p>
      <w:pPr>
        <w:ind w:left="620" w:right="54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 market conditions can adversely affect our business by reducing the market value of the assets we manage or causing our investors to reduce their investments in private markets.</w:t>
      </w:r>
    </w:p>
    <w:p>
      <w:pPr>
        <w:spacing w:after="0" w:line="64" w:lineRule="exact"/>
        <w:rPr>
          <w:rFonts w:ascii="Arial" w:cs="Arial" w:eastAsia="Arial" w:hAnsi="Arial"/>
          <w:sz w:val="20"/>
          <w:szCs w:val="20"/>
          <w:color w:val="auto"/>
        </w:rPr>
      </w:pPr>
    </w:p>
    <w:p>
      <w:pPr>
        <w:ind w:left="620" w:right="76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stringent privacy laws, information security laws, regulations, policies and contractual obligations.</w:t>
      </w:r>
    </w:p>
    <w:p>
      <w:pPr>
        <w:spacing w:after="0" w:line="64" w:lineRule="exact"/>
        <w:rPr>
          <w:rFonts w:ascii="Arial" w:cs="Arial" w:eastAsia="Arial" w:hAnsi="Arial"/>
          <w:sz w:val="20"/>
          <w:szCs w:val="20"/>
          <w:color w:val="auto"/>
        </w:rPr>
      </w:pPr>
    </w:p>
    <w:p>
      <w:pPr>
        <w:ind w:left="620" w:right="28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political and economic conditions can adversely affect our business and investments made by our specialized investment vehicles and advisory accounts.</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 change of control of our company could result in an assignment of our investment advisory agreements.</w:t>
      </w:r>
    </w:p>
    <w:p>
      <w:pPr>
        <w:spacing w:after="0" w:line="133" w:lineRule="exact"/>
        <w:rPr>
          <w:rFonts w:ascii="Arial" w:cs="Arial" w:eastAsia="Arial" w:hAnsi="Arial"/>
          <w:sz w:val="20"/>
          <w:szCs w:val="20"/>
          <w:color w:val="auto"/>
        </w:rPr>
      </w:pPr>
    </w:p>
    <w:p>
      <w:pPr>
        <w:ind w:left="620" w:right="2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If we were deemed an “investment company” under the Investment Company Act of 1940, applicable restrictions could make it impractical for us to continue our business as contemplated.</w:t>
      </w:r>
    </w:p>
    <w:p>
      <w:pPr>
        <w:spacing w:after="0" w:line="64" w:lineRule="exact"/>
        <w:rPr>
          <w:rFonts w:ascii="Arial" w:cs="Arial" w:eastAsia="Arial" w:hAnsi="Arial"/>
          <w:sz w:val="20"/>
          <w:szCs w:val="20"/>
          <w:color w:val="auto"/>
        </w:rPr>
      </w:pPr>
    </w:p>
    <w:p>
      <w:pPr>
        <w:ind w:left="620" w:right="780" w:hanging="491"/>
        <w:spacing w:after="0" w:line="276"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Fulfilling our public company financial reporting and other regulatory obligations is expensive and time consuming.</w:t>
      </w:r>
    </w:p>
    <w:p>
      <w:pPr>
        <w:spacing w:after="0" w:line="64" w:lineRule="exact"/>
        <w:rPr>
          <w:rFonts w:ascii="Arial" w:cs="Arial" w:eastAsia="Arial" w:hAnsi="Arial"/>
          <w:sz w:val="20"/>
          <w:szCs w:val="20"/>
          <w:color w:val="auto"/>
        </w:rPr>
      </w:pPr>
    </w:p>
    <w:p>
      <w:pPr>
        <w:ind w:left="620" w:right="20" w:hanging="491"/>
        <w:spacing w:after="0" w:line="258"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a “controlled company” within the meaning of the NYSE listing standards and an emerging growth company. As a result, we qualify for, but do not intend to rely on, exemptions from certain corporate governance requirements and reduced reporting and disclosure requirements applicable to emerging growth companies.</w:t>
      </w:r>
    </w:p>
    <w:p>
      <w:pPr>
        <w:spacing w:after="0" w:line="81" w:lineRule="exact"/>
        <w:rPr>
          <w:rFonts w:ascii="Arial" w:cs="Arial" w:eastAsia="Arial" w:hAnsi="Arial"/>
          <w:sz w:val="20"/>
          <w:szCs w:val="20"/>
          <w:color w:val="auto"/>
        </w:rPr>
      </w:pPr>
    </w:p>
    <w:p>
      <w:pPr>
        <w:ind w:left="620" w:hanging="491"/>
        <w:spacing w:after="0" w:line="258" w:lineRule="auto"/>
        <w:tabs>
          <w:tab w:leader="none" w:pos="6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ectPr>
          <w:pgSz w:w="12240" w:h="15840" w:orient="portrait"/>
          <w:cols w:equalWidth="0" w:num="1">
            <w:col w:w="9720"/>
          </w:cols>
          <w:pgMar w:left="144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440" w:top="1074" w:right="1080" w:bottom="175"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124"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20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2024, we had FPAUM of $25.7 billion.</w:t>
      </w:r>
    </w:p>
    <w:p>
      <w:pPr>
        <w:spacing w:after="0" w:line="19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Bonaccord Capital, and P10 Advisors, our </w:t>
      </w:r>
      <w:r>
        <w:rPr>
          <w:rFonts w:ascii="Times New Roman" w:cs="Times New Roman" w:eastAsia="Times New Roman" w:hAnsi="Times New Roman"/>
          <w:sz w:val="20"/>
          <w:szCs w:val="20"/>
          <w:i w:val="1"/>
          <w:iCs w:val="1"/>
          <w:color w:val="auto"/>
        </w:rPr>
        <w:t>Private Equity</w:t>
      </w:r>
      <w:r>
        <w:rPr>
          <w:rFonts w:ascii="Times New Roman" w:cs="Times New Roman" w:eastAsia="Times New Roman" w:hAnsi="Times New Roman"/>
          <w:sz w:val="20"/>
          <w:szCs w:val="20"/>
          <w:color w:val="auto"/>
        </w:rPr>
        <w:t xml:space="preserve"> solutions; TrueBridge, our </w:t>
      </w:r>
      <w:r>
        <w:rPr>
          <w:rFonts w:ascii="Times New Roman" w:cs="Times New Roman" w:eastAsia="Times New Roman" w:hAnsi="Times New Roman"/>
          <w:sz w:val="20"/>
          <w:szCs w:val="20"/>
          <w:i w:val="1"/>
          <w:iCs w:val="1"/>
          <w:color w:val="auto"/>
        </w:rPr>
        <w:t>Venture Capital</w:t>
      </w:r>
      <w:r>
        <w:rPr>
          <w:rFonts w:ascii="Times New Roman" w:cs="Times New Roman" w:eastAsia="Times New Roman" w:hAnsi="Times New Roman"/>
          <w:sz w:val="20"/>
          <w:szCs w:val="20"/>
          <w:color w:val="auto"/>
        </w:rPr>
        <w:t xml:space="preserve"> solution; and Enhanced, Five Points, Hark Capital, and WTI, our </w:t>
      </w:r>
      <w:r>
        <w:rPr>
          <w:rFonts w:ascii="Times New Roman" w:cs="Times New Roman" w:eastAsia="Times New Roman" w:hAnsi="Times New Roman"/>
          <w:sz w:val="20"/>
          <w:szCs w:val="20"/>
          <w:i w:val="1"/>
          <w:iCs w:val="1"/>
          <w:color w:val="auto"/>
        </w:rPr>
        <w:t>Private Credit</w:t>
      </w:r>
      <w:r>
        <w:rPr>
          <w:rFonts w:ascii="Times New Roman" w:cs="Times New Roman" w:eastAsia="Times New Roman" w:hAnsi="Times New Roman"/>
          <w:sz w:val="20"/>
          <w:szCs w:val="20"/>
          <w:color w:val="auto"/>
        </w:rPr>
        <w:t xml:space="preserve"> solutions (of which Five Points also offers certain private equity solutions). In addition, in September 2024, we entered into an agreement to acquire Qualitas Equity Funds SGEIC, S.A. ("Qualitas"). We believe adding new asset class solutions or new geographies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We expect the Qualitas acquisition to close in the first quarter of 2025, subject to customary closing conditions and regulatory approvals, and continue to pursue additional acquisitions and other growth opportunities.</w:t>
      </w:r>
    </w:p>
    <w:p>
      <w:pPr>
        <w:spacing w:after="0" w:line="203"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68"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197" w:lineRule="exact"/>
        <w:rPr>
          <w:sz w:val="20"/>
          <w:szCs w:val="20"/>
          <w:color w:val="auto"/>
        </w:rPr>
      </w:pPr>
    </w:p>
    <w:p>
      <w:pPr>
        <w:ind w:right="140" w:firstLine="490"/>
        <w:spacing w:after="0" w:line="287" w:lineRule="auto"/>
        <w:rPr>
          <w:sz w:val="20"/>
          <w:szCs w:val="20"/>
          <w:color w:val="auto"/>
        </w:rPr>
      </w:pPr>
      <w:r>
        <w:rPr>
          <w:rFonts w:ascii="Times New Roman" w:cs="Times New Roman" w:eastAsia="Times New Roman" w:hAnsi="Times New Roman"/>
          <w:sz w:val="20"/>
          <w:szCs w:val="20"/>
          <w:color w:val="auto"/>
        </w:rPr>
        <w:t>As of December 31, 2024, we had 267 employees, including 112 investment professionals across 11 offices located in 9 states.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56" w:right="1080" w:bottom="175" w:gutter="0" w:footer="0" w:header="0"/>
          <w:type w:val="continuous"/>
        </w:sectPr>
      </w:pPr>
    </w:p>
    <w:bookmarkStart w:id="14" w:name="page15"/>
    <w:bookmarkEnd w:id="14"/>
    <w:p>
      <w:pPr>
        <w:ind w:firstLine="490"/>
        <w:spacing w:after="0" w:line="268" w:lineRule="auto"/>
        <w:rPr>
          <w:sz w:val="20"/>
          <w:szCs w:val="20"/>
          <w:color w:val="auto"/>
        </w:rPr>
      </w:pPr>
      <w:r>
        <w:rPr>
          <w:rFonts w:ascii="Times New Roman" w:cs="Times New Roman" w:eastAsia="Times New Roman" w:hAnsi="Times New Roman"/>
          <w:sz w:val="20"/>
          <w:szCs w:val="20"/>
          <w:color w:val="auto"/>
        </w:rPr>
        <w:t>We managed $25.7 billion in FPAUM from which we earn management and advisory fees as of December 31, 2024. In addition, our FPAUM has grown at a compound annual growth rate ("CAGR") of 19% from December 31, 2020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156845</wp:posOffset>
            </wp:positionV>
            <wp:extent cx="3360420" cy="3429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extLst>
                    </a:blip>
                    <a:srcRect/>
                    <a:stretch>
                      <a:fillRect/>
                    </a:stretch>
                  </pic:blipFill>
                  <pic:spPr bwMode="auto">
                    <a:xfrm>
                      <a:off x="0" y="0"/>
                      <a:ext cx="336042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hanging="180"/>
        <w:spacing w:after="0"/>
        <w:tabs>
          <w:tab w:leader="none" w:pos="180" w:val="left"/>
        </w:tabs>
        <w:numPr>
          <w:ilvl w:val="0"/>
          <w:numId w:val="8"/>
        </w:numPr>
        <w:rPr>
          <w:rFonts w:ascii="Arial" w:cs="Arial" w:eastAsia="Arial" w:hAnsi="Arial"/>
          <w:sz w:val="16"/>
          <w:szCs w:val="16"/>
          <w:color w:val="4A454E"/>
        </w:rPr>
      </w:pPr>
      <w:r>
        <w:rPr>
          <w:rFonts w:ascii="Arial" w:cs="Arial" w:eastAsia="Arial" w:hAnsi="Arial"/>
          <w:sz w:val="16"/>
          <w:szCs w:val="16"/>
          <w:color w:val="4A454E"/>
        </w:rPr>
        <w:t>Q4'24 FPAUM growth is the FPAUM growth from Q4'23 to Q4'24.</w:t>
      </w:r>
    </w:p>
    <w:p>
      <w:pPr>
        <w:spacing w:after="0" w:line="59" w:lineRule="exact"/>
        <w:rPr>
          <w:rFonts w:ascii="Arial" w:cs="Arial" w:eastAsia="Arial" w:hAnsi="Arial"/>
          <w:sz w:val="16"/>
          <w:szCs w:val="16"/>
          <w:color w:val="4A454E"/>
        </w:rPr>
      </w:pPr>
    </w:p>
    <w:p>
      <w:pPr>
        <w:ind w:left="180" w:hanging="180"/>
        <w:spacing w:after="0"/>
        <w:tabs>
          <w:tab w:leader="none" w:pos="180" w:val="left"/>
        </w:tabs>
        <w:numPr>
          <w:ilvl w:val="0"/>
          <w:numId w:val="8"/>
        </w:numPr>
        <w:rPr>
          <w:rFonts w:ascii="Arial" w:cs="Arial" w:eastAsia="Arial" w:hAnsi="Arial"/>
          <w:sz w:val="16"/>
          <w:szCs w:val="16"/>
          <w:color w:val="4A454E"/>
        </w:rPr>
      </w:pPr>
      <w:r>
        <w:rPr>
          <w:rFonts w:ascii="Arial" w:cs="Arial" w:eastAsia="Arial" w:hAnsi="Arial"/>
          <w:sz w:val="16"/>
          <w:szCs w:val="16"/>
          <w:color w:val="4A454E"/>
        </w:rPr>
        <w:t>Private Equity Solutions ("PES")</w:t>
      </w:r>
    </w:p>
    <w:p>
      <w:pPr>
        <w:spacing w:after="0" w:line="59" w:lineRule="exact"/>
        <w:rPr>
          <w:rFonts w:ascii="Arial" w:cs="Arial" w:eastAsia="Arial" w:hAnsi="Arial"/>
          <w:sz w:val="16"/>
          <w:szCs w:val="16"/>
          <w:color w:val="4A454E"/>
        </w:rPr>
      </w:pPr>
    </w:p>
    <w:p>
      <w:pPr>
        <w:ind w:left="180" w:hanging="180"/>
        <w:spacing w:after="0"/>
        <w:tabs>
          <w:tab w:leader="none" w:pos="180" w:val="left"/>
        </w:tabs>
        <w:numPr>
          <w:ilvl w:val="0"/>
          <w:numId w:val="8"/>
        </w:numPr>
        <w:rPr>
          <w:rFonts w:ascii="Arial" w:cs="Arial" w:eastAsia="Arial" w:hAnsi="Arial"/>
          <w:sz w:val="16"/>
          <w:szCs w:val="16"/>
          <w:color w:val="4A454E"/>
        </w:rPr>
      </w:pPr>
      <w:r>
        <w:rPr>
          <w:rFonts w:ascii="Arial" w:cs="Arial" w:eastAsia="Arial" w:hAnsi="Arial"/>
          <w:sz w:val="16"/>
          <w:szCs w:val="16"/>
          <w:color w:val="4A454E"/>
        </w:rPr>
        <w:t>Private Credit Solutions ("PCS")</w:t>
      </w:r>
    </w:p>
    <w:p>
      <w:pPr>
        <w:spacing w:after="0" w:line="59" w:lineRule="exact"/>
        <w:rPr>
          <w:rFonts w:ascii="Arial" w:cs="Arial" w:eastAsia="Arial" w:hAnsi="Arial"/>
          <w:sz w:val="16"/>
          <w:szCs w:val="16"/>
          <w:color w:val="4A454E"/>
        </w:rPr>
      </w:pPr>
    </w:p>
    <w:p>
      <w:pPr>
        <w:ind w:left="180" w:hanging="180"/>
        <w:spacing w:after="0"/>
        <w:tabs>
          <w:tab w:leader="none" w:pos="180" w:val="left"/>
        </w:tabs>
        <w:numPr>
          <w:ilvl w:val="0"/>
          <w:numId w:val="8"/>
        </w:numPr>
        <w:rPr>
          <w:rFonts w:ascii="Arial" w:cs="Arial" w:eastAsia="Arial" w:hAnsi="Arial"/>
          <w:sz w:val="16"/>
          <w:szCs w:val="16"/>
          <w:color w:val="4A454E"/>
        </w:rPr>
      </w:pPr>
      <w:r>
        <w:rPr>
          <w:rFonts w:ascii="Arial" w:cs="Arial" w:eastAsia="Arial" w:hAnsi="Arial"/>
          <w:sz w:val="16"/>
          <w:szCs w:val="16"/>
          <w:color w:val="4A454E"/>
        </w:rPr>
        <w:t>Venture Capital Solutions ("VCS")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124" w:lineRule="exact"/>
        <w:rPr>
          <w:sz w:val="20"/>
          <w:szCs w:val="20"/>
          <w:color w:val="auto"/>
        </w:rPr>
      </w:pPr>
    </w:p>
    <w:p>
      <w:pPr>
        <w:ind w:right="520" w:firstLine="490"/>
        <w:spacing w:after="0" w:line="287" w:lineRule="auto"/>
        <w:rPr>
          <w:sz w:val="20"/>
          <w:szCs w:val="20"/>
          <w:color w:val="auto"/>
        </w:rPr>
      </w:pPr>
      <w:r>
        <w:rPr>
          <w:rFonts w:ascii="Times New Roman" w:cs="Times New Roman" w:eastAsia="Times New Roman" w:hAnsi="Times New Roman"/>
          <w:sz w:val="20"/>
          <w:szCs w:val="20"/>
          <w:color w:val="auto"/>
        </w:rPr>
        <w:t>We operate and invest across private markets through a number of specialized investment solutions. We offer the following solutions to our investors: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Equity Solutions "PES"</w:t>
      </w:r>
    </w:p>
    <w:p>
      <w:pPr>
        <w:spacing w:after="0" w:line="15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Under PES, we make direct and indirect investments in middle and lower- middle market private equity primarily across North America and Europe. PES also makes minority equity investments in a diversified portfolio of mid-sized managers across private equity, private credit, real estate and real assets. The PES investment team, which is comprised of 42 investment professionals with an average of 26+ years of experience, has deep and long-standing investor and fund manager relationships in the middle and lower-middle market which it has cultivated over the past 20 years, including over 2,280+ investors, 285+ fund managers, 560+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6,000 investment firms, 11,100 funds, 49,000 individual transactions, 32,600 private companies and 458,000 financial metrics. As of December 31, 2024, PES managed $14.1 billion of FPAUM.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Venture Capital Solutions "VCS"</w:t>
      </w:r>
    </w:p>
    <w:p>
      <w:pPr>
        <w:spacing w:after="0" w:line="124" w:lineRule="exact"/>
        <w:rPr>
          <w:sz w:val="20"/>
          <w:szCs w:val="20"/>
          <w:color w:val="auto"/>
        </w:rPr>
      </w:pPr>
    </w:p>
    <w:p>
      <w:pPr>
        <w:ind w:right="80" w:firstLine="490"/>
        <w:spacing w:after="0" w:line="287" w:lineRule="auto"/>
        <w:rPr>
          <w:sz w:val="20"/>
          <w:szCs w:val="20"/>
          <w:color w:val="auto"/>
        </w:rPr>
      </w:pPr>
      <w:r>
        <w:rPr>
          <w:rFonts w:ascii="Times New Roman" w:cs="Times New Roman" w:eastAsia="Times New Roman" w:hAnsi="Times New Roman"/>
          <w:sz w:val="20"/>
          <w:szCs w:val="20"/>
          <w:color w:val="auto"/>
        </w:rPr>
        <w:t>Under VCS, we make investments in venture capital funds across North America and specialize in targeting high-performing, access-constrained opportunities. The VCS investment team, which is comprised of 16 investment professionals</w:t>
      </w:r>
    </w:p>
    <w:p>
      <w:pPr>
        <w:sectPr>
          <w:pgSz w:w="12240" w:h="15840" w:orient="portrait"/>
          <w:cols w:equalWidth="0" w:num="1">
            <w:col w:w="10060"/>
          </w:cols>
          <w:pgMar w:left="1080" w:top="1060" w:right="1100" w:bottom="175"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60"/>
          </w:cols>
          <w:pgMar w:left="1080" w:top="1060" w:right="1100" w:bottom="175" w:gutter="0" w:footer="0" w:header="0"/>
          <w:type w:val="continuous"/>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20"/>
          <w:szCs w:val="20"/>
          <w:color w:val="auto"/>
        </w:rPr>
        <w:t>with an average of 24+ years of experience, has deep and long-standing investor and fund manager relationships in the venture market which it has cultivated over the past 14+ years, including over 1,980+ investors, 110+ fund managers, 100+ direct investments, 415+ private market funds and 14,700+ portfolio companies. We have 20 active investment vehicles. VCS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2024, VCS managed $6.4 billion of FPAUM.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Credit Solutions "PCS"</w:t>
      </w:r>
    </w:p>
    <w:p>
      <w:pPr>
        <w:spacing w:after="0" w:line="124" w:lineRule="exact"/>
        <w:rPr>
          <w:sz w:val="20"/>
          <w:szCs w:val="20"/>
          <w:color w:val="auto"/>
        </w:rPr>
      </w:pPr>
    </w:p>
    <w:p>
      <w:pPr>
        <w:ind w:firstLine="540"/>
        <w:spacing w:after="0" w:line="242" w:lineRule="auto"/>
        <w:rPr>
          <w:sz w:val="20"/>
          <w:szCs w:val="20"/>
          <w:color w:val="auto"/>
        </w:rPr>
      </w:pPr>
      <w:r>
        <w:rPr>
          <w:rFonts w:ascii="Times New Roman" w:cs="Times New Roman" w:eastAsia="Times New Roman" w:hAnsi="Times New Roman"/>
          <w:sz w:val="20"/>
          <w:szCs w:val="20"/>
          <w:color w:val="auto"/>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54 investment professionals with an average of 25+ years of experience, has deep and long-standing relationships in the private credit market which it has cultivated over the past 22 years, including 440+ investors across 49 active investment vehicles and 1,800+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630 credit opportunities annually. We currently maintain 80+ active sponsor relationships and have 125+ platform investments. Within PCS, the Company has investments that target renewable energy development and historic building renovation projects, as well as provide capital to small businesses that are woman or minority owned or operated in underserved communities. These investments are differentiated in both the breadth of impact areas served, the type of capital deployed and the duration of the impact investing track record. From the impact investing inception in 1999 through December 31, 2024, inclusive of proprietary assets and assets managed by affiliates, the Company has raised a total of $6.4 billion. Of the total AUM, impact assets represent $4.2 billion invested in over 1,000 projects and businesses across 40 states, Washington DC, and Puerto Rico and does not include investments made by non-impact affiliates. Investments in clean energy have generated an estimate of over 2,900 GWh of renewable energy from inception to December 31, 2024. As of December 31, 2024, PCS managed approximately $5.2 billion of FPAUM.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Vehicles</w:t>
      </w:r>
    </w:p>
    <w:p>
      <w:pPr>
        <w:spacing w:after="0" w:line="124"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auto"/>
        </w:rPr>
        <w:t>We have a flexible business model whereby our investors engage us across multiple specialized private market solutions through different specialized investment vehicles. Our vehicles have traditional, stable fee structures that generate performance fees, which are generally not accrued to P10 due to our structure. P10’s revenue associated with the funds are from the management fees while employees of P10 receive the vast majority of performance fees directly from the vehicles.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60" w:right="1080" w:bottom="175" w:gutter="0" w:footer="0" w:header="0"/>
          <w:type w:val="continuous"/>
        </w:sectPr>
      </w:pPr>
    </w:p>
    <w:bookmarkStart w:id="16" w:name="page17"/>
    <w:bookmarkEnd w:id="16"/>
    <w:p>
      <w:pPr>
        <w:spacing w:after="0" w:line="277" w:lineRule="auto"/>
        <w:rPr>
          <w:sz w:val="20"/>
          <w:szCs w:val="20"/>
          <w:color w:val="auto"/>
        </w:rPr>
      </w:pPr>
      <w:r>
        <w:rPr>
          <w:rFonts w:ascii="Times New Roman" w:cs="Times New Roman" w:eastAsia="Times New Roman" w:hAnsi="Times New Roman"/>
          <w:sz w:val="20"/>
          <w:szCs w:val="20"/>
          <w:color w:val="auto"/>
        </w:rPr>
        <w:t>Our average annual fee rates remain stable at approximately 1% of average fee paying assets under management. Fees for our funds are often structured such that they step down, or decrease, over the life of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94615</wp:posOffset>
            </wp:positionV>
            <wp:extent cx="462915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extLst>
                    </a:blip>
                    <a:srcRect/>
                    <a:stretch>
                      <a:fillRect/>
                    </a:stretch>
                  </pic:blipFill>
                  <pic:spPr bwMode="auto">
                    <a:xfrm>
                      <a:off x="0" y="0"/>
                      <a:ext cx="4629150" cy="502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hanging="180"/>
        <w:spacing w:after="0"/>
        <w:tabs>
          <w:tab w:leader="none" w:pos="180" w:val="left"/>
        </w:tabs>
        <w:numPr>
          <w:ilvl w:val="0"/>
          <w:numId w:val="9"/>
        </w:numPr>
        <w:rPr>
          <w:rFonts w:ascii="Arial" w:cs="Arial" w:eastAsia="Arial" w:hAnsi="Arial"/>
          <w:sz w:val="16"/>
          <w:szCs w:val="16"/>
          <w:color w:val="4A454E"/>
        </w:rPr>
      </w:pPr>
      <w:r>
        <w:rPr>
          <w:rFonts w:ascii="Arial" w:cs="Arial" w:eastAsia="Arial" w:hAnsi="Arial"/>
          <w:sz w:val="16"/>
          <w:szCs w:val="16"/>
          <w:color w:val="4A454E"/>
        </w:rPr>
        <w:t>The average fee rates shown in the graph are calculated as Management and advisory fees divided by average FPAUM.</w:t>
      </w:r>
    </w:p>
    <w:p>
      <w:pPr>
        <w:spacing w:after="0" w:line="119" w:lineRule="exact"/>
        <w:rPr>
          <w:rFonts w:ascii="Arial" w:cs="Arial" w:eastAsia="Arial" w:hAnsi="Arial"/>
          <w:sz w:val="16"/>
          <w:szCs w:val="16"/>
          <w:color w:val="4A454E"/>
        </w:rPr>
      </w:pPr>
    </w:p>
    <w:p>
      <w:pPr>
        <w:jc w:val="both"/>
        <w:ind w:right="180"/>
        <w:spacing w:after="0" w:line="254" w:lineRule="auto"/>
        <w:tabs>
          <w:tab w:leader="none" w:pos="178" w:val="left"/>
        </w:tabs>
        <w:numPr>
          <w:ilvl w:val="0"/>
          <w:numId w:val="9"/>
        </w:numPr>
        <w:rPr>
          <w:rFonts w:ascii="Arial" w:cs="Arial" w:eastAsia="Arial" w:hAnsi="Arial"/>
          <w:sz w:val="16"/>
          <w:szCs w:val="16"/>
          <w:color w:val="4A454E"/>
        </w:rPr>
      </w:pPr>
      <w:r>
        <w:rPr>
          <w:rFonts w:ascii="Arial" w:cs="Arial" w:eastAsia="Arial" w:hAnsi="Arial"/>
          <w:sz w:val="16"/>
          <w:szCs w:val="16"/>
          <w:color w:val="4A454E"/>
        </w:rPr>
        <w:t>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60"/>
          </w:cols>
          <w:pgMar w:left="1080" w:top="1060" w:right="1100" w:bottom="175" w:gutter="0" w:footer="0" w:header="0"/>
          <w:type w:val="continuous"/>
        </w:sectPr>
      </w:pPr>
    </w:p>
    <w:bookmarkStart w:id="17" w:name="page18"/>
    <w:bookmarkEnd w:id="17"/>
    <w:p>
      <w:pPr>
        <w:ind w:left="500"/>
        <w:spacing w:after="0"/>
        <w:rPr>
          <w:sz w:val="20"/>
          <w:szCs w:val="20"/>
          <w:color w:val="auto"/>
        </w:rPr>
      </w:pPr>
      <w:r>
        <w:rPr>
          <w:rFonts w:ascii="Times New Roman" w:cs="Times New Roman" w:eastAsia="Times New Roman" w:hAnsi="Times New Roman"/>
          <w:sz w:val="20"/>
          <w:szCs w:val="20"/>
          <w:color w:val="auto"/>
        </w:rPr>
        <w:t>We offer the following vehicles for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145415</wp:posOffset>
            </wp:positionV>
            <wp:extent cx="5600700" cy="289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extLst>
                    </a:blip>
                    <a:srcRect/>
                    <a:stretch>
                      <a:fillRect/>
                    </a:stretch>
                  </pic:blipFill>
                  <pic:spPr bwMode="auto">
                    <a:xfrm>
                      <a:off x="0" y="0"/>
                      <a:ext cx="5600700"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Primary Investment Funds</w:t>
      </w:r>
    </w:p>
    <w:p>
      <w:pPr>
        <w:spacing w:after="0" w:line="124"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$13.9 billion of our FPAUM as of December 31,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 and Co-Investment Funds</w:t>
      </w:r>
    </w:p>
    <w:p>
      <w:pPr>
        <w:spacing w:after="0" w:line="124"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and private credit solutions. Our direct investing platform comprises approximately $10.2 billion of our FPAUM as of December 31,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Secondaries</w:t>
      </w:r>
    </w:p>
    <w:p>
      <w:pPr>
        <w:spacing w:after="0" w:line="124"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Secondaries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Our secondary funds comprise approximately $1.6 billion of our FPAUM as of December 31, 2024.</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60"/>
          </w:cols>
          <w:pgMar w:left="1080" w:top="1060" w:right="1100" w:bottom="175"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Investors</w:t>
      </w:r>
    </w:p>
    <w:p>
      <w:pPr>
        <w:spacing w:after="0" w:line="124" w:lineRule="exact"/>
        <w:rPr>
          <w:sz w:val="20"/>
          <w:szCs w:val="20"/>
          <w:color w:val="auto"/>
        </w:rPr>
      </w:pPr>
    </w:p>
    <w:p>
      <w:pPr>
        <w:ind w:right="40" w:firstLine="490"/>
        <w:spacing w:after="0" w:line="282" w:lineRule="auto"/>
        <w:rPr>
          <w:sz w:val="20"/>
          <w:szCs w:val="20"/>
          <w:color w:val="auto"/>
        </w:rPr>
      </w:pPr>
      <w:r>
        <w:rPr>
          <w:rFonts w:ascii="Times New Roman" w:cs="Times New Roman" w:eastAsia="Times New Roman" w:hAnsi="Times New Roman"/>
          <w:sz w:val="20"/>
          <w:szCs w:val="20"/>
          <w:color w:val="auto"/>
        </w:rPr>
        <w:t>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2024, we have a global investor base of over 3,800 investors, across 50 states, 60 countries and 6 continents – including some of the world’s largest pension funds, endowments, foundations, corporate pensions and financial institutions. In addition, we have a strong footprint within some of the most prominent family offices and high net worth individuals.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chart illustrates the diversification of our investor base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161290</wp:posOffset>
            </wp:positionV>
            <wp:extent cx="6400800" cy="389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extLst>
                    </a:blip>
                    <a:srcRect/>
                    <a:stretch>
                      <a:fillRect/>
                    </a:stretch>
                  </pic:blipFill>
                  <pic:spPr bwMode="auto">
                    <a:xfrm>
                      <a:off x="0" y="0"/>
                      <a:ext cx="6400800" cy="389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Distribution and Marketing</w:t>
      </w:r>
    </w:p>
    <w:p>
      <w:pPr>
        <w:spacing w:after="0" w:line="124"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and while we have a significant presence in North America, we have cultivated relationships with a number of international investors.</w:t>
      </w:r>
    </w:p>
    <w:p>
      <w:pPr>
        <w:spacing w:after="0" w:line="194"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Our business development and investor relations professionals frequent dialogue with existing and prospective investors, enable us to monitor investor preferences and tailor future product offerings to meet investor demand. Prospective investors that desire to learn more about us often visit our offices to conduct in-depth due diligence. Our business development and investor relations professionals lead this process, coordinate meetings, and continue to be the prospective investor’s principal point of contact throughout their decision-making process. Our business development and investor 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60"/>
          </w:cols>
          <w:pgMar w:left="1080" w:top="1056" w:right="1100" w:bottom="175" w:gutter="0" w:footer="0" w:header="0"/>
          <w:type w:val="continuous"/>
        </w:sectPr>
      </w:pPr>
    </w:p>
    <w:bookmarkStart w:id="19" w:name="page20"/>
    <w:bookmarkEnd w:id="19"/>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Our Investment Performance</w:t>
      </w:r>
    </w:p>
    <w:p>
      <w:pPr>
        <w:spacing w:after="0" w:line="124"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We believe the performance of our investment vehicles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History</w:t>
      </w:r>
    </w:p>
    <w:p>
      <w:pPr>
        <w:spacing w:after="0" w:line="124"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2024, we have $25.7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w:t>
      </w:r>
    </w:p>
    <w:p>
      <w:pPr>
        <w:spacing w:after="0" w:line="202" w:lineRule="exact"/>
        <w:rPr>
          <w:sz w:val="20"/>
          <w:szCs w:val="20"/>
          <w:color w:val="auto"/>
        </w:rPr>
      </w:pPr>
    </w:p>
    <w:p>
      <w:pPr>
        <w:ind w:right="40" w:firstLine="490"/>
        <w:spacing w:after="0" w:line="269" w:lineRule="auto"/>
        <w:rPr>
          <w:sz w:val="20"/>
          <w:szCs w:val="20"/>
          <w:color w:val="auto"/>
        </w:rPr>
      </w:pPr>
      <w:r>
        <w:rPr>
          <w:rFonts w:ascii="Times New Roman" w:cs="Times New Roman" w:eastAsia="Times New Roman" w:hAnsi="Times New Roman"/>
          <w:sz w:val="19"/>
          <w:szCs w:val="19"/>
          <w:color w:val="auto"/>
        </w:rPr>
        <w:t>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192"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w:t>
      </w:r>
    </w:p>
    <w:p>
      <w:pPr>
        <w:spacing w:after="0" w:line="197"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auto"/>
        </w:rPr>
        <w:t>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w:t>
      </w:r>
    </w:p>
    <w:p>
      <w:pPr>
        <w:spacing w:after="0" w:line="194"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20"/>
          <w:szCs w:val="20"/>
          <w:color w:val="auto"/>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18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97"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On September 30, 2021, we completed the acquisitions of Hark Capital and Bonaccord Capital Advisors.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56" w:right="1080" w:bottom="175" w:gutter="0" w:footer="0" w:header="0"/>
          <w:type w:val="continuous"/>
        </w:sectPr>
      </w:pPr>
    </w:p>
    <w:bookmarkStart w:id="20" w:name="page21"/>
    <w:bookmarkEnd w:id="20"/>
    <w:p>
      <w:pPr>
        <w:ind w:firstLine="490"/>
        <w:spacing w:after="0" w:line="257" w:lineRule="auto"/>
        <w:rPr>
          <w:sz w:val="20"/>
          <w:szCs w:val="20"/>
          <w:color w:val="auto"/>
        </w:rPr>
      </w:pPr>
      <w:r>
        <w:rPr>
          <w:rFonts w:ascii="Times New Roman" w:cs="Times New Roman" w:eastAsia="Times New Roman" w:hAnsi="Times New Roman"/>
          <w:sz w:val="20"/>
          <w:szCs w:val="20"/>
          <w:color w:val="auto"/>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spacing w:after="0" w:line="200"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auto"/>
        </w:rPr>
        <w:t>In June 2022, the Company formed P10 Advisors, a fully consolidated subsidiary, to manage investment opportunities that are sourced across the P10 platform but do not fit within an existing investment mandate.</w:t>
      </w:r>
    </w:p>
    <w:p>
      <w:pPr>
        <w:spacing w:after="0" w:line="169" w:lineRule="exact"/>
        <w:rPr>
          <w:sz w:val="20"/>
          <w:szCs w:val="20"/>
          <w:color w:val="auto"/>
        </w:rPr>
      </w:pPr>
    </w:p>
    <w:p>
      <w:pPr>
        <w:ind w:right="20" w:firstLine="490"/>
        <w:spacing w:after="0" w:line="268" w:lineRule="auto"/>
        <w:rPr>
          <w:sz w:val="20"/>
          <w:szCs w:val="20"/>
          <w:color w:val="auto"/>
        </w:rPr>
      </w:pPr>
      <w:r>
        <w:rPr>
          <w:rFonts w:ascii="Times New Roman" w:cs="Times New Roman" w:eastAsia="Times New Roman" w:hAnsi="Times New Roman"/>
          <w:sz w:val="20"/>
          <w:szCs w:val="20"/>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results of WTI’s operations have been included in the consolidated financial statements effective October 13,</w:t>
      </w:r>
    </w:p>
    <w:p>
      <w:pPr>
        <w:spacing w:after="0" w:line="3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2022. The Company reports noncontrolling interest related to the partnership interests which are owned by the WTI sellers. This is recorded as noncontrolling interest on the Consolidated Balance Sheets and Consolidated Statements of Operations.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w:t>
      </w:r>
    </w:p>
    <w:p>
      <w:pPr>
        <w:spacing w:after="0" w:line="204"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20"/>
          <w:szCs w:val="20"/>
          <w:color w:val="auto"/>
        </w:rPr>
        <w:t>On September 16, 2024, the Company entered into an equity purchase agreement of Qualitas, which is expected to close in the first quarter of 2025. Qualitas is a leading European lower middle market private equity fund-of-funds manager based in Madrid, Spain with roughly $1 billion in fee-paying assets under management. The transaction does not include any carried interest for legacy funds. This acquisition established an European presence and meaningfully grows P10's investor base, positioning the Company as a leading global, multi-strategy private markets firm focused on the middle and lower-middle markets.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158" w:lineRule="exact"/>
        <w:rPr>
          <w:sz w:val="20"/>
          <w:szCs w:val="20"/>
          <w:color w:val="auto"/>
        </w:rPr>
      </w:pPr>
    </w:p>
    <w:p>
      <w:pPr>
        <w:ind w:right="120" w:firstLine="490"/>
        <w:spacing w:after="0" w:line="255" w:lineRule="auto"/>
        <w:rPr>
          <w:sz w:val="20"/>
          <w:szCs w:val="20"/>
          <w:color w:val="auto"/>
        </w:rPr>
      </w:pPr>
      <w:r>
        <w:rPr>
          <w:rFonts w:ascii="Times New Roman" w:cs="Times New Roman" w:eastAsia="Times New Roman" w:hAnsi="Times New Roman"/>
          <w:sz w:val="20"/>
          <w:szCs w:val="20"/>
          <w:color w:val="auto"/>
        </w:rPr>
        <w:t>We completed an offering in connection with our IPO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 underwriters of the public offering fully exercised their option to acquire an additional 3,000,000 shares of Class A common stock at the public offering price of $12.00 per share, less underwriting discounts and commissions. These shares were sold by certain stockholders of P10 and P10 did not receive any proceeds from the sale.</w:t>
      </w:r>
    </w:p>
    <w:p>
      <w:pPr>
        <w:spacing w:after="0" w:line="202"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60" w:right="1080" w:bottom="175" w:gutter="0" w:footer="0" w:header="0"/>
          <w:type w:val="continuous"/>
        </w:sectPr>
      </w:pPr>
    </w:p>
    <w:bookmarkStart w:id="21" w:name="page22"/>
    <w:bookmarkEnd w:id="21"/>
    <w:p>
      <w:pPr>
        <w:ind w:right="460" w:firstLine="490"/>
        <w:spacing w:after="0" w:line="282" w:lineRule="auto"/>
        <w:rPr>
          <w:sz w:val="20"/>
          <w:szCs w:val="20"/>
          <w:color w:val="auto"/>
        </w:rPr>
      </w:pPr>
      <w:r>
        <w:rPr>
          <w:rFonts w:ascii="Times New Roman" w:cs="Times New Roman" w:eastAsia="Times New Roman" w:hAnsi="Times New Roman"/>
          <w:sz w:val="20"/>
          <w:szCs w:val="20"/>
          <w:color w:val="auto"/>
        </w:rPr>
        <w:t>The diagram below illustrates our structure and does not include all unconsolidated entities in which we hold non-controlling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391275" cy="3657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extLst>
                    </a:blip>
                    <a:srcRect/>
                    <a:stretch>
                      <a:fillRect/>
                    </a:stretch>
                  </pic:blipFill>
                  <pic:spPr bwMode="auto">
                    <a:xfrm>
                      <a:off x="0" y="0"/>
                      <a:ext cx="6391275" cy="365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Class B Common Stock</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have 43,461,442 outstanding shares of Class B common stock held of record by approximately 2,710 stockholders as of December 31, 2024. Each share of our Class B common stock entitles its holder to ten votes per share until a Sunset ("Sunset") occurs. A Sunset will occur on the earliest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w:t>
      </w:r>
    </w:p>
    <w:p>
      <w:pPr>
        <w:spacing w:after="0" w:line="202" w:lineRule="exact"/>
        <w:rPr>
          <w:sz w:val="20"/>
          <w:szCs w:val="20"/>
          <w:color w:val="auto"/>
        </w:rPr>
      </w:pPr>
    </w:p>
    <w:p>
      <w:pPr>
        <w:ind w:right="160" w:firstLine="490"/>
        <w:spacing w:after="0" w:line="284" w:lineRule="auto"/>
        <w:rPr>
          <w:sz w:val="20"/>
          <w:szCs w:val="20"/>
          <w:color w:val="auto"/>
        </w:rPr>
      </w:pPr>
      <w:r>
        <w:rPr>
          <w:rFonts w:ascii="Times New Roman" w:cs="Times New Roman" w:eastAsia="Times New Roman" w:hAnsi="Times New Roman"/>
          <w:sz w:val="19"/>
          <w:szCs w:val="19"/>
          <w:color w:val="auto"/>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87% of the combined voting power of our common stock.</w:t>
      </w:r>
    </w:p>
    <w:p>
      <w:pPr>
        <w:spacing w:after="0" w:line="169"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auto"/>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188" w:lineRule="exact"/>
        <w:rPr>
          <w:sz w:val="20"/>
          <w:szCs w:val="20"/>
          <w:color w:val="auto"/>
        </w:rPr>
      </w:pPr>
    </w:p>
    <w:p>
      <w:pPr>
        <w:ind w:right="260" w:firstLine="490"/>
        <w:spacing w:after="0" w:line="257" w:lineRule="auto"/>
        <w:rPr>
          <w:sz w:val="20"/>
          <w:szCs w:val="20"/>
          <w:color w:val="auto"/>
        </w:rPr>
      </w:pPr>
      <w:r>
        <w:rPr>
          <w:rFonts w:ascii="Times New Roman" w:cs="Times New Roman" w:eastAsia="Times New Roman" w:hAnsi="Times New Roman"/>
          <w:sz w:val="20"/>
          <w:szCs w:val="20"/>
          <w:color w:val="auto"/>
        </w:rPr>
        <w:t>Our current stockholders believe that the contributions of the current ownership group and management team have been critical in P10’s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 direction of P10 results in a high degree of alignment with our stockholders, and voting members of the Class B common stock have ten votes per share which will help maintain this continuity.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60" w:right="108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Our Class A Common Stock</w:t>
      </w:r>
    </w:p>
    <w:p>
      <w:pPr>
        <w:spacing w:after="0" w:line="154" w:lineRule="exact"/>
        <w:rPr>
          <w:sz w:val="20"/>
          <w:szCs w:val="20"/>
          <w:color w:val="auto"/>
        </w:rPr>
      </w:pPr>
    </w:p>
    <w:p>
      <w:pPr>
        <w:ind w:right="960" w:firstLine="490"/>
        <w:spacing w:after="0" w:line="287" w:lineRule="auto"/>
        <w:rPr>
          <w:sz w:val="20"/>
          <w:szCs w:val="20"/>
          <w:color w:val="auto"/>
        </w:rPr>
      </w:pPr>
      <w:r>
        <w:rPr>
          <w:rFonts w:ascii="Times New Roman" w:cs="Times New Roman" w:eastAsia="Times New Roman" w:hAnsi="Times New Roman"/>
          <w:sz w:val="20"/>
          <w:szCs w:val="20"/>
          <w:color w:val="auto"/>
        </w:rPr>
        <w:t>The Class A common stock have one vote per share and share ratably with our Class B common stock in all distributions.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Stockholders Agreement and Registration Rights</w:t>
      </w:r>
    </w:p>
    <w:p>
      <w:pPr>
        <w:spacing w:after="0" w:line="154" w:lineRule="exact"/>
        <w:rPr>
          <w:sz w:val="20"/>
          <w:szCs w:val="20"/>
          <w:color w:val="auto"/>
        </w:rPr>
      </w:pPr>
    </w:p>
    <w:p>
      <w:pPr>
        <w:ind w:right="520" w:firstLine="490"/>
        <w:spacing w:after="0" w:line="287" w:lineRule="auto"/>
        <w:rPr>
          <w:sz w:val="20"/>
          <w:szCs w:val="20"/>
          <w:color w:val="auto"/>
        </w:rPr>
      </w:pPr>
      <w:r>
        <w:rPr>
          <w:rFonts w:ascii="Times New Roman" w:cs="Times New Roman" w:eastAsia="Times New Roman" w:hAnsi="Times New Roman"/>
          <w:sz w:val="20"/>
          <w:szCs w:val="20"/>
          <w:color w:val="auto"/>
        </w:rPr>
        <w:t>P10, Inc. entered into a stockholders agreement (the “Stockholders Agreement”) with certain investors, including employees, pursuant to which the investors were granted piggyback and demand registration rights prior to the IPO.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NYSE Controlled Company Agreement</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P10, Inc. entered into a controlled company agreement (the “Controlled Company Agreement”) on October 20, 2021,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8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On December 19, 2024, the Company entered into an amendment (the “Amendment”) to the Controlled Company Agreement to, among other things: (i) remove 210/P10 Acquisition Partners, LLC and certain members of the RCP Group thereunder, and (ii) remove the board nomination and other rights of 210/P10 Acquisition Partners, LLC. In connection with its entry into the Amendment, 210/P10 Acquisition Partners, LLC converted all shares of Class B Common Stock of the Company held by it into shares of Class A Common Stock of the Company.</w:t>
      </w:r>
    </w:p>
    <w:p>
      <w:pPr>
        <w:spacing w:after="0" w:line="197" w:lineRule="exact"/>
        <w:rPr>
          <w:sz w:val="20"/>
          <w:szCs w:val="20"/>
          <w:color w:val="auto"/>
        </w:rPr>
      </w:pPr>
    </w:p>
    <w:p>
      <w:pPr>
        <w:ind w:right="280" w:firstLine="490"/>
        <w:spacing w:after="0" w:line="287" w:lineRule="auto"/>
        <w:rPr>
          <w:sz w:val="20"/>
          <w:szCs w:val="20"/>
          <w:color w:val="auto"/>
        </w:rPr>
      </w:pPr>
      <w:r>
        <w:rPr>
          <w:rFonts w:ascii="Times New Roman" w:cs="Times New Roman" w:eastAsia="Times New Roman" w:hAnsi="Times New Roman"/>
          <w:sz w:val="20"/>
          <w:szCs w:val="20"/>
          <w:color w:val="auto"/>
        </w:rPr>
        <w:t>The RCP Group and TrueBridge Group each have the right to nominate one director. These board designation rights are subject to certain limitations and exceptions.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Investment Process</w:t>
      </w:r>
    </w:p>
    <w:p>
      <w:pPr>
        <w:spacing w:after="0" w:line="124" w:lineRule="exact"/>
        <w:rPr>
          <w:sz w:val="20"/>
          <w:szCs w:val="20"/>
          <w:color w:val="auto"/>
        </w:rPr>
      </w:pPr>
    </w:p>
    <w:p>
      <w:pPr>
        <w:ind w:right="300" w:firstLine="490"/>
        <w:spacing w:after="0" w:line="268" w:lineRule="auto"/>
        <w:rPr>
          <w:sz w:val="20"/>
          <w:szCs w:val="20"/>
          <w:color w:val="auto"/>
        </w:rPr>
      </w:pPr>
      <w:r>
        <w:rPr>
          <w:rFonts w:ascii="Times New Roman" w:cs="Times New Roman" w:eastAsia="Times New Roman" w:hAnsi="Times New Roman"/>
          <w:sz w:val="20"/>
          <w:szCs w:val="20"/>
          <w:color w:val="auto"/>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188"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spacing w:after="0" w:line="20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details of our investment process are outlined below:</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Opportunities Tracked</w:t>
      </w:r>
    </w:p>
    <w:p>
      <w:pPr>
        <w:spacing w:after="0" w:line="124" w:lineRule="exact"/>
        <w:rPr>
          <w:sz w:val="20"/>
          <w:szCs w:val="20"/>
          <w:color w:val="auto"/>
        </w:rPr>
      </w:pPr>
    </w:p>
    <w:p>
      <w:pPr>
        <w:ind w:right="240" w:firstLine="490"/>
        <w:spacing w:after="0" w:line="315" w:lineRule="auto"/>
        <w:rPr>
          <w:sz w:val="20"/>
          <w:szCs w:val="20"/>
          <w:color w:val="auto"/>
        </w:rPr>
      </w:pPr>
      <w:r>
        <w:rPr>
          <w:rFonts w:ascii="Times New Roman" w:cs="Times New Roman" w:eastAsia="Times New Roman" w:hAnsi="Times New Roman"/>
          <w:sz w:val="19"/>
          <w:szCs w:val="19"/>
          <w:color w:val="auto"/>
        </w:rPr>
        <w:t>As of December 31, 2024, we track thousands of potential investment opportunities across private markets, spanning primary investment funds, secondaries and direct and co-investments. Our attractive positioning within the private markets</w:t>
      </w:r>
    </w:p>
    <w:p>
      <w:pPr>
        <w:sectPr>
          <w:pgSz w:w="12240" w:h="15840" w:orient="portrait"/>
          <w:cols w:equalWidth="0" w:num="1">
            <w:col w:w="10080"/>
          </w:cols>
          <w:pgMar w:left="1080" w:top="1060" w:right="1080" w:bottom="175"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60" w:right="1080" w:bottom="175" w:gutter="0" w:footer="0" w:header="0"/>
          <w:type w:val="continuous"/>
        </w:sectPr>
      </w:pPr>
    </w:p>
    <w:bookmarkStart w:id="23" w:name="page24"/>
    <w:bookmarkEnd w:id="23"/>
    <w:p>
      <w:pPr>
        <w:ind w:right="440"/>
        <w:spacing w:after="0" w:line="287" w:lineRule="auto"/>
        <w:rPr>
          <w:sz w:val="20"/>
          <w:szCs w:val="20"/>
          <w:color w:val="auto"/>
        </w:rPr>
      </w:pPr>
      <w:r>
        <w:rPr>
          <w:rFonts w:ascii="Times New Roman" w:cs="Times New Roman" w:eastAsia="Times New Roman" w:hAnsi="Times New Roman"/>
          <w:sz w:val="20"/>
          <w:szCs w:val="20"/>
          <w:color w:val="auto"/>
        </w:rPr>
        <w:t>ecosystem, coupled with our synergistic network of general partners and extensive database has enabled us to cultivate a comprehensive funnel of what we believe are premier investment opportunities.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Initial Screen</w:t>
      </w:r>
    </w:p>
    <w:p>
      <w:pPr>
        <w:spacing w:after="0" w:line="124"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Due Diligence</w:t>
      </w:r>
    </w:p>
    <w:p>
      <w:pPr>
        <w:spacing w:after="0" w:line="158" w:lineRule="exact"/>
        <w:rPr>
          <w:sz w:val="20"/>
          <w:szCs w:val="20"/>
          <w:color w:val="auto"/>
        </w:rPr>
      </w:pPr>
    </w:p>
    <w:p>
      <w:pPr>
        <w:ind w:right="220" w:firstLine="490"/>
        <w:spacing w:after="0" w:line="256" w:lineRule="auto"/>
        <w:rPr>
          <w:sz w:val="20"/>
          <w:szCs w:val="20"/>
          <w:color w:val="auto"/>
        </w:rPr>
      </w:pPr>
      <w:r>
        <w:rPr>
          <w:rFonts w:ascii="Times New Roman" w:cs="Times New Roman" w:eastAsia="Times New Roman" w:hAnsi="Times New Roman"/>
          <w:sz w:val="20"/>
          <w:szCs w:val="20"/>
          <w:color w:val="auto"/>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Investments Made</w:t>
      </w:r>
    </w:p>
    <w:p>
      <w:pPr>
        <w:spacing w:after="0" w:line="124"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 confirmatory due diligence the Investment Committee will reconvene to review the investment for a final vote. Once final approval has been obtained, the investment team may proceed with commitments or funding.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Risk Management Process</w:t>
      </w:r>
    </w:p>
    <w:p>
      <w:pPr>
        <w:spacing w:after="0" w:line="124"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Partner</w:t>
      </w:r>
    </w:p>
    <w:p>
      <w:pPr>
        <w:spacing w:after="0" w:line="124" w:lineRule="exact"/>
        <w:rPr>
          <w:sz w:val="20"/>
          <w:szCs w:val="20"/>
          <w:color w:val="auto"/>
        </w:rPr>
      </w:pPr>
    </w:p>
    <w:p>
      <w:pPr>
        <w:ind w:right="60" w:firstLine="490"/>
        <w:spacing w:after="0" w:line="256" w:lineRule="auto"/>
        <w:rPr>
          <w:sz w:val="20"/>
          <w:szCs w:val="20"/>
          <w:color w:val="auto"/>
        </w:rPr>
      </w:pPr>
      <w:r>
        <w:rPr>
          <w:rFonts w:ascii="Times New Roman" w:cs="Times New Roman" w:eastAsia="Times New Roman" w:hAnsi="Times New Roman"/>
          <w:sz w:val="20"/>
          <w:szCs w:val="20"/>
          <w:color w:val="auto"/>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Fund</w:t>
      </w:r>
    </w:p>
    <w:p>
      <w:pPr>
        <w:spacing w:after="0" w:line="124"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60" w:right="1080" w:bottom="175"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Portfolio Company</w:t>
      </w:r>
    </w:p>
    <w:p>
      <w:pPr>
        <w:spacing w:after="0" w:line="124" w:lineRule="exact"/>
        <w:rPr>
          <w:sz w:val="20"/>
          <w:szCs w:val="20"/>
          <w:color w:val="auto"/>
        </w:rPr>
      </w:pPr>
    </w:p>
    <w:p>
      <w:pPr>
        <w:ind w:right="160" w:firstLine="490"/>
        <w:spacing w:after="0" w:line="268" w:lineRule="auto"/>
        <w:rPr>
          <w:sz w:val="20"/>
          <w:szCs w:val="20"/>
          <w:color w:val="auto"/>
        </w:rPr>
      </w:pPr>
      <w:r>
        <w:rPr>
          <w:rFonts w:ascii="Times New Roman" w:cs="Times New Roman" w:eastAsia="Times New Roman" w:hAnsi="Times New Roman"/>
          <w:sz w:val="20"/>
          <w:szCs w:val="20"/>
          <w:color w:val="auto"/>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188"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197" w:lineRule="exact"/>
        <w:rPr>
          <w:sz w:val="20"/>
          <w:szCs w:val="20"/>
          <w:color w:val="auto"/>
        </w:rPr>
      </w:pPr>
    </w:p>
    <w:p>
      <w:pPr>
        <w:jc w:val="both"/>
        <w:ind w:right="600" w:firstLine="490"/>
        <w:spacing w:after="0" w:line="268" w:lineRule="auto"/>
        <w:rPr>
          <w:sz w:val="20"/>
          <w:szCs w:val="20"/>
          <w:color w:val="auto"/>
        </w:rPr>
      </w:pPr>
      <w:r>
        <w:rPr>
          <w:rFonts w:ascii="Times New Roman" w:cs="Times New Roman" w:eastAsia="Times New Roman" w:hAnsi="Times New Roman"/>
          <w:sz w:val="20"/>
          <w:szCs w:val="20"/>
          <w:color w:val="auto"/>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Responsible Investment Philosophy</w:t>
      </w:r>
    </w:p>
    <w:p>
      <w:pPr>
        <w:spacing w:after="0" w:line="124"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spacing w:after="0" w:line="200" w:lineRule="exact"/>
        <w:rPr>
          <w:sz w:val="20"/>
          <w:szCs w:val="20"/>
          <w:color w:val="auto"/>
        </w:rPr>
      </w:pPr>
    </w:p>
    <w:p>
      <w:pPr>
        <w:ind w:right="220" w:firstLine="490"/>
        <w:spacing w:after="0" w:line="268" w:lineRule="auto"/>
        <w:rPr>
          <w:sz w:val="20"/>
          <w:szCs w:val="20"/>
          <w:color w:val="auto"/>
        </w:rPr>
      </w:pPr>
      <w:r>
        <w:rPr>
          <w:rFonts w:ascii="Times New Roman" w:cs="Times New Roman" w:eastAsia="Times New Roman" w:hAnsi="Times New Roman"/>
          <w:sz w:val="20"/>
          <w:szCs w:val="20"/>
          <w:color w:val="auto"/>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Fees and Other Key Contractual Terms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Specialized Investment Vehicles</w:t>
      </w:r>
    </w:p>
    <w:p>
      <w:pPr>
        <w:spacing w:after="0" w:line="124" w:lineRule="exact"/>
        <w:rPr>
          <w:sz w:val="20"/>
          <w:szCs w:val="20"/>
          <w:color w:val="auto"/>
        </w:rPr>
      </w:pPr>
    </w:p>
    <w:p>
      <w:pPr>
        <w:ind w:right="560" w:firstLine="490"/>
        <w:spacing w:after="0" w:line="287" w:lineRule="auto"/>
        <w:rPr>
          <w:sz w:val="20"/>
          <w:szCs w:val="20"/>
          <w:color w:val="auto"/>
        </w:rPr>
      </w:pPr>
      <w:r>
        <w:rPr>
          <w:rFonts w:ascii="Times New Roman" w:cs="Times New Roman" w:eastAsia="Times New Roman" w:hAnsi="Times New Roman"/>
          <w:sz w:val="20"/>
          <w:szCs w:val="20"/>
          <w:color w:val="auto"/>
        </w:rPr>
        <w:t>While the terms of each fund may vary, we have outlined the key terms of the customized separate accounts and commingled funds within our specialized investment vehicles below: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Commingled Investment Vehicles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Commitments</w:t>
      </w:r>
    </w:p>
    <w:p>
      <w:pPr>
        <w:spacing w:after="0" w:line="118" w:lineRule="exact"/>
        <w:rPr>
          <w:sz w:val="20"/>
          <w:szCs w:val="20"/>
          <w:color w:val="auto"/>
        </w:rPr>
      </w:pPr>
    </w:p>
    <w:p>
      <w:pPr>
        <w:ind w:right="240" w:firstLine="490"/>
        <w:spacing w:after="0" w:line="262" w:lineRule="auto"/>
        <w:rPr>
          <w:sz w:val="20"/>
          <w:szCs w:val="20"/>
          <w:color w:val="auto"/>
        </w:rPr>
      </w:pPr>
      <w:r>
        <w:rPr>
          <w:rFonts w:ascii="Times New Roman" w:cs="Times New Roman" w:eastAsia="Times New Roman" w:hAnsi="Times New Roman"/>
          <w:sz w:val="20"/>
          <w:szCs w:val="20"/>
          <w:color w:val="auto"/>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Structure</w:t>
      </w:r>
    </w:p>
    <w:p>
      <w:pPr>
        <w:spacing w:after="0" w:line="118"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20"/>
          <w:szCs w:val="20"/>
          <w:color w:val="auto"/>
        </w:rPr>
        <w:t>Our investment funds are structured as limited partnerships organized by us accepting commitments or funds from our investors. Our investors become limited partners in our funds and a separate entity that we form and control acts as the general partner. Funds managed by the Company, who act as the general partner, make capital commitments to the limited partnership which are generally 1% of total capital commitments. Contingent upon the solution, each investment fund will have a designated “Manager”, which generally serves as the investment manager of the fund, responsible for all investment diligence, decision making and monitoring.</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40"/>
          </w:cols>
          <w:pgMar w:left="1080" w:top="1056" w:right="112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i w:val="1"/>
          <w:iCs w:val="1"/>
          <w:color w:val="auto"/>
        </w:rPr>
        <w:t>Fees</w:t>
      </w:r>
    </w:p>
    <w:p>
      <w:pPr>
        <w:spacing w:after="0" w:line="152" w:lineRule="exact"/>
        <w:rPr>
          <w:sz w:val="20"/>
          <w:szCs w:val="20"/>
          <w:color w:val="auto"/>
        </w:rPr>
      </w:pPr>
    </w:p>
    <w:p>
      <w:pPr>
        <w:ind w:right="380" w:firstLine="490"/>
        <w:spacing w:after="0" w:line="262" w:lineRule="auto"/>
        <w:rPr>
          <w:sz w:val="20"/>
          <w:szCs w:val="20"/>
          <w:color w:val="auto"/>
        </w:rPr>
      </w:pPr>
      <w:r>
        <w:rPr>
          <w:rFonts w:ascii="Times New Roman" w:cs="Times New Roman" w:eastAsia="Times New Roman" w:hAnsi="Times New Roman"/>
          <w:sz w:val="20"/>
          <w:szCs w:val="20"/>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Duration and Termination</w:t>
      </w:r>
    </w:p>
    <w:p>
      <w:pPr>
        <w:spacing w:after="0" w:line="152" w:lineRule="exact"/>
        <w:rPr>
          <w:sz w:val="20"/>
          <w:szCs w:val="20"/>
          <w:color w:val="auto"/>
        </w:rPr>
      </w:pPr>
    </w:p>
    <w:p>
      <w:pPr>
        <w:ind w:right="160" w:firstLine="490"/>
        <w:spacing w:after="0" w:line="262" w:lineRule="auto"/>
        <w:rPr>
          <w:sz w:val="20"/>
          <w:szCs w:val="20"/>
          <w:color w:val="auto"/>
        </w:rPr>
      </w:pPr>
      <w:r>
        <w:rPr>
          <w:rFonts w:ascii="Times New Roman" w:cs="Times New Roman" w:eastAsia="Times New Roman" w:hAnsi="Times New Roman"/>
          <w:sz w:val="20"/>
          <w:szCs w:val="20"/>
          <w:color w:val="auto"/>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Separate Accounts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Commitments</w:t>
      </w:r>
    </w:p>
    <w:p>
      <w:pPr>
        <w:spacing w:after="0" w:line="118" w:lineRule="exact"/>
        <w:rPr>
          <w:sz w:val="20"/>
          <w:szCs w:val="20"/>
          <w:color w:val="auto"/>
        </w:rPr>
      </w:pPr>
    </w:p>
    <w:p>
      <w:pPr>
        <w:ind w:right="260" w:firstLine="490"/>
        <w:spacing w:after="0" w:line="262" w:lineRule="auto"/>
        <w:rPr>
          <w:sz w:val="20"/>
          <w:szCs w:val="20"/>
          <w:color w:val="auto"/>
        </w:rPr>
      </w:pPr>
      <w:r>
        <w:rPr>
          <w:rFonts w:ascii="Times New Roman" w:cs="Times New Roman" w:eastAsia="Times New Roman" w:hAnsi="Times New Roman"/>
          <w:sz w:val="20"/>
          <w:szCs w:val="20"/>
          <w:color w:val="auto"/>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Structure</w:t>
      </w:r>
    </w:p>
    <w:p>
      <w:pPr>
        <w:spacing w:after="0" w:line="11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 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Fees</w:t>
      </w:r>
    </w:p>
    <w:p>
      <w:pPr>
        <w:spacing w:after="0" w:line="15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earn management and advisory fees based on a percentage of investors’ capital commitments to or, in select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Duration and Termination</w:t>
      </w:r>
    </w:p>
    <w:p>
      <w:pPr>
        <w:spacing w:after="0" w:line="118" w:lineRule="exact"/>
        <w:rPr>
          <w:sz w:val="20"/>
          <w:szCs w:val="20"/>
          <w:color w:val="auto"/>
        </w:rPr>
      </w:pPr>
    </w:p>
    <w:p>
      <w:pPr>
        <w:jc w:val="both"/>
        <w:ind w:right="240" w:firstLine="490"/>
        <w:spacing w:after="0" w:line="268" w:lineRule="auto"/>
        <w:rPr>
          <w:sz w:val="20"/>
          <w:szCs w:val="20"/>
          <w:color w:val="auto"/>
        </w:rPr>
      </w:pPr>
      <w:r>
        <w:rPr>
          <w:rFonts w:ascii="Times New Roman" w:cs="Times New Roman" w:eastAsia="Times New Roman" w:hAnsi="Times New Roman"/>
          <w:sz w:val="20"/>
          <w:szCs w:val="20"/>
          <w:color w:val="auto"/>
        </w:rPr>
        <w:t>Separate account contracts typically can be terminated by our investors for specified reasons, but specific terms vary significantly from investor to investor and certain contracts may be terminated for any reason, typically with 5 to 90 days’ notice.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124"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w:t>
      </w:r>
    </w:p>
    <w:p>
      <w:pPr>
        <w:sectPr>
          <w:pgSz w:w="12240" w:h="15840" w:orient="portrait"/>
          <w:cols w:equalWidth="0" w:num="1">
            <w:col w:w="10060"/>
          </w:cols>
          <w:pgMar w:left="1080" w:top="1062" w:right="1100" w:bottom="175"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60"/>
          </w:cols>
          <w:pgMar w:left="1080" w:top="1062" w:right="1100" w:bottom="175" w:gutter="0" w:footer="0" w:header="0"/>
          <w:type w:val="continuous"/>
        </w:sectPr>
      </w:pPr>
    </w:p>
    <w:bookmarkStart w:id="26" w:name="page27"/>
    <w:bookmarkEnd w:id="26"/>
    <w:p>
      <w:pPr>
        <w:ind w:right="120"/>
        <w:spacing w:after="0" w:line="259" w:lineRule="auto"/>
        <w:rPr>
          <w:sz w:val="20"/>
          <w:szCs w:val="20"/>
          <w:color w:val="auto"/>
        </w:rPr>
      </w:pPr>
      <w:r>
        <w:rPr>
          <w:rFonts w:ascii="Times New Roman" w:cs="Times New Roman" w:eastAsia="Times New Roman" w:hAnsi="Times New Roman"/>
          <w:sz w:val="20"/>
          <w:szCs w:val="20"/>
          <w:color w:val="auto"/>
        </w:rPr>
        <w:t>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197" w:lineRule="exact"/>
        <w:rPr>
          <w:sz w:val="20"/>
          <w:szCs w:val="20"/>
          <w:color w:val="auto"/>
        </w:rPr>
      </w:pPr>
    </w:p>
    <w:p>
      <w:pPr>
        <w:ind w:right="200" w:firstLine="490"/>
        <w:spacing w:after="0" w:line="287" w:lineRule="auto"/>
        <w:rPr>
          <w:sz w:val="20"/>
          <w:szCs w:val="20"/>
          <w:color w:val="auto"/>
        </w:rPr>
      </w:pPr>
      <w:r>
        <w:rPr>
          <w:rFonts w:ascii="Times New Roman" w:cs="Times New Roman" w:eastAsia="Times New Roman" w:hAnsi="Times New Roman"/>
          <w:sz w:val="20"/>
          <w:szCs w:val="20"/>
          <w:color w:val="auto"/>
        </w:rPr>
        <w:t>In order to grow our business, we must maintain our existing investor base and attract new investors. Historically, we have competed principally on the basis of the factors listed below:</w:t>
      </w:r>
    </w:p>
    <w:p>
      <w:pPr>
        <w:spacing w:after="0" w:line="63" w:lineRule="exact"/>
        <w:rPr>
          <w:sz w:val="20"/>
          <w:szCs w:val="20"/>
          <w:color w:val="auto"/>
        </w:rPr>
      </w:pPr>
    </w:p>
    <w:p>
      <w:pPr>
        <w:ind w:left="980" w:right="104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Access to private markets investment opportunities through our size, expertise, reputation and strong relationships with fund managers;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Brand recognition of the platforms through which we operate and reputation within the investing community;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investment strategies;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Quality of service and duration of investor relationships;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Data and analytics capabilities;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customize product offerings to investor specifications;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provide cost effective and comprehensive range of services and products; and</w:t>
      </w:r>
    </w:p>
    <w:p>
      <w:pPr>
        <w:spacing w:after="0" w:line="133" w:lineRule="exact"/>
        <w:rPr>
          <w:rFonts w:ascii="Arial" w:cs="Arial" w:eastAsia="Arial" w:hAnsi="Arial"/>
          <w:sz w:val="20"/>
          <w:szCs w:val="20"/>
          <w:color w:val="auto"/>
        </w:rPr>
      </w:pPr>
    </w:p>
    <w:p>
      <w:pPr>
        <w:ind w:left="980" w:right="40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Investors’ perceptions of our independence and the alignment of our interests with theirs created through our investment in our own products.</w:t>
      </w:r>
    </w:p>
    <w:p>
      <w:pPr>
        <w:spacing w:after="0" w:line="170"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auto"/>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Regulatory and Compliance Matters</w:t>
      </w:r>
    </w:p>
    <w:p>
      <w:pPr>
        <w:spacing w:after="0" w:line="124"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20"/>
          <w:szCs w:val="20"/>
          <w:color w:val="auto"/>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 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 Regulation</w:t>
      </w:r>
    </w:p>
    <w:p>
      <w:pPr>
        <w:spacing w:after="0" w:line="15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Certain subsidiaries of P10 are registered as investment advisers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pacing w:after="0" w:line="208"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60" w:right="1080" w:bottom="175" w:gutter="0" w:footer="0" w:header="0"/>
          <w:type w:val="continuous"/>
        </w:sectPr>
      </w:pPr>
    </w:p>
    <w:bookmarkStart w:id="27" w:name="page28"/>
    <w:bookmarkEnd w:id="27"/>
    <w:p>
      <w:pPr>
        <w:ind w:right="440"/>
        <w:spacing w:after="0" w:line="287" w:lineRule="auto"/>
        <w:rPr>
          <w:sz w:val="20"/>
          <w:szCs w:val="20"/>
          <w:color w:val="auto"/>
        </w:rPr>
      </w:pPr>
      <w:r>
        <w:rPr>
          <w:rFonts w:ascii="Times New Roman" w:cs="Times New Roman" w:eastAsia="Times New Roman" w:hAnsi="Times New Roman"/>
          <w:sz w:val="20"/>
          <w:szCs w:val="20"/>
          <w:color w:val="auto"/>
        </w:rPr>
        <w:t>the Investment Company Act. Compliance with the Investment Company Act can be complex and failure to comply can result in significant fines, penalties, loss to reputation and other material adverse effects on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ERISA-Related Regulation</w:t>
      </w:r>
    </w:p>
    <w:p>
      <w:pPr>
        <w:spacing w:after="0" w:line="11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applicable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for monetary penalties for violations of these prohibitions. With respect to these funds' regulations,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205"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Regulation</w:t>
      </w:r>
    </w:p>
    <w:p>
      <w:pPr>
        <w:spacing w:after="0" w:line="11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We provide investment advisory and other services and raise funds in a number of countries and jurisdictions outside the United States. In many of these countries and jurisdictions, which include the European Union ("EU"), the European Economic Area ("EEA"),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208"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SBA Regulations</w:t>
      </w:r>
    </w:p>
    <w:p>
      <w:pPr>
        <w:spacing w:after="0" w:line="118" w:lineRule="exact"/>
        <w:rPr>
          <w:sz w:val="20"/>
          <w:szCs w:val="20"/>
          <w:color w:val="auto"/>
        </w:rPr>
      </w:pPr>
    </w:p>
    <w:p>
      <w:pPr>
        <w:ind w:right="100" w:firstLine="490"/>
        <w:spacing w:after="0" w:line="256" w:lineRule="auto"/>
        <w:rPr>
          <w:sz w:val="20"/>
          <w:szCs w:val="20"/>
          <w:color w:val="auto"/>
        </w:rPr>
      </w:pPr>
      <w:r>
        <w:rPr>
          <w:rFonts w:ascii="Times New Roman" w:cs="Times New Roman" w:eastAsia="Times New Roman" w:hAnsi="Times New Roman"/>
          <w:sz w:val="20"/>
          <w:szCs w:val="20"/>
          <w:color w:val="auto"/>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Privacy and Cybersecurity Regulation</w:t>
      </w:r>
    </w:p>
    <w:p>
      <w:pPr>
        <w:spacing w:after="0" w:line="118"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Certain of our businesses are subject to laws and regulations enacted by U.S. federal and state governments, the E.U. or other non-U.S. jurisdictions and/or enacted by various regulatory organizations or exchanges relating to the privacy and data security of the information of clients, employees or others, or to our cybersecurity measures in general, including the U.S. Gramm-Leach-Bliley Act of 1999, the European Union’s General Data Protection Regulation (“EU GDPR”), the U.K.</w:t>
      </w:r>
    </w:p>
    <w:p>
      <w:pPr>
        <w:sectPr>
          <w:pgSz w:w="12240" w:h="15840" w:orient="portrait"/>
          <w:cols w:equalWidth="0" w:num="1">
            <w:col w:w="10060"/>
          </w:cols>
          <w:pgMar w:left="1080" w:top="1060" w:right="1100" w:bottom="175"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60"/>
          </w:cols>
          <w:pgMar w:left="1080" w:top="1060" w:right="1100" w:bottom="175" w:gutter="0" w:footer="0" w:header="0"/>
          <w:type w:val="continuous"/>
        </w:sectPr>
      </w:pPr>
    </w:p>
    <w:bookmarkStart w:id="28" w:name="page29"/>
    <w:bookmarkEnd w:id="28"/>
    <w:p>
      <w:pPr>
        <w:ind w:right="40"/>
        <w:spacing w:after="0" w:line="254" w:lineRule="auto"/>
        <w:rPr>
          <w:sz w:val="20"/>
          <w:szCs w:val="20"/>
          <w:color w:val="auto"/>
        </w:rPr>
      </w:pPr>
      <w:r>
        <w:rPr>
          <w:rFonts w:ascii="Times New Roman" w:cs="Times New Roman" w:eastAsia="Times New Roman" w:hAnsi="Times New Roman"/>
          <w:sz w:val="20"/>
          <w:szCs w:val="20"/>
          <w:color w:val="auto"/>
        </w:rPr>
        <w:t>GDPR, China’s Personal Information Protection Law (PIPL), Canada’s Personal Information Protection and Electronic Documents Act (PIPEDA) and territorial Canadian privacy laws, and the Privacy Acts of Australia and New Zealand. In addition, California and at least nineteen other states have enacted comprehensive consumer privacy laws that impose compliance obligations with regard to the collection, use and disclosure of personal data, as well as cybersecurity requirements to protect personal data and our data systems in general. These privacy and cybersecurity laws and regulations have heightened our privacy and cybersecurity compliance obligations, impacted our businesses’ collection, processing and retention of personal data, including how we protect that data, and imposed strict standards for reporting data breaches. Many of these privacy and cybersecurity laws and regulations also provide significant penalties for non-compliance. For more information, see “Risk Factors—Risks Related to Our Industry.”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Developments</w:t>
      </w:r>
    </w:p>
    <w:p>
      <w:pPr>
        <w:spacing w:after="0" w:line="118" w:lineRule="exact"/>
        <w:rPr>
          <w:sz w:val="20"/>
          <w:szCs w:val="20"/>
          <w:color w:val="auto"/>
        </w:rPr>
      </w:pPr>
    </w:p>
    <w:p>
      <w:pPr>
        <w:ind w:right="260" w:firstLine="490"/>
        <w:spacing w:after="0" w:line="287" w:lineRule="auto"/>
        <w:rPr>
          <w:sz w:val="20"/>
          <w:szCs w:val="20"/>
          <w:color w:val="auto"/>
        </w:rPr>
      </w:pPr>
      <w:r>
        <w:rPr>
          <w:rFonts w:ascii="Times New Roman" w:cs="Times New Roman" w:eastAsia="Times New Roman" w:hAnsi="Times New Roman"/>
          <w:sz w:val="20"/>
          <w:szCs w:val="20"/>
          <w:color w:val="auto"/>
        </w:rPr>
        <w:t>The SEC and various self-regulatory organizations and state securities regulators have in recent years increased their regulatory activities, including regulation, examination and enforcement in respect of asset management firms.</w:t>
      </w:r>
    </w:p>
    <w:p>
      <w:pPr>
        <w:spacing w:after="0" w:line="169" w:lineRule="exact"/>
        <w:rPr>
          <w:sz w:val="20"/>
          <w:szCs w:val="20"/>
          <w:color w:val="auto"/>
        </w:rPr>
      </w:pPr>
    </w:p>
    <w:p>
      <w:pPr>
        <w:ind w:right="60" w:firstLine="490"/>
        <w:spacing w:after="0" w:line="271" w:lineRule="auto"/>
        <w:rPr>
          <w:sz w:val="20"/>
          <w:szCs w:val="20"/>
          <w:color w:val="auto"/>
        </w:rPr>
      </w:pPr>
      <w:r>
        <w:rPr>
          <w:rFonts w:ascii="Times New Roman" w:cs="Times New Roman" w:eastAsia="Times New Roman" w:hAnsi="Times New Roman"/>
          <w:sz w:val="19"/>
          <w:szCs w:val="19"/>
          <w:color w:val="auto"/>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Compliance</w:t>
      </w:r>
    </w:p>
    <w:p>
      <w:pPr>
        <w:spacing w:after="0" w:line="118"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205" w:lineRule="exact"/>
        <w:rPr>
          <w:sz w:val="20"/>
          <w:szCs w:val="20"/>
          <w:color w:val="auto"/>
        </w:rPr>
      </w:pPr>
    </w:p>
    <w:p>
      <w:pPr>
        <w:jc w:val="both"/>
        <w:ind w:right="340" w:firstLine="490"/>
        <w:spacing w:after="0" w:line="268" w:lineRule="auto"/>
        <w:rPr>
          <w:sz w:val="20"/>
          <w:szCs w:val="20"/>
          <w:color w:val="auto"/>
        </w:rPr>
      </w:pPr>
      <w:r>
        <w:rPr>
          <w:rFonts w:ascii="Times New Roman" w:cs="Times New Roman" w:eastAsia="Times New Roman" w:hAnsi="Times New Roman"/>
          <w:sz w:val="20"/>
          <w:szCs w:val="20"/>
          <w:color w:val="auto"/>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18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is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24"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auto"/>
        </w:rPr>
        <w:t>The Company believes that a strong focus on human capital through the talent we hire and retain is critical to maintaining our competitiveness. As of December 31, 2024, we have 267 full-time equivalent employees, primarily located in the United States, including 112 investment professionals. Our employees are not represented by a collective bargaining group. We consider our employee relations to be strong and have not experienced interruptions of operations due to labor disagreements.</w:t>
      </w:r>
    </w:p>
    <w:p>
      <w:pPr>
        <w:sectPr>
          <w:pgSz w:w="12240" w:h="15840" w:orient="portrait"/>
          <w:cols w:equalWidth="0" w:num="1">
            <w:col w:w="10080"/>
          </w:cols>
          <w:pgMar w:left="1080" w:top="1060" w:right="1080" w:bottom="175"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60" w:right="1080" w:bottom="175"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Human Capital Objectives</w:t>
      </w:r>
    </w:p>
    <w:p>
      <w:pPr>
        <w:spacing w:after="0" w:line="124"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Sustainability</w:t>
      </w:r>
    </w:p>
    <w:p>
      <w:pPr>
        <w:spacing w:after="0" w:line="118"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Attraction, Recruitment, Development and Retention</w:t>
      </w:r>
    </w:p>
    <w:p>
      <w:pPr>
        <w:spacing w:after="0" w:line="118"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&amp; Safety</w:t>
      </w:r>
    </w:p>
    <w:p>
      <w:pPr>
        <w:spacing w:after="0" w:line="118"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and Inclusion</w:t>
      </w:r>
    </w:p>
    <w:p>
      <w:pPr>
        <w:spacing w:after="0" w:line="11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2024, we continued the evolution of our D&amp;I strategy and objectives and recognize it as an ongoing business imperative.</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ind w:right="100" w:firstLine="490"/>
        <w:spacing w:after="0" w:line="262" w:lineRule="auto"/>
        <w:rPr>
          <w:sz w:val="20"/>
          <w:szCs w:val="20"/>
          <w:color w:val="auto"/>
        </w:rPr>
      </w:pPr>
      <w:r>
        <w:rPr>
          <w:rFonts w:ascii="Times New Roman" w:cs="Times New Roman" w:eastAsia="Times New Roman" w:hAnsi="Times New Roman"/>
          <w:sz w:val="20"/>
          <w:szCs w:val="20"/>
          <w:color w:val="auto"/>
        </w:rPr>
        <w:t>We maintain a website with the address https://ir.p10alts.com/. We are not including the information contained on our website as part of, or incorporating it by reference into, this Form 10-K. Through our website, we make available free of charge our annual reports on Form 10-K, quarterly reports on Form 10-Q, current reports on Form 8-K, and amendments to these reports in a timely manner after we provide them to the Securities and Exchange Commission (“SEC”).</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40"/>
          </w:cols>
          <w:pgMar w:left="1080" w:top="1056" w:right="1120" w:bottom="175"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revenue in any given period is dependent on the number of fee-paying clients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spacing w:after="0" w:line="74"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markets solutions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clients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clients as a result of the sale or merger of a client, a change in a client's senior management, competition from other financial advisors and financial institutions and other causes. Moreover, certain of our contracts with state government-sponsored clients are secured through such government’s request for proposal process, and can be subject to renewal. If multiple clients were to exercise their termination rights or fail to renew their existing contracts or investors removed us from managing a fund and we were unable to secure new clients, our fees would decline. In the case of any such events, the management fees and advisory fees we earn in connection with managing such account or fund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with our funds and our separate account clients would be subject to investor or client consent. We cannot assure you that required consents will be obtained if such a change of control occurs.</w:t>
      </w:r>
    </w:p>
    <w:p>
      <w:pPr>
        <w:spacing w:after="0" w:line="33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the investments we make on behalf of our specialized investment vehicles perform poorly, our ability to raise capital for future specialized investment vehicles may be materially and adversely affected.</w:t>
      </w:r>
    </w:p>
    <w:p>
      <w:pPr>
        <w:spacing w:after="0" w:line="4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Our subsidiaries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clients in the future.</w:t>
      </w:r>
    </w:p>
    <w:p>
      <w:pPr>
        <w:spacing w:after="0" w:line="325"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historical performance of our investments should not be considered as indicative of the future results of our investments or our operations.</w:t>
      </w:r>
    </w:p>
    <w:p>
      <w:pPr>
        <w:spacing w:after="0" w:line="49" w:lineRule="exact"/>
        <w:rPr>
          <w:sz w:val="20"/>
          <w:szCs w:val="20"/>
          <w:color w:val="auto"/>
        </w:rPr>
      </w:pPr>
    </w:p>
    <w:p>
      <w:pPr>
        <w:ind w:right="60" w:firstLine="490"/>
        <w:spacing w:after="0" w:line="271" w:lineRule="auto"/>
        <w:rPr>
          <w:sz w:val="20"/>
          <w:szCs w:val="20"/>
          <w:color w:val="auto"/>
        </w:rPr>
      </w:pPr>
      <w:r>
        <w:rPr>
          <w:rFonts w:ascii="Times New Roman" w:cs="Times New Roman" w:eastAsia="Times New Roman" w:hAnsi="Times New Roman"/>
          <w:sz w:val="19"/>
          <w:szCs w:val="19"/>
          <w:color w:val="auto"/>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w:t>
      </w:r>
    </w:p>
    <w:p>
      <w:pPr>
        <w:sectPr>
          <w:pgSz w:w="12240" w:h="15840" w:orient="portrait"/>
          <w:cols w:equalWidth="0" w:num="1">
            <w:col w:w="10080"/>
          </w:cols>
          <w:pgMar w:left="1080" w:top="1056" w:right="1080" w:bottom="175"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56" w:right="1080" w:bottom="175" w:gutter="0" w:footer="0" w:header="0"/>
          <w:type w:val="continuous"/>
        </w:sectPr>
      </w:pPr>
    </w:p>
    <w:bookmarkStart w:id="31" w:name="page32"/>
    <w:bookmarkEnd w:id="31"/>
    <w:p>
      <w:pPr>
        <w:ind w:right="140"/>
        <w:spacing w:after="0" w:line="262" w:lineRule="auto"/>
        <w:rPr>
          <w:sz w:val="20"/>
          <w:szCs w:val="20"/>
          <w:color w:val="auto"/>
        </w:rPr>
      </w:pPr>
      <w:r>
        <w:rPr>
          <w:rFonts w:ascii="Times New Roman" w:cs="Times New Roman" w:eastAsia="Times New Roman" w:hAnsi="Times New Roman"/>
          <w:sz w:val="20"/>
          <w:szCs w:val="20"/>
          <w:color w:val="auto"/>
        </w:rPr>
        <w:t>performance of our specialized investment vehicles or the investments that we recommend to our investors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88" w:lineRule="exact"/>
        <w:rPr>
          <w:sz w:val="20"/>
          <w:szCs w:val="20"/>
          <w:color w:val="auto"/>
        </w:rPr>
      </w:pPr>
    </w:p>
    <w:p>
      <w:pPr>
        <w:ind w:left="980" w:right="5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and investment opportunities during previous periods may have been significantly more favorable for generating positive performance than those we may experience in the future;</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our funds is generally calculated on the basis of the net asset value of the funds’ investments, including unrealized gains, which may never be realized;</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historical returns derive largely from the performance of our earlier funds, whereas future fund returns will depend increasingly on the performance of our newer funds or funds not yet formed;</w:t>
      </w:r>
    </w:p>
    <w:p>
      <w:pPr>
        <w:spacing w:after="0" w:line="64" w:lineRule="exact"/>
        <w:rPr>
          <w:rFonts w:ascii="Arial" w:cs="Arial" w:eastAsia="Arial" w:hAnsi="Arial"/>
          <w:sz w:val="20"/>
          <w:szCs w:val="20"/>
          <w:color w:val="auto"/>
        </w:rPr>
      </w:pPr>
    </w:p>
    <w:p>
      <w:pPr>
        <w:ind w:left="980" w:right="40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newly established funds typically generate lower returns during the period that they initially deploy their capital;</w:t>
      </w:r>
    </w:p>
    <w:p>
      <w:pPr>
        <w:spacing w:after="0" w:line="64" w:lineRule="exact"/>
        <w:rPr>
          <w:rFonts w:ascii="Arial" w:cs="Arial" w:eastAsia="Arial" w:hAnsi="Arial"/>
          <w:sz w:val="20"/>
          <w:szCs w:val="20"/>
          <w:color w:val="auto"/>
        </w:rPr>
      </w:pPr>
    </w:p>
    <w:p>
      <w:pPr>
        <w:ind w:left="980" w:right="2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87" w:lineRule="exact"/>
        <w:rPr>
          <w:rFonts w:ascii="Arial" w:cs="Arial" w:eastAsia="Arial" w:hAnsi="Arial"/>
          <w:sz w:val="20"/>
          <w:szCs w:val="20"/>
          <w:color w:val="auto"/>
        </w:rPr>
      </w:pPr>
    </w:p>
    <w:p>
      <w:pPr>
        <w:ind w:left="980" w:right="2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87"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particular funds also will be affected by risks of the industries and businesses in which they invest.</w:t>
      </w:r>
    </w:p>
    <w:p>
      <w:pPr>
        <w:spacing w:after="0" w:line="29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business depends on the identification and availability of suitable investment opportunities for our investors.</w:t>
      </w:r>
    </w:p>
    <w:p>
      <w:pPr>
        <w:spacing w:after="0" w:line="49"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and in which we invest.</w:t>
      </w:r>
    </w:p>
    <w:p>
      <w:pPr>
        <w:spacing w:after="0" w:line="194"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Past returns of our specialized investment vehicles and advisory accounts have benefited from investment opportunities and general market conditions that may not continue or reoccur, including previously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194" w:lineRule="exact"/>
        <w:rPr>
          <w:sz w:val="20"/>
          <w:szCs w:val="20"/>
          <w:color w:val="auto"/>
        </w:rPr>
      </w:pPr>
    </w:p>
    <w:p>
      <w:pPr>
        <w:ind w:right="440" w:firstLine="490"/>
        <w:spacing w:after="0" w:line="287" w:lineRule="auto"/>
        <w:rPr>
          <w:sz w:val="20"/>
          <w:szCs w:val="20"/>
          <w:color w:val="auto"/>
        </w:rPr>
      </w:pPr>
      <w:r>
        <w:rPr>
          <w:rFonts w:ascii="Times New Roman" w:cs="Times New Roman" w:eastAsia="Times New Roman" w:hAnsi="Times New Roman"/>
          <w:sz w:val="20"/>
          <w:szCs w:val="20"/>
          <w:color w:val="auto"/>
        </w:rPr>
        <w:t>Further, there can be no assurance that the managers of the private markets funds we select will be able to identify sufficient attractive investment opportunities to meet their investment objectives.</w:t>
      </w: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access to investment funds and other investments we make for our investors is intense.</w:t>
      </w:r>
    </w:p>
    <w:p>
      <w:pPr>
        <w:spacing w:after="0" w:line="12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and, upon closing of the Qualitas acquisition, Europe,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w:t>
      </w:r>
    </w:p>
    <w:p>
      <w:pPr>
        <w:sectPr>
          <w:pgSz w:w="12240" w:h="15840" w:orient="portrait"/>
          <w:cols w:equalWidth="0" w:num="1">
            <w:col w:w="10060"/>
          </w:cols>
          <w:pgMar w:left="1080" w:top="1060" w:right="1100" w:bottom="17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60"/>
          </w:cols>
          <w:pgMar w:left="1080" w:top="1060" w:right="1100" w:bottom="175" w:gutter="0" w:footer="0" w:header="0"/>
          <w:type w:val="continuous"/>
        </w:sectPr>
      </w:pPr>
    </w:p>
    <w:bookmarkStart w:id="32" w:name="page33"/>
    <w:bookmarkEnd w:id="32"/>
    <w:p>
      <w:pPr>
        <w:ind w:right="780"/>
        <w:spacing w:after="0" w:line="287" w:lineRule="auto"/>
        <w:rPr>
          <w:sz w:val="20"/>
          <w:szCs w:val="20"/>
          <w:color w:val="auto"/>
        </w:rPr>
      </w:pPr>
      <w:r>
        <w:rPr>
          <w:rFonts w:ascii="Times New Roman" w:cs="Times New Roman" w:eastAsia="Times New Roman" w:hAnsi="Times New Roman"/>
          <w:sz w:val="20"/>
          <w:szCs w:val="20"/>
          <w:color w:val="auto"/>
        </w:rPr>
        <w:t>intermediaries. Our ability to continue to compete effectively will depend upon our ability to attract highly qualified investment professionals and retain existing employees.</w:t>
      </w:r>
    </w:p>
    <w:p>
      <w:pPr>
        <w:spacing w:after="0" w:line="289" w:lineRule="exact"/>
        <w:rPr>
          <w:sz w:val="20"/>
          <w:szCs w:val="20"/>
          <w:color w:val="auto"/>
        </w:rPr>
      </w:pPr>
    </w:p>
    <w:p>
      <w:pPr>
        <w:ind w:left="100"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deal appropriately with conflicts of interest could damage our reputation and materially and adversely affect our business.</w:t>
      </w:r>
    </w:p>
    <w:p>
      <w:pPr>
        <w:spacing w:after="0" w:line="4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As we expand the scope of our business, we increasingly confront potential conflicts of interest relating to our advisory and investment management businesses. For example, we may recommend that various of our advisory clients invest in specialized funds managed by our investment management business. It is possible that actual, potential or perceived conflicts could give rise to investor dissatisfaction, litigation or regulatory enforcement actions. Certain of our subsidiaries are investment advisers and they owe their clients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32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obligations to investors and may have obligations to other third parties that may conflict with interests of our stockholders.</w:t>
      </w:r>
    </w:p>
    <w:p>
      <w:pPr>
        <w:spacing w:after="0" w:line="49"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that may conflict with interests of our stockholders.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in order to comply with these fiduciary and contractual obligations.</w:t>
      </w:r>
    </w:p>
    <w:p>
      <w:pPr>
        <w:spacing w:after="0" w:line="32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ability to retain our senior leadership team and find, attract, retain and develop human capital in a highly competitive talent market is critical to our success.</w:t>
      </w:r>
    </w:p>
    <w:p>
      <w:pPr>
        <w:spacing w:after="0" w:line="49" w:lineRule="exact"/>
        <w:rPr>
          <w:sz w:val="20"/>
          <w:szCs w:val="20"/>
          <w:color w:val="auto"/>
        </w:rPr>
      </w:pPr>
    </w:p>
    <w:p>
      <w:pPr>
        <w:ind w:right="100" w:firstLine="490"/>
        <w:spacing w:after="0" w:line="256" w:lineRule="auto"/>
        <w:rPr>
          <w:sz w:val="20"/>
          <w:szCs w:val="20"/>
          <w:color w:val="auto"/>
        </w:rPr>
      </w:pPr>
      <w:r>
        <w:rPr>
          <w:rFonts w:ascii="Times New Roman" w:cs="Times New Roman" w:eastAsia="Times New Roman" w:hAnsi="Times New Roman"/>
          <w:sz w:val="20"/>
          <w:szCs w:val="20"/>
          <w:color w:val="auto"/>
        </w:rPr>
        <w:t>Our success depends on our ability to retain our senior leadership team and to find,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w:t>
      </w:r>
    </w:p>
    <w:p>
      <w:pPr>
        <w:spacing w:after="0" w:line="20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develop and motivate highly-skilled and highly-qualified individuals. We seek to provide our personnel with competitive benefits and compensation packages. However, our efforts may not be sufficient to enable us to find, attract, retain, develop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60" w:right="1080" w:bottom="175" w:gutter="0" w:footer="0" w:header="0"/>
          <w:type w:val="continuous"/>
        </w:sectPr>
      </w:pPr>
    </w:p>
    <w:bookmarkStart w:id="33" w:name="page34"/>
    <w:bookmarkEnd w:id="33"/>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intend to expand our business and may enter into new lines of business or geographic markets, which may result in additional risks and uncertainties in our business.</w:t>
      </w:r>
    </w:p>
    <w:p>
      <w:pPr>
        <w:spacing w:after="0" w:line="8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Most of our revenue is derived from management and advisory fees based on committed capital that is typically subject to multi-year lock up agreements, typically between 10 and 15 years. We continue to grow our business by offering 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continue to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203"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transactions and recent acquisitions could pose risks.</w:t>
      </w:r>
    </w:p>
    <w:p>
      <w:pPr>
        <w:spacing w:after="0" w:line="12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We frequently evaluate strategic opportunities and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a material adverse effect on our business, financial condition and results of operations.</w:t>
      </w:r>
    </w:p>
    <w:p>
      <w:pPr>
        <w:spacing w:after="0" w:line="205"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In September 2024, the Company announced the definitive agreement to acquire Qualitas. This acquisition, expected to close in the first quarter of 2025, establishes a European presence and meaningfully grows P10’s investor base, positioning the Company as a leading global, multi-strategy private markets firm focused on the middle and lower-middle markets.</w:t>
      </w:r>
    </w:p>
    <w:p>
      <w:pPr>
        <w:spacing w:after="0" w:line="2"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0"/>
          <w:szCs w:val="20"/>
          <w:color w:val="auto"/>
        </w:rPr>
        <w:t>However, there can be no assurance that the Qualitas acquisition will be completed on the expected timeframe or at all, or that we will successfully integrate its operations into our business or otherwise realize the anticipated benefits of the acquisition.</w:t>
      </w:r>
    </w:p>
    <w:p>
      <w:pPr>
        <w:spacing w:after="0" w:line="201"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Unforeseen liabilities may also arise from prior and future acquisition activity. We have operations in numerous states, and continue to review potential acquisitions in the European Union ("EU") and in states throughout the U.S., each of which has its own regulatory and compliance requirements. Each of our current and future businesses is and will be required to comply with all applicable federal, state and local laws, rules and regulations. From time to time regulators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w:t>
      </w:r>
    </w:p>
    <w:p>
      <w:pPr>
        <w:spacing w:after="0" w:line="7" w:lineRule="exact"/>
        <w:rPr>
          <w:sz w:val="20"/>
          <w:szCs w:val="20"/>
          <w:color w:val="auto"/>
        </w:rPr>
      </w:pPr>
    </w:p>
    <w:p>
      <w:pPr>
        <w:ind w:right="100"/>
        <w:spacing w:after="0" w:line="286" w:lineRule="auto"/>
        <w:tabs>
          <w:tab w:leader="none" w:pos="35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we were liable for claims for which indemnification under our acquisition agreement or other coverage is not available, our business, financial condition and results of operations could be materially and adversely affected.</w:t>
      </w:r>
    </w:p>
    <w:p>
      <w:pPr>
        <w:sectPr>
          <w:pgSz w:w="12240" w:h="15840" w:orient="portrait"/>
          <w:cols w:equalWidth="0" w:num="1">
            <w:col w:w="10080"/>
          </w:cols>
          <w:pgMar w:left="1080" w:top="1060" w:right="1080" w:bottom="175"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60" w:right="1080" w:bottom="175" w:gutter="0" w:footer="0" w:header="0"/>
          <w:type w:val="continuous"/>
        </w:sectPr>
      </w:pPr>
    </w:p>
    <w:bookmarkStart w:id="34" w:name="page35"/>
    <w:bookmarkEnd w:id="34"/>
    <w:p>
      <w:pPr>
        <w:ind w:right="7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organic growth with selective strategic acquisitions in recent years may be difficult to sustain, as it may place significant demands on our resources and employees and may increase our expenses.</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grown organically and further evolved by adding complementary solutions and integrating these solutions into our existing offerings to generate cross-selling opportunities across our existing investor base, as demonstrated by the acquisitions of Hark, Bonaccord, and WTI. The substantial growth of our business has placed, and if it continues, will 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businesses may not perform as expected, leading to an adverse effect on our earnings and revenue growth.</w:t>
      </w:r>
    </w:p>
    <w:p>
      <w:pPr>
        <w:spacing w:after="0" w:line="13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Acquisitions involve a number of risks, including the following, any of which could have an adverse effect on our business and our earnings and revenue growth: (i) incurring costs in excess of what we anticipated; (ii) potential loss of key investment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200"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past acquisitions as well as acquisitions we may enter into in the future.</w:t>
      </w:r>
    </w:p>
    <w:p>
      <w:pPr>
        <w:spacing w:after="0" w:line="3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indebtedness and our future indebtedness may expose us to substantial risks.</w:t>
      </w:r>
    </w:p>
    <w:p>
      <w:pPr>
        <w:spacing w:after="0" w:line="120" w:lineRule="exact"/>
        <w:rPr>
          <w:sz w:val="20"/>
          <w:szCs w:val="20"/>
          <w:color w:val="auto"/>
        </w:rPr>
      </w:pPr>
    </w:p>
    <w:p>
      <w:pPr>
        <w:jc w:val="both"/>
        <w:ind w:right="180" w:firstLine="490"/>
        <w:spacing w:after="0" w:line="289" w:lineRule="auto"/>
        <w:rPr>
          <w:sz w:val="20"/>
          <w:szCs w:val="20"/>
          <w:color w:val="auto"/>
        </w:rPr>
      </w:pPr>
      <w:r>
        <w:rPr>
          <w:rFonts w:ascii="Times New Roman" w:cs="Times New Roman" w:eastAsia="Times New Roman" w:hAnsi="Times New Roman"/>
          <w:sz w:val="19"/>
          <w:szCs w:val="19"/>
          <w:color w:val="auto"/>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w:t>
      </w:r>
    </w:p>
    <w:p>
      <w:pPr>
        <w:sectPr>
          <w:pgSz w:w="12240" w:h="15840" w:orient="portrait"/>
          <w:cols w:equalWidth="0" w:num="1">
            <w:col w:w="10060"/>
          </w:cols>
          <w:pgMar w:left="1080" w:top="1060" w:right="1100" w:bottom="17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60"/>
          </w:cols>
          <w:pgMar w:left="1080" w:top="1060" w:right="1100" w:bottom="175" w:gutter="0" w:footer="0" w:header="0"/>
          <w:type w:val="continuous"/>
        </w:sectPr>
      </w:pPr>
    </w:p>
    <w:bookmarkStart w:id="35" w:name="page36"/>
    <w:bookmarkEnd w:id="35"/>
    <w:p>
      <w:pPr>
        <w:ind w:right="40"/>
        <w:spacing w:after="0" w:line="268" w:lineRule="auto"/>
        <w:rPr>
          <w:sz w:val="20"/>
          <w:szCs w:val="20"/>
          <w:color w:val="auto"/>
        </w:rPr>
      </w:pPr>
      <w:r>
        <w:rPr>
          <w:rFonts w:ascii="Times New Roman" w:cs="Times New Roman" w:eastAsia="Times New Roman" w:hAnsi="Times New Roman"/>
          <w:sz w:val="20"/>
          <w:szCs w:val="20"/>
          <w:color w:val="auto"/>
        </w:rPr>
        <w:t>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pacing w:after="0" w:line="30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Restrictive covenants in agreements and instruments governing our debt may adversely affect our ability to operate our business and our failure to comply with any of these covenants may put us in default, which could have an adverse effect on our business and prospects.</w:t>
      </w:r>
    </w:p>
    <w:p>
      <w:pPr>
        <w:spacing w:after="0" w:line="68" w:lineRule="exact"/>
        <w:rPr>
          <w:sz w:val="20"/>
          <w:szCs w:val="20"/>
          <w:color w:val="auto"/>
        </w:rPr>
      </w:pPr>
    </w:p>
    <w:p>
      <w:pPr>
        <w:ind w:right="500" w:firstLine="490"/>
        <w:spacing w:after="0" w:line="287" w:lineRule="auto"/>
        <w:rPr>
          <w:sz w:val="20"/>
          <w:szCs w:val="20"/>
          <w:color w:val="auto"/>
        </w:rPr>
      </w:pPr>
      <w:r>
        <w:rPr>
          <w:rFonts w:ascii="Times New Roman" w:cs="Times New Roman" w:eastAsia="Times New Roman" w:hAnsi="Times New Roman"/>
          <w:sz w:val="20"/>
          <w:szCs w:val="20"/>
          <w:color w:val="auto"/>
        </w:rPr>
        <w:t>The terms in our agreements and instruments governing our debt contain various provisions that limit our and our subsidiaries’ ability to, among other things:</w:t>
      </w:r>
    </w:p>
    <w:p>
      <w:pPr>
        <w:spacing w:after="0" w:line="63" w:lineRule="exact"/>
        <w:rPr>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incur additional indebtedness;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create or incur any lien on our or our subsidiaries' assets;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make acquisitions or other investments;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pay dividends or repurchase our equity interests;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any merger or consolidation;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sell or otherwise dispose of any property or assets;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any transaction with an affiliate other than on an arms' length basis.</w:t>
      </w:r>
    </w:p>
    <w:p>
      <w:pPr>
        <w:spacing w:after="0" w:line="23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may also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An event of default under any of the agreements and instruments relating to our outstanding indebtedness could cause all amounts outstanding with respect to that debt to be due and payable immediately, any future commitments for further credit to be terminated, a foreclosure against our assets comprising the collateral securing or otherwise supporting the debt and the pursuit of other legal remedies by our lenders. Our assets and cash flow may be insufficient to fully repay borrowings under our outstanding debt instruments if the obligations thereunder were accelerated upon an event of default. We may need to conduct asset sales or elect to pursue other alternatives, including proceedings under applicable insolvency laws relating to some or all of our business. Any or all of the above could have a material adverse effect on our business, financing activities, financial conditions and operations.</w:t>
      </w:r>
    </w:p>
    <w:p>
      <w:pPr>
        <w:spacing w:after="0" w:line="3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68"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including as a result of higher interest rates and international conflicts. Any such events could adversely impact the availability of credit to businesses generally, the cost or terms on which lenders are willing to lend, or the strength of the overall economy.</w:t>
      </w:r>
    </w:p>
    <w:p>
      <w:pPr>
        <w:spacing w:after="0" w:line="200"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20"/>
          <w:szCs w:val="20"/>
          <w:color w:val="auto"/>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w:t>
      </w:r>
    </w:p>
    <w:p>
      <w:pPr>
        <w:sectPr>
          <w:pgSz w:w="12240" w:h="15840" w:orient="portrait"/>
          <w:cols w:equalWidth="0" w:num="1">
            <w:col w:w="10080"/>
          </w:cols>
          <w:pgMar w:left="1080" w:top="1060" w:right="1080" w:bottom="175"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60" w:right="1080" w:bottom="175" w:gutter="0" w:footer="0" w:header="0"/>
          <w:type w:val="continuous"/>
        </w:sectPr>
      </w:pPr>
    </w:p>
    <w:bookmarkStart w:id="36" w:name="page37"/>
    <w:bookmarkEnd w:id="36"/>
    <w:p>
      <w:pPr>
        <w:ind w:right="20"/>
        <w:spacing w:after="0" w:line="268" w:lineRule="auto"/>
        <w:rPr>
          <w:sz w:val="20"/>
          <w:szCs w:val="20"/>
          <w:color w:val="auto"/>
        </w:rPr>
      </w:pPr>
      <w:r>
        <w:rPr>
          <w:rFonts w:ascii="Times New Roman" w:cs="Times New Roman" w:eastAsia="Times New Roman" w:hAnsi="Times New Roman"/>
          <w:sz w:val="20"/>
          <w:szCs w:val="20"/>
          <w:color w:val="auto"/>
        </w:rPr>
        <w:t>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Defaults by investors in certain of our specialized funds could adversely affect that fund’s operations and performance.</w:t>
      </w:r>
    </w:p>
    <w:p>
      <w:pPr>
        <w:spacing w:after="0" w:line="13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does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205"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31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investment guidelines set by our investors could result in damage awards against us or a reduction in FPAUM, either of which would cause our earnings to decline and adversely affect our business.</w:t>
      </w:r>
    </w:p>
    <w:p>
      <w:pPr>
        <w:spacing w:after="0" w:line="4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32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Misconduct by our employees, advisors or third-party service providers could harm us by impairing our ability to attract and retain investors and subject us to significant legal liability and reputational harm.</w:t>
      </w:r>
    </w:p>
    <w:p>
      <w:pPr>
        <w:spacing w:after="0" w:line="49"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60" w:right="1080" w:bottom="175" w:gutter="0" w:footer="0" w:header="0"/>
          <w:type w:val="continuous"/>
        </w:sectPr>
      </w:pPr>
    </w:p>
    <w:bookmarkStart w:id="37" w:name="page38"/>
    <w:bookmarkEnd w:id="37"/>
    <w:p>
      <w:pPr>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spacing w:after="0" w:line="6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203"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spacing w:after="0" w:line="20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Further, the SEC has highlighted valuation practices as one of its areas of focus in investment adviser examinations and has continued to institute enforcement actions against investment advisers for misleading investors about valuation and failing to adopt and implement reasonably designed written policies and procedures concerning the valuation of investments.. If the SEC were to investigate and find errors in our policies or procedures, we and/or members of our management could be subject to penalties and fines, which could harm our reputation and have a material adverse effect on our business, financial condition and results of operations.</w:t>
      </w:r>
    </w:p>
    <w:p>
      <w:pPr>
        <w:spacing w:after="0" w:line="32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207" w:lineRule="exact"/>
        <w:rPr>
          <w:sz w:val="20"/>
          <w:szCs w:val="20"/>
          <w:color w:val="auto"/>
        </w:rPr>
      </w:pPr>
    </w:p>
    <w:p>
      <w:pPr>
        <w:ind w:right="80" w:firstLine="490"/>
        <w:spacing w:after="0" w:line="287" w:lineRule="auto"/>
        <w:rPr>
          <w:sz w:val="20"/>
          <w:szCs w:val="20"/>
          <w:color w:val="auto"/>
        </w:rPr>
      </w:pPr>
      <w:r>
        <w:rPr>
          <w:rFonts w:ascii="Times New Roman" w:cs="Times New Roman" w:eastAsia="Times New Roman" w:hAnsi="Times New Roman"/>
          <w:sz w:val="20"/>
          <w:szCs w:val="20"/>
          <w:color w:val="auto"/>
        </w:rPr>
        <w:t>In addition, our specialized funds directly or indirectly invest in businesses with capital structures that have significant leverage. The leveraged capital structure of such businesses increases the exposure of the funds’ portfolio companies to</w:t>
      </w:r>
    </w:p>
    <w:p>
      <w:pPr>
        <w:sectPr>
          <w:pgSz w:w="12240" w:h="15840" w:orient="portrait"/>
          <w:cols w:equalWidth="0" w:num="1">
            <w:col w:w="10060"/>
          </w:cols>
          <w:pgMar w:left="1080" w:top="1060" w:right="1100" w:bottom="175"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60"/>
          </w:cols>
          <w:pgMar w:left="1080" w:top="1060" w:right="1100" w:bottom="175" w:gutter="0" w:footer="0" w:header="0"/>
          <w:type w:val="continuous"/>
        </w:sectPr>
      </w:pPr>
    </w:p>
    <w:bookmarkStart w:id="38" w:name="page39"/>
    <w:bookmarkEnd w:id="38"/>
    <w:p>
      <w:pPr>
        <w:ind w:right="300"/>
        <w:spacing w:after="0" w:line="268" w:lineRule="auto"/>
        <w:rPr>
          <w:sz w:val="20"/>
          <w:szCs w:val="20"/>
          <w:color w:val="auto"/>
        </w:rPr>
      </w:pPr>
      <w:r>
        <w:rPr>
          <w:rFonts w:ascii="Times New Roman" w:cs="Times New Roman" w:eastAsia="Times New Roman" w:hAnsi="Times New Roman"/>
          <w:sz w:val="20"/>
          <w:szCs w:val="20"/>
          <w:color w:val="auto"/>
        </w:rPr>
        <w:t>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188"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208"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specialized investment vehicles may face risks relating to undiversified investments.</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specialized investment vehicles make investments in funds and companies that we do not control.</w:t>
      </w:r>
    </w:p>
    <w:p>
      <w:pPr>
        <w:spacing w:after="0" w:line="12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spacing w:after="0" w:line="32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Investments by our specialized investment vehicles or advisory accounts may in many cases rank junior to investments made by other investors.</w:t>
      </w:r>
    </w:p>
    <w:p>
      <w:pPr>
        <w:spacing w:after="0" w:line="49" w:lineRule="exact"/>
        <w:rPr>
          <w:sz w:val="20"/>
          <w:szCs w:val="20"/>
          <w:color w:val="auto"/>
        </w:rPr>
      </w:pPr>
    </w:p>
    <w:p>
      <w:pPr>
        <w:ind w:right="20" w:firstLine="490"/>
        <w:spacing w:after="0" w:line="271" w:lineRule="auto"/>
        <w:rPr>
          <w:sz w:val="20"/>
          <w:szCs w:val="20"/>
          <w:color w:val="auto"/>
        </w:rPr>
      </w:pPr>
      <w:r>
        <w:rPr>
          <w:rFonts w:ascii="Times New Roman" w:cs="Times New Roman" w:eastAsia="Times New Roman" w:hAnsi="Times New Roman"/>
          <w:sz w:val="19"/>
          <w:szCs w:val="19"/>
          <w:color w:val="auto"/>
        </w:rPr>
        <w:t>In many cases, the companies in which our specialized investment vehicles or advisory accounts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w:t>
      </w:r>
    </w:p>
    <w:p>
      <w:pPr>
        <w:sectPr>
          <w:pgSz w:w="12240" w:h="15840" w:orient="portrait"/>
          <w:cols w:equalWidth="0" w:num="1">
            <w:col w:w="10060"/>
          </w:cols>
          <w:pgMar w:left="1080" w:top="1060" w:right="1100" w:bottom="175"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60"/>
          </w:cols>
          <w:pgMar w:left="1080" w:top="1060" w:right="1100" w:bottom="175" w:gutter="0" w:footer="0" w:header="0"/>
          <w:type w:val="continuous"/>
        </w:sectPr>
      </w:pPr>
    </w:p>
    <w:bookmarkStart w:id="39" w:name="page40"/>
    <w:bookmarkEnd w:id="39"/>
    <w:p>
      <w:pPr>
        <w:ind w:right="120"/>
        <w:spacing w:after="0" w:line="256" w:lineRule="auto"/>
        <w:rPr>
          <w:sz w:val="20"/>
          <w:szCs w:val="20"/>
          <w:color w:val="auto"/>
        </w:rPr>
      </w:pPr>
      <w:r>
        <w:rPr>
          <w:rFonts w:ascii="Times New Roman" w:cs="Times New Roman" w:eastAsia="Times New Roman" w:hAnsi="Times New Roman"/>
          <w:sz w:val="20"/>
          <w:szCs w:val="20"/>
          <w:color w:val="auto"/>
        </w:rPr>
        <w:t>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spacing w:after="0" w:line="32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desired fee structure as a result of industry pressure from private markets investors to reduce fees, which could have a material adverse effect on our profit margins and results of operations.</w:t>
      </w:r>
    </w:p>
    <w:p>
      <w:pPr>
        <w:spacing w:after="0" w:line="49"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no assurance can be made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strategies and procedures may leave us exposed to unidentified or unanticipated risks.</w:t>
      </w:r>
    </w:p>
    <w:p>
      <w:pPr>
        <w:spacing w:after="0" w:line="12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spacing w:after="0" w:line="32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Restrictions on our ability to collect and analyze data regarding our investors’ investments could adversely affect our business.</w:t>
      </w:r>
    </w:p>
    <w:p>
      <w:pPr>
        <w:spacing w:after="0" w:line="49"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3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74" w:lineRule="exact"/>
        <w:rPr>
          <w:sz w:val="20"/>
          <w:szCs w:val="20"/>
          <w:color w:val="auto"/>
        </w:rPr>
      </w:pPr>
    </w:p>
    <w:p>
      <w:pPr>
        <w:ind w:firstLine="490"/>
        <w:spacing w:after="0" w:line="280" w:lineRule="auto"/>
        <w:rPr>
          <w:sz w:val="20"/>
          <w:szCs w:val="20"/>
          <w:color w:val="auto"/>
        </w:rPr>
      </w:pPr>
      <w:r>
        <w:rPr>
          <w:rFonts w:ascii="Times New Roman" w:cs="Times New Roman" w:eastAsia="Times New Roman" w:hAnsi="Times New Roman"/>
          <w:sz w:val="19"/>
          <w:szCs w:val="19"/>
          <w:color w:val="auto"/>
        </w:rPr>
        <w:t>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w:t>
      </w:r>
    </w:p>
    <w:p>
      <w:pPr>
        <w:sectPr>
          <w:pgSz w:w="12240" w:h="15840" w:orient="portrait"/>
          <w:cols w:equalWidth="0" w:num="1">
            <w:col w:w="10060"/>
          </w:cols>
          <w:pgMar w:left="1080" w:top="1060" w:right="1100" w:bottom="175"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60"/>
          </w:cols>
          <w:pgMar w:left="1080" w:top="1060" w:right="1100" w:bottom="175" w:gutter="0" w:footer="0" w:header="0"/>
          <w:type w:val="continuous"/>
        </w:sectPr>
      </w:pPr>
    </w:p>
    <w:bookmarkStart w:id="40" w:name="page41"/>
    <w:bookmarkEnd w:id="40"/>
    <w:p>
      <w:pPr>
        <w:ind w:right="140"/>
        <w:spacing w:after="0" w:line="254" w:lineRule="auto"/>
        <w:rPr>
          <w:sz w:val="20"/>
          <w:szCs w:val="20"/>
          <w:color w:val="auto"/>
        </w:rPr>
      </w:pPr>
      <w:r>
        <w:rPr>
          <w:rFonts w:ascii="Times New Roman" w:cs="Times New Roman" w:eastAsia="Times New Roman" w:hAnsi="Times New Roman"/>
          <w:sz w:val="20"/>
          <w:szCs w:val="20"/>
          <w:color w:val="auto"/>
        </w:rPr>
        <w:t>including the loss of data, whether caused by fire, other natural disaster, power or telecommunications failure, service interruptions, system malfunction, unauthorized access, computer viruses, acts of terrorism or war or otherwise, could result in a disruption of our business, liability to investors, regulatory intervention or reputational damage, and thus materially and adversely affect our 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spacing w:after="0" w:line="205"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Advancements in emerging technologies, such as artificial intelligence or quantum computing, may also be used by cyber criminals to increase the variety and effectiveness of cyberattack techniques, enhance the pace of such attacks, and increase the severity of the damage they cause.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spacing w:after="0" w:line="209"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spacing w:after="0" w:line="197"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spacing w:after="0" w:line="20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or if our third-party service providers mishandle personal information that they received from us,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 performance of these third parties, or failures of their information systems and technology or their data privacy programs, could impair the quality of the funds’ operations and could affect our reputation and hence adversely affect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60" w:right="1080" w:bottom="175" w:gutter="0" w:footer="0" w:header="0"/>
          <w:type w:val="continuous"/>
        </w:sectPr>
      </w:pPr>
    </w:p>
    <w:bookmarkStart w:id="41" w:name="page42"/>
    <w:bookmarkEnd w:id="41"/>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and legal liability if our services are not regarded as satisfactory or for other reasons.</w:t>
      </w:r>
    </w:p>
    <w:p>
      <w:pPr>
        <w:spacing w:after="0" w:line="4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As a leading provider of private markets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spacing w:after="0" w:line="19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In recent years, the volume of claims and amount of damages claimed in litigation and regulatory proceedings against investment advisers has been increasing. Our asset management and advisory activities may subject us to the risk of significant 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 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spacing w:after="0" w:line="32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a strong and trusted brand, and any failure to maintain, protect, and enhance our brand would have an adverse impact on our business.</w:t>
      </w:r>
    </w:p>
    <w:p>
      <w:pPr>
        <w:spacing w:after="0" w:line="49" w:lineRule="exact"/>
        <w:rPr>
          <w:sz w:val="20"/>
          <w:szCs w:val="20"/>
          <w:color w:val="auto"/>
        </w:rPr>
      </w:pPr>
    </w:p>
    <w:p>
      <w:pPr>
        <w:ind w:right="100" w:firstLine="490"/>
        <w:spacing w:after="0" w:line="262" w:lineRule="auto"/>
        <w:rPr>
          <w:sz w:val="20"/>
          <w:szCs w:val="20"/>
          <w:color w:val="auto"/>
        </w:rPr>
      </w:pPr>
      <w:r>
        <w:rPr>
          <w:rFonts w:ascii="Times New Roman" w:cs="Times New Roman" w:eastAsia="Times New Roman" w:hAnsi="Times New Roman"/>
          <w:sz w:val="20"/>
          <w:szCs w:val="20"/>
          <w:color w:val="auto"/>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spacing w:after="0" w:line="194"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operations are subject to certain risks, which may affect our revenue.</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Upon the closing of the acquisition of Qualitas, we will have a European presence and 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spacing w:after="0" w:line="94" w:lineRule="exact"/>
        <w:rPr>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greater difficulties in managing and staffing foreign operations;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foreign currency exchange rates that could adversely affect our results;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trading policies, regulatory requirements, tariffs and other barriers;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longer transaction cycles;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higher operating costs;</w:t>
      </w:r>
    </w:p>
    <w:p>
      <w:pPr>
        <w:sectPr>
          <w:pgSz w:w="12240" w:h="15840" w:orient="portrait"/>
          <w:cols w:equalWidth="0" w:num="1">
            <w:col w:w="10040"/>
          </w:cols>
          <w:pgMar w:left="1080" w:top="1060" w:right="1120" w:bottom="175"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40"/>
          </w:cols>
          <w:pgMar w:left="1080" w:top="1060" w:right="1120" w:bottom="175" w:gutter="0" w:footer="0" w:header="0"/>
          <w:type w:val="continuous"/>
        </w:sectPr>
      </w:pPr>
    </w:p>
    <w:bookmarkStart w:id="42" w:name="page43"/>
    <w:bookmarkEnd w:id="42"/>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local labor, protections conditions and regulations;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consequences or restrictions on the repatriation of earnings;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adverse tax consequences, such as trapped foreign losses;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less stable political and economic environments;</w:t>
      </w:r>
    </w:p>
    <w:p>
      <w:pPr>
        <w:spacing w:after="0" w:line="133"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terrorism, political hostilities, war, outbreak of disease and other civil disturbances or other catastrophic events that reduce business activity;</w:t>
      </w:r>
    </w:p>
    <w:p>
      <w:pPr>
        <w:spacing w:after="0" w:line="64"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cultural and language barriers and the need to adopt different business practices in different geographic areas;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collecting fees and, if necessary, enforcing judgments.</w:t>
      </w:r>
    </w:p>
    <w:p>
      <w:pPr>
        <w:spacing w:after="0" w:line="239"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As part of our day-to-day operations outside the U.S., we are required to create compensation programs, employment policies, compliance policies and procedures and other administrative programs that comply with the laws of multiple countries. We also are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7" w:lineRule="exact"/>
        <w:rPr>
          <w:sz w:val="20"/>
          <w:szCs w:val="20"/>
          <w:color w:val="auto"/>
        </w:rPr>
      </w:pPr>
    </w:p>
    <w:p>
      <w:pPr>
        <w:ind w:right="80" w:firstLine="490"/>
        <w:spacing w:after="0" w:line="256"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in using custodians, counterparties, administrators and other agents.</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0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205" w:lineRule="exact"/>
        <w:rPr>
          <w:sz w:val="20"/>
          <w:szCs w:val="20"/>
          <w:color w:val="auto"/>
        </w:rPr>
      </w:pPr>
    </w:p>
    <w:p>
      <w:pPr>
        <w:ind w:right="180" w:firstLine="490"/>
        <w:spacing w:after="0" w:line="262" w:lineRule="auto"/>
        <w:rPr>
          <w:sz w:val="20"/>
          <w:szCs w:val="20"/>
          <w:color w:val="auto"/>
        </w:rPr>
      </w:pPr>
      <w:r>
        <w:rPr>
          <w:rFonts w:ascii="Times New Roman" w:cs="Times New Roman" w:eastAsia="Times New Roman" w:hAnsi="Times New Roman"/>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94" w:lineRule="exact"/>
        <w:rPr>
          <w:sz w:val="20"/>
          <w:szCs w:val="20"/>
          <w:color w:val="auto"/>
        </w:rPr>
      </w:pPr>
    </w:p>
    <w:p>
      <w:pPr>
        <w:ind w:right="320" w:firstLine="490"/>
        <w:spacing w:after="0" w:line="259" w:lineRule="auto"/>
        <w:rPr>
          <w:sz w:val="20"/>
          <w:szCs w:val="20"/>
          <w:color w:val="auto"/>
        </w:rPr>
      </w:pPr>
      <w:r>
        <w:rPr>
          <w:rFonts w:ascii="Times New Roman" w:cs="Times New Roman" w:eastAsia="Times New Roman" w:hAnsi="Times New Roman"/>
          <w:sz w:val="20"/>
          <w:szCs w:val="20"/>
          <w:color w:val="auto"/>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ectPr>
          <w:pgSz w:w="12240" w:h="15840" w:orient="portrait"/>
          <w:cols w:equalWidth="0" w:num="1">
            <w:col w:w="10080"/>
          </w:cols>
          <w:pgMar w:left="1080" w:top="1074" w:right="1080" w:bottom="175"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74" w:right="1080" w:bottom="175" w:gutter="0" w:footer="0" w:header="0"/>
          <w:type w:val="continuous"/>
        </w:sectPr>
      </w:pPr>
    </w:p>
    <w:bookmarkStart w:id="43" w:name="page44"/>
    <w:bookmarkEnd w:id="43"/>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05"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spacing w:after="0" w:line="3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our net operating loss (“NOL”) and other tax carryforwards which may have the effect of devaluing significant deferred tax assets of the company.</w:t>
      </w:r>
    </w:p>
    <w:p>
      <w:pPr>
        <w:spacing w:after="0" w:line="49"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As of December 31, 2024, we had $60 million of federal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202" w:lineRule="exact"/>
        <w:rPr>
          <w:sz w:val="20"/>
          <w:szCs w:val="20"/>
          <w:color w:val="auto"/>
        </w:rPr>
      </w:pPr>
    </w:p>
    <w:p>
      <w:pPr>
        <w:ind w:right="100" w:firstLine="490"/>
        <w:spacing w:after="0" w:line="262" w:lineRule="auto"/>
        <w:rPr>
          <w:sz w:val="20"/>
          <w:szCs w:val="20"/>
          <w:color w:val="auto"/>
        </w:rPr>
      </w:pPr>
      <w:r>
        <w:rPr>
          <w:rFonts w:ascii="Times New Roman" w:cs="Times New Roman" w:eastAsia="Times New Roman" w:hAnsi="Times New Roman"/>
          <w:sz w:val="20"/>
          <w:szCs w:val="20"/>
          <w:color w:val="auto"/>
        </w:rPr>
        <w:t>Section 382 subjects us to limitations in the use of NOLs if we experience an “ownership change.” For the purposes of Section 382, an ownership occurs if the aggregate increases in ownership of our stock by our "5% shareholders" (non-5% shareholders are grouped together into one or more 5% shareholder groups) over a rolling three year period is greater than 50%. We are uncertain if subsequent offerings will increase the owner shift to be greater than 50%.</w:t>
      </w:r>
    </w:p>
    <w:p>
      <w:pPr>
        <w:spacing w:after="0" w:line="194"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In order to protect the Company's NOLs, we included a provision in our amended and restated certificate of incorporation (the "Protective Provision"). The Protective Provision generally restricts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We also had a shareholder rights plan that prohibits anyone becoming a holder of 4.99% or more of our common stock (as determined for tax purposes) without prior board of directors' approval.</w:t>
      </w:r>
    </w:p>
    <w:p>
      <w:pPr>
        <w:spacing w:after="0" w:line="200"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auto"/>
        </w:rPr>
        <w:t>However, the Protective Provision lapsed and the shareholders rights plan was redeemed in 2024 and are no longer in effect. Thus, there are no longer provisions in our governing documents designed to prevent an "ownership change."</w:t>
      </w:r>
    </w:p>
    <w:p>
      <w:pPr>
        <w:spacing w:after="0" w:line="169"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auto"/>
        </w:rPr>
        <w:t>If an ownership change occurs, we will be limited in our ability to realize a tax benefit from the use of our deferred tax assets, whether or not we are profitable in future years. These consequences include, without limitation, limiting the amount of federal NOLs that can be used to offset taxable income to an annual limitation. Generally, the annual limitation equals the product of (i) the fair market value of all of our outstanding equity immediately prior to the ownership change, multiplied by (ii) the applicable federal long-term, tax-exempt rate.</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60" w:right="1080" w:bottom="175" w:gutter="0" w:footer="0" w:header="0"/>
          <w:type w:val="continuous"/>
        </w:sectPr>
      </w:pPr>
    </w:p>
    <w:bookmarkStart w:id="44" w:name="page45"/>
    <w:bookmarkEnd w:id="44"/>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In addition, if we have a net unrealized built-in gain (generally determined by comparing market capitalization plus total liabilities to the adjusted tax basis of assets) at the time of an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depreciable or amortizable built-in gain assets of our Company as generating recognized built-in gains each year without regard to whether such assets are disposed of at a gain during the recognition period. However, in September 2019 the IRS released proposed regulations that would eliminate this favorable rule set forth in IRS Notice 2003-65. If finalized as proposed, these regulations would limit the increase in the annual limitation for recognized built-in gains to those gains that are actually recognized through the disposition of built-in gain assets. These regulations have not been finalized but provide generally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spacing w:after="0" w:line="32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collectability of revenue under the Advisory Services Agreements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spacing w:after="0" w:line="7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 from Enhanced PC based on a fixed fee schedule under which annual fees decline between $0.4 million and $4.0 million each year, totaling $115.1 million over 10 years. The services contemplated under the Advisory Services Agreements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Rising interest rates could have a substantial adverse effect on our business.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 continued increase in interest rates could make it difficult for us to obtain financing at attractive rates, impacting our ability to execute on our growth strategies or future acquisitions. Additionally,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investment management and investment advisory business is intensely competitive.</w:t>
      </w:r>
    </w:p>
    <w:p>
      <w:pPr>
        <w:spacing w:after="0" w:line="120" w:lineRule="exact"/>
        <w:rPr>
          <w:sz w:val="20"/>
          <w:szCs w:val="20"/>
          <w:color w:val="auto"/>
        </w:rPr>
      </w:pPr>
    </w:p>
    <w:p>
      <w:pPr>
        <w:ind w:right="200" w:firstLine="490"/>
        <w:spacing w:after="0" w:line="280" w:lineRule="auto"/>
        <w:rPr>
          <w:sz w:val="20"/>
          <w:szCs w:val="20"/>
          <w:color w:val="auto"/>
        </w:rPr>
      </w:pPr>
      <w:r>
        <w:rPr>
          <w:rFonts w:ascii="Times New Roman" w:cs="Times New Roman" w:eastAsia="Times New Roman" w:hAnsi="Times New Roman"/>
          <w:sz w:val="19"/>
          <w:szCs w:val="19"/>
          <w:color w:val="auto"/>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spacing w:after="0" w:line="73" w:lineRule="exact"/>
        <w:rPr>
          <w:sz w:val="20"/>
          <w:szCs w:val="20"/>
          <w:color w:val="auto"/>
        </w:rPr>
      </w:pPr>
    </w:p>
    <w:p>
      <w:pPr>
        <w:ind w:left="980" w:right="2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have more relevant experience, greater financial and other resources and more personnel than we do;</w:t>
      </w:r>
    </w:p>
    <w:p>
      <w:pPr>
        <w:sectPr>
          <w:pgSz w:w="12240" w:h="15840" w:orient="portrait"/>
          <w:cols w:equalWidth="0" w:num="1">
            <w:col w:w="10080"/>
          </w:cols>
          <w:pgMar w:left="1080" w:top="1060" w:right="1080" w:bottom="175"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60" w:right="1080" w:bottom="175" w:gutter="0" w:footer="0" w:header="0"/>
          <w:type w:val="continuous"/>
        </w:sectPr>
      </w:pPr>
    </w:p>
    <w:bookmarkStart w:id="45" w:name="page46"/>
    <w:bookmarkEnd w:id="45"/>
    <w:p>
      <w:pPr>
        <w:ind w:left="98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81" w:lineRule="exact"/>
        <w:rPr>
          <w:rFonts w:ascii="Arial" w:cs="Arial" w:eastAsia="Arial" w:hAnsi="Arial"/>
          <w:sz w:val="20"/>
          <w:szCs w:val="20"/>
          <w:color w:val="auto"/>
        </w:rPr>
      </w:pPr>
    </w:p>
    <w:p>
      <w:pPr>
        <w:ind w:left="980" w:right="18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funds may not perform as well as competitors’ funds or other available investment products;</w:t>
      </w:r>
    </w:p>
    <w:p>
      <w:pPr>
        <w:spacing w:after="0" w:line="133"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increased competition for alternative investments and access to fund general partners and managers;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certain investors may prefer to invest with private partnerships rather than a public company;</w:t>
      </w:r>
    </w:p>
    <w:p>
      <w:pPr>
        <w:spacing w:after="0" w:line="133" w:lineRule="exact"/>
        <w:rPr>
          <w:rFonts w:ascii="Arial" w:cs="Arial" w:eastAsia="Arial" w:hAnsi="Arial"/>
          <w:sz w:val="20"/>
          <w:szCs w:val="20"/>
          <w:color w:val="auto"/>
        </w:rPr>
      </w:pPr>
    </w:p>
    <w:p>
      <w:pPr>
        <w:ind w:left="980" w:right="84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other industry participants will from time to time seek to recruit our investment professionals and other employees away from us;</w:t>
      </w:r>
    </w:p>
    <w:p>
      <w:pPr>
        <w:spacing w:after="0" w:line="64" w:lineRule="exact"/>
        <w:rPr>
          <w:rFonts w:ascii="Arial" w:cs="Arial" w:eastAsia="Arial" w:hAnsi="Arial"/>
          <w:sz w:val="20"/>
          <w:szCs w:val="20"/>
          <w:color w:val="auto"/>
        </w:rPr>
      </w:pPr>
    </w:p>
    <w:p>
      <w:pPr>
        <w:jc w:val="both"/>
        <w:ind w:left="980" w:right="48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a lower cost of capital, which may be exacerbated to the extent potential changes to the Internal Revenue Code of 1986, as amended, (the "Code"), limit the deductibility of interest expense;</w:t>
      </w:r>
    </w:p>
    <w:p>
      <w:pPr>
        <w:spacing w:after="0" w:line="81"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access to funding sources that are not available to us, which may create competitive disadvantages for us with respect to investment opportunities;</w:t>
      </w:r>
    </w:p>
    <w:p>
      <w:pPr>
        <w:spacing w:after="0" w:line="64" w:lineRule="exact"/>
        <w:rPr>
          <w:rFonts w:ascii="Arial" w:cs="Arial" w:eastAsia="Arial" w:hAnsi="Arial"/>
          <w:sz w:val="20"/>
          <w:szCs w:val="20"/>
          <w:color w:val="auto"/>
        </w:rPr>
      </w:pPr>
    </w:p>
    <w:p>
      <w:pPr>
        <w:ind w:left="980" w:right="22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be subject to less regulation and accordingly may have more flexibility to undertake and execute certain businesses or investments than we can and/or bear less compliance expense than we do;</w:t>
      </w:r>
    </w:p>
    <w:p>
      <w:pPr>
        <w:spacing w:after="0" w:line="81"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more flexibility than us in raising certain types of investment funds under the investment management contracts they have negotiated with their investors;</w:t>
      </w:r>
    </w:p>
    <w:p>
      <w:pPr>
        <w:spacing w:after="0" w:line="64" w:lineRule="exact"/>
        <w:rPr>
          <w:rFonts w:ascii="Arial" w:cs="Arial" w:eastAsia="Arial" w:hAnsi="Arial"/>
          <w:sz w:val="20"/>
          <w:szCs w:val="20"/>
          <w:color w:val="auto"/>
        </w:rPr>
      </w:pPr>
    </w:p>
    <w:p>
      <w:pPr>
        <w:ind w:left="980" w:right="18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have instituted or may institute low cost high speed financial products and services based on artificial intelligence and new competitors may enter the space using new products and services based on artificial intelligence; and</w:t>
      </w:r>
    </w:p>
    <w:p>
      <w:pPr>
        <w:spacing w:after="0" w:line="81"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better expertise or be regarded by investors as having better expertise in a specific asset class or geographic region than we do.</w:t>
      </w:r>
    </w:p>
    <w:p>
      <w:pPr>
        <w:spacing w:after="0" w:line="170" w:lineRule="exact"/>
        <w:rPr>
          <w:sz w:val="20"/>
          <w:szCs w:val="20"/>
          <w:color w:val="auto"/>
        </w:rPr>
      </w:pPr>
    </w:p>
    <w:p>
      <w:pPr>
        <w:ind w:right="220" w:firstLine="490"/>
        <w:spacing w:after="0" w:line="268" w:lineRule="auto"/>
        <w:rPr>
          <w:sz w:val="20"/>
          <w:szCs w:val="20"/>
          <w:color w:val="auto"/>
        </w:rPr>
      </w:pPr>
      <w:r>
        <w:rPr>
          <w:rFonts w:ascii="Times New Roman" w:cs="Times New Roman" w:eastAsia="Times New Roman" w:hAnsi="Times New Roman"/>
          <w:sz w:val="20"/>
          <w:szCs w:val="20"/>
          <w:color w:val="auto"/>
        </w:rPr>
        <w:t>This competitive pressure could adversely affect our ability to make successful investments and restrict our ability to raise future funds, either of which would materially and adversely impact our business, financial condition and results of operations.</w:t>
      </w:r>
    </w:p>
    <w:p>
      <w:pPr>
        <w:spacing w:after="0" w:line="30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Emerging technologies, such as artificial intelligence, may disrupt the market, lead to greater legal and regulatory risks, and adversely affect our ability to compete.</w:t>
      </w:r>
    </w:p>
    <w:p>
      <w:pPr>
        <w:spacing w:after="0" w:line="49"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The emergence of disruptive technologies, such as artificial intelligence, may significantly disrupt the markets in which we operate, increase competition for investment opportunities, and lower costs for our competitors. Some of our competitors have significant amounts of capital and access to resources that may allow them to incorporate these emerging technologies into their business. If we are unable to innovate quickly enough to keep pace with these technological developments, it may adversely impact our ability to compete. These technologies, and their current and potential future applications, as well as the legal and regulatory frameworks within which they operate, are rapidly evolving. The full extent of current or future risks related thereto is difficult to predict. These technologies may also subject us to legal and regulatory risks and compliance costs, which could have a material adverse effect on our business, financial conditions and results of operations.</w:t>
      </w:r>
    </w:p>
    <w:p>
      <w:pPr>
        <w:spacing w:after="0" w:line="205" w:lineRule="exact"/>
        <w:rPr>
          <w:sz w:val="20"/>
          <w:szCs w:val="20"/>
          <w:color w:val="auto"/>
        </w:rPr>
      </w:pPr>
    </w:p>
    <w:p>
      <w:pPr>
        <w:ind w:right="60" w:firstLine="720"/>
        <w:spacing w:after="0" w:line="280" w:lineRule="auto"/>
        <w:rPr>
          <w:sz w:val="20"/>
          <w:szCs w:val="20"/>
          <w:color w:val="auto"/>
        </w:rPr>
      </w:pPr>
      <w:r>
        <w:rPr>
          <w:rFonts w:ascii="Times New Roman" w:cs="Times New Roman" w:eastAsia="Times New Roman" w:hAnsi="Times New Roman"/>
          <w:sz w:val="19"/>
          <w:szCs w:val="19"/>
          <w:color w:val="auto"/>
        </w:rPr>
        <w:t>The Company is exploring how artificial intelligence can be used internally by our business teams to increase productivity, assist in cyber security related matters, as well as improve data quality and reporting. Internal technology teams have worked with an array of artificial intelligence technologies to explore use cases and become familiar with offerings within our current technology stack. The Company is working with new and in-place third party vendors and software as a</w:t>
      </w:r>
    </w:p>
    <w:p>
      <w:pPr>
        <w:sectPr>
          <w:pgSz w:w="12240" w:h="15840" w:orient="portrait"/>
          <w:cols w:equalWidth="0" w:num="1">
            <w:col w:w="10060"/>
          </w:cols>
          <w:pgMar w:left="1080" w:top="1074" w:right="1100" w:bottom="175"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60"/>
          </w:cols>
          <w:pgMar w:left="1080" w:top="1074" w:right="1100" w:bottom="175" w:gutter="0" w:footer="0" w:header="0"/>
          <w:type w:val="continuous"/>
        </w:sectPr>
      </w:pPr>
    </w:p>
    <w:bookmarkStart w:id="46" w:name="page47"/>
    <w:bookmarkEnd w:id="46"/>
    <w:p>
      <w:pPr>
        <w:ind w:right="100"/>
        <w:spacing w:after="0" w:line="262" w:lineRule="auto"/>
        <w:rPr>
          <w:sz w:val="20"/>
          <w:szCs w:val="20"/>
          <w:color w:val="auto"/>
        </w:rPr>
      </w:pPr>
      <w:r>
        <w:rPr>
          <w:rFonts w:ascii="Times New Roman" w:cs="Times New Roman" w:eastAsia="Times New Roman" w:hAnsi="Times New Roman"/>
          <w:sz w:val="20"/>
          <w:szCs w:val="20"/>
          <w:color w:val="auto"/>
        </w:rPr>
        <w:t>service providers to leverage artificial intelligence and artificial general intelligence technologies being implemented in their products. Data accuracy, collection, and governance is an important part of the data strategy at the Company, this will keep us prepared and ready to take advantage of artificial intelligence and artificial general intelligence in the future as the regulatory environment and industry offerings mature.</w:t>
      </w:r>
    </w:p>
    <w:p>
      <w:pPr>
        <w:spacing w:after="0" w:line="31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Difficult market conditions can adversely affect our business by reducing the market value of the assets we manage or causing our customized separate account investors to reduce their investments in private markets.</w:t>
      </w:r>
    </w:p>
    <w:p>
      <w:pPr>
        <w:spacing w:after="0" w:line="4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future global market and economic climate may deteriorate because of many factors beyond our control, including rising interest rates or inflation, reduced availability of credit, changes in laws and regulation, international conflicts, terrorism or political uncertainty and severe public health events.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pacing w:after="0" w:line="205"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20"/>
          <w:szCs w:val="20"/>
          <w:color w:val="auto"/>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spacing w:after="0" w:line="200" w:lineRule="exact"/>
        <w:rPr>
          <w:sz w:val="20"/>
          <w:szCs w:val="20"/>
          <w:color w:val="auto"/>
        </w:rPr>
      </w:pPr>
    </w:p>
    <w:p>
      <w:pPr>
        <w:jc w:val="both"/>
        <w:ind w:right="220" w:firstLine="490"/>
        <w:spacing w:after="0" w:line="262" w:lineRule="auto"/>
        <w:rPr>
          <w:sz w:val="20"/>
          <w:szCs w:val="20"/>
          <w:color w:val="auto"/>
        </w:rPr>
      </w:pPr>
      <w:r>
        <w:rPr>
          <w:rFonts w:ascii="Times New Roman" w:cs="Times New Roman" w:eastAsia="Times New Roman" w:hAnsi="Times New Roman"/>
          <w:sz w:val="20"/>
          <w:szCs w:val="20"/>
          <w:color w:val="auto"/>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194"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While our financial profile features a highly predictable, recurring revenue stream of most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 commensurate reduction in our expenses, our net income will be reduced. Accordingly, difficult market conditions could materially and adversely affect our business, financial condition and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Increased government regulation, compliance failures and changes in law or regulation could adversely affect us.</w:t>
      </w:r>
    </w:p>
    <w:p>
      <w:pPr>
        <w:spacing w:after="0" w:line="13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08" w:lineRule="exact"/>
        <w:rPr>
          <w:sz w:val="20"/>
          <w:szCs w:val="20"/>
          <w:color w:val="auto"/>
        </w:rPr>
      </w:pPr>
    </w:p>
    <w:p>
      <w:pPr>
        <w:ind w:right="260" w:firstLine="490"/>
        <w:spacing w:after="0" w:line="287" w:lineRule="auto"/>
        <w:rPr>
          <w:sz w:val="20"/>
          <w:szCs w:val="20"/>
          <w:color w:val="auto"/>
        </w:rPr>
      </w:pPr>
      <w:r>
        <w:rPr>
          <w:rFonts w:ascii="Times New Roman" w:cs="Times New Roman" w:eastAsia="Times New Roman" w:hAnsi="Times New Roman"/>
          <w:sz w:val="20"/>
          <w:szCs w:val="20"/>
          <w:color w:val="auto"/>
        </w:rPr>
        <w:t>Our advisory and investment management businesses are subject to regulation in the U.S., including by the SEC, the Small Business Administration (“SBA”), the Commodity Futures Trading Commission, the Internal Revenue Service (the</w:t>
      </w:r>
    </w:p>
    <w:p>
      <w:pPr>
        <w:sectPr>
          <w:pgSz w:w="12240" w:h="15840" w:orient="portrait"/>
          <w:cols w:equalWidth="0" w:num="1">
            <w:col w:w="10080"/>
          </w:cols>
          <w:pgMar w:left="1080" w:top="1060" w:right="1080" w:bottom="175"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60" w:right="1080" w:bottom="175" w:gutter="0" w:footer="0" w:header="0"/>
          <w:type w:val="continuous"/>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20"/>
          <w:szCs w:val="20"/>
          <w:color w:val="auto"/>
        </w:rPr>
        <w:t>“IRS”) and other regulatory agencies, pursuant to, among other laws, the Investment Advisers Act, the Securities Act, the Small Business Investment Act of 1958,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spacing w:after="0" w:line="202"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 Frank Act”) and other recent SEC proposed or adopted rules. As one example, in 2024 the SEC adopted rules that increase the amount of information certain registered investment advisers must report to the SEC on a regular basis relating to private funds they advise. In addition, in 2023 the SEC adopted rules (the "Private Fund Adviser Rules" that significantly increased disclosure requirements and impose substantive requirements and prohibitions on fund advisory and related contracts, and that, once implemented, promised both to increase our Advisers’ compliance monitoring and reporting obligations, resulting in increased costs of compliance, and to require changes to our Advisers' practices. However, the Private Fund Adviser Rules were vacated by the US Fifth Circuit Court of Appeals in 2024 prior to going into effect, and the SEC proposed a new rule applicable to US registered investment advisers (the "Safeguarding Rule") that would significantly change how investment advisers manage and safeguard client assets by expanding the custody rule to apply to all client assets held in its advisory account, and if adopted as proposed, would have introduced new challenges and costs to our investment advisory business. As of the date hereof, however, the Safeguarding Rule has not been adopted. The SEC has increased its regulation of the asset management and private fund industries in recent years, focusing on the private equity industry’s fees, allocation of expenses to funds, valuation practices, allocation of fund investment opportunities, custody of the fund assets,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Following the exit of the United Kingdom (“UK”) from the EU we can no longer rely on “passporting” privileges that allow issuers approved in the UK to raise capital in EU jurisdictions without restrictions. To the extent we raise capital in any EU jurisdiction, we are subject to new and increased regulations and we may also be adversely affected by changes in the interpretation or enforcement of existing laws and rules by EU state governmental authorities and self-regulatory organizations.</w:t>
      </w:r>
    </w:p>
    <w:p>
      <w:pPr>
        <w:spacing w:after="0" w:line="214" w:lineRule="exact"/>
        <w:rPr>
          <w:sz w:val="20"/>
          <w:szCs w:val="20"/>
          <w:color w:val="auto"/>
        </w:rPr>
      </w:pPr>
    </w:p>
    <w:p>
      <w:pPr>
        <w:ind w:right="200" w:firstLine="490"/>
        <w:spacing w:after="0" w:line="256" w:lineRule="auto"/>
        <w:rPr>
          <w:sz w:val="20"/>
          <w:szCs w:val="20"/>
          <w:color w:val="auto"/>
        </w:rPr>
      </w:pPr>
      <w:r>
        <w:rPr>
          <w:rFonts w:ascii="Times New Roman" w:cs="Times New Roman" w:eastAsia="Times New Roman" w:hAnsi="Times New Roman"/>
          <w:sz w:val="20"/>
          <w:szCs w:val="20"/>
          <w:color w:val="auto"/>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In 2023, the SEC proposed rules that would require substantial standardized climate-related disclosure, and if adopted as proposed, could increase our costs for compliance.</w:t>
      </w:r>
    </w:p>
    <w:p>
      <w:pPr>
        <w:spacing w:after="0" w:line="200"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60" w:right="1080" w:bottom="175" w:gutter="0" w:footer="0" w:header="0"/>
          <w:type w:val="continuous"/>
        </w:sectPr>
      </w:pPr>
    </w:p>
    <w:bookmarkStart w:id="48" w:name="page49"/>
    <w:bookmarkEnd w:id="48"/>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Certain funds managed by subsidiaries of P10, including certain WTI funds, are registered as an investment adviser with the SEC and are subject to the requirements and regulations of the Investment Advisers Act, including the reporting and governance requirements of the Investment Company Act. Such requirements relate to, among other things, restrictions on entering transactions with investors, maintaining an effective compliance program, restrictions on the charging of incentive fees, the use of solicitors and the contents of solicitation arrangements, allocation of investments, recordkeeping and reporting requirements, disclosure requirements, limitations on agency cross and principal transactions between an adviser and their advisory clients, as well as general anti-fraud prohibitions. As an investment adviser, each Adviser owes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spacing w:after="0" w:line="20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Many of our separately managed accounts and funds are not registered under the Investment Company Act because we generally only form separately managed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Compliance with the Investment Company Act can be complex and failure to comply can result in significant fines, penalties, loss to reputation and other material adverse effects on us.</w:t>
      </w:r>
    </w:p>
    <w:p>
      <w:pPr>
        <w:spacing w:after="0" w:line="3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obligations related to data privacy and protection.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74"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We are subject to numerous data privacy and protection obligations such as various federal, state, local and foreign laws, regulations and guidance; industry standards; external and internal privacy notices and policies; contracts;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collaborators’, service providers’, and others’ ability to operate in certain jurisdictions or to collect, store, transfer, use, share and otherwise process personal information; necessitate the acceptance of more onerous obligations in our contracts; cause us to modify our business operations; result in liabilities; or otherwise impose additional compliance costs on us. The cost of compliance with these obligations is high and is likely to increase in the future, and includes a series of operational measures such as: preparing data maps or records of our sources, usage, storage and sharing of personal information; maintaining and updating detailed disclosures in our privacy policies; conducting risk assessments for the use of sensitive personal information; ensuring we have adequate data security measures to protect personal information; auditing the data security of our service providers; and establishing mechanisms to respond to consumers’ data access, deletion, portability, and opt-out requests. Although we endeavor to comply with all applicable data privacy and protection obligations, we may at times fail to do so or may be perceived to have failed to do so. Moreover, despite our efforts, we may not be successful in achieving compliance if our personnel or third parties upon whom we rely fail to comply with such obligations. For example, any failure by a service provider to comply with applicable data privacy or protection law, regulations, contractual or other obligations could result in adverse impacts against us. If we fail, or are perceived to have failed, to address or comply with data privacy and protection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information; orders to destroy or not use personal information; imprisonment of company officials; public censure; damage to our reputation; loss of revenue and profits; loss of goodwill; and other adverse business impacts, any of which could materially and adversely affect our business, financial condition and results of operations.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60"/>
          </w:cols>
          <w:pgMar w:left="1080" w:top="1060" w:right="1100" w:bottom="175" w:gutter="0" w:footer="0" w:header="0"/>
          <w:type w:val="continuous"/>
        </w:sectPr>
      </w:pPr>
    </w:p>
    <w:bookmarkStart w:id="49" w:name="page50"/>
    <w:bookmarkEnd w:id="49"/>
    <w:p>
      <w:pPr>
        <w:ind w:firstLine="490"/>
        <w:spacing w:after="0" w:line="264" w:lineRule="auto"/>
        <w:rPr>
          <w:sz w:val="20"/>
          <w:szCs w:val="20"/>
          <w:color w:val="auto"/>
        </w:rPr>
      </w:pPr>
      <w:r>
        <w:rPr>
          <w:rFonts w:ascii="Times New Roman" w:cs="Times New Roman" w:eastAsia="Times New Roman" w:hAnsi="Times New Roman"/>
          <w:sz w:val="19"/>
          <w:szCs w:val="19"/>
          <w:color w:val="auto"/>
        </w:rPr>
        <w:t>In the U.S., there are numerous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In addition, the SEC requires certain disclosures regarding cybersecurity risk management, strategy, governance and incident reporting. These SEC rules require companies to investigate all cybersecurity incidents without unreasonable delay, determine their level of materiality, and report specific details about any material cybersecurity incidents in a separate filing within four business days. These rules also require additional information in annual disclosures regarding companies’ cybersecurity risk management and reporting processes, as well as the cybersecurity expertise of relevant personnel and third-party service providers or auditors. At the state level, certain states have enacted comprehensive laws governing personal information of consumers, employees and business representatives. For example, we may be subject to the California Consumer Privacy Act (“CCPA”), as amended. The CCPA, similar to other state privacy laws, imposes obligations that include, but are not limited to, providing specific disclosures in privacy notices, conducting risk assessments, entering into contracts governing the disclosure of personal data with vendors and service providers, and affording residents certain rights related to their personal information. The CCPA allows for statutory fines for noncompliance, provides a private right of action to consumers, and allows concurrent jurisdiction to enforce the CCPA by both the California Attorney General as well as the newly-created California Privacy Protection Agency, all of which could increase the risk of an enforcement action or civil litigation related to our privacy practices. The following states have also passed comprehensive privacy laws, modeled in part after the CCPA, that are currently in effect: California, Colorado, Connecticut, Delaware, Iowa, Montana, Nebraska, New Hampshire, New Jersey, Oregon, Rhode Island, Tennessee, Texas, Utah, and Virginia. Additionally, Indiana, Kentucky, Maryland, and Minnesota have passed similar privacy laws that will take effect by January 1, 2026. Failure to comply with these privacy laws can result in civil penalties. These state privacy laws have some provisions and requirements similar to the CCPA. However, preparing to comply with the varying requirements of these laws has already subjected us to costs and legal fees and will subject us to additional costs and risks as they take effect. For example, these laws may limit the ways in which we may use certain categories of personal information, may require us to obtain additional permissions from individuals, and may require revision of our contracts with service providers with whom we share personal information. While these state privacy laws may contain limited exceptions for financial institutions subject to, for example, the GLBA, these laws’ implementation standards and enforcement practices are likely to remain uncertain for the foreseeable future. If we are or may become subject to state data privacy laws, the risk of enforcement actions against us could increase because we may be subject to additional obligations, and the number of individuals or entities that can initiate actions against us may increase (including individuals via a private right of action and state actors). Further, certain state laws may be more stringent or broader in scope, or offer greater individual rights, with respect to personal information than federal, foreign or other state laws, and such laws may differ from each other, which may complicate our compliance efforts.</w:t>
      </w:r>
    </w:p>
    <w:p>
      <w:pPr>
        <w:spacing w:after="0" w:line="200" w:lineRule="exact"/>
        <w:rPr>
          <w:sz w:val="20"/>
          <w:szCs w:val="20"/>
          <w:color w:val="auto"/>
        </w:rPr>
      </w:pPr>
    </w:p>
    <w:p>
      <w:pPr>
        <w:spacing w:after="0" w:line="256"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In addition, 50 U.S. states, the District of Columbia and certain other foreign jurisdictions have enacted data breach notification laws that may require us to notify investors, employees, regulators and others in the event of a security breach (for example, unauthorized access to or disclosure of personal information experienced by us or our service providers). These laws may not be consistent, and compliance in the event of a widespread data breach may be difficult and costly. We may also be contractually required or otherwise obligated to notify investors and others of a security breach. Although we may have contractual protections against our service providers should they experience a security breach, any actual or perceived security breach could harm our reputation and brand, expose us to potential liability and require us to expend significant resources on data security as well as in responding to any such actual or perceived breach. Any contractual protections we may have against relevant counterparties may not be sufficient to protect adequately us from any such liabilities and losses, and we may be unable to enforce any such contractual protections.</w:t>
      </w:r>
    </w:p>
    <w:p>
      <w:pPr>
        <w:spacing w:after="0" w:line="202" w:lineRule="exact"/>
        <w:rPr>
          <w:sz w:val="20"/>
          <w:szCs w:val="20"/>
          <w:color w:val="auto"/>
        </w:rPr>
      </w:pPr>
    </w:p>
    <w:p>
      <w:pPr>
        <w:jc w:val="both"/>
        <w:ind w:right="40" w:firstLine="490"/>
        <w:spacing w:after="0" w:line="272" w:lineRule="auto"/>
        <w:rPr>
          <w:sz w:val="20"/>
          <w:szCs w:val="20"/>
          <w:color w:val="auto"/>
        </w:rPr>
      </w:pPr>
      <w:r>
        <w:rPr>
          <w:rFonts w:ascii="Times New Roman" w:cs="Times New Roman" w:eastAsia="Times New Roman" w:hAnsi="Times New Roman"/>
          <w:sz w:val="19"/>
          <w:szCs w:val="19"/>
          <w:color w:val="auto"/>
        </w:rPr>
        <w:t>Internationally, many jurisdictions have established their own data privacy and protection legal frameworks with which we may need to comply. For example, the EU GDPR imposes strict requirements on the processing of personal information. Under the EU GDPR, government regulators may impose temporary or definitive bans on personal information processing.</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Potential monetary fines for noncompliance with the EU GDPR are significant — up to the greater of €20 million or 4% of global turnover. The EU GDPR provides that EU member states may introduce further conditions, including limitations, to make their own further laws and regulations limiting the processing of personal information which could limit our ability to collect, use and share European personal information, or could cause our compliance costs to increase, ultimately having an adverse impact on our business, and harm our business and financial condition. The United Kingdom adopted its own General Data Protection Regulation that has similar provisions, requirements, and penalties for non-compliance as the EU GDPR. Many other countries and jurisdictions have enacted similar privacy laws. For example, Canada is currently updating its comprehensive privacy law, the Personal Information Protection and Electronic Documents Act, which is modeled in part after the GDPR. The Canadian province of Quebec passed its own privacy law, called Quebec Law 25, which further restricts</w:t>
      </w:r>
    </w:p>
    <w:p>
      <w:pPr>
        <w:sectPr>
          <w:pgSz w:w="12240" w:h="15840" w:orient="portrait"/>
          <w:cols w:equalWidth="0" w:num="1">
            <w:col w:w="10080"/>
          </w:cols>
          <w:pgMar w:left="1080" w:top="1060" w:right="1080" w:bottom="175"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60" w:right="1080" w:bottom="175" w:gutter="0" w:footer="0" w:header="0"/>
          <w:type w:val="continuous"/>
        </w:sectPr>
      </w:pPr>
    </w:p>
    <w:bookmarkStart w:id="50" w:name="page51"/>
    <w:bookmarkEnd w:id="50"/>
    <w:p>
      <w:pPr>
        <w:ind w:right="360"/>
        <w:spacing w:after="0" w:line="287" w:lineRule="auto"/>
        <w:rPr>
          <w:sz w:val="20"/>
          <w:szCs w:val="20"/>
          <w:color w:val="auto"/>
        </w:rPr>
      </w:pPr>
      <w:r>
        <w:rPr>
          <w:rFonts w:ascii="Times New Roman" w:cs="Times New Roman" w:eastAsia="Times New Roman" w:hAnsi="Times New Roman"/>
          <w:sz w:val="20"/>
          <w:szCs w:val="20"/>
          <w:color w:val="auto"/>
        </w:rPr>
        <w:t>how companies may process the personal information of resident of those countries and localities. Failure to comply with these international privacy laws can result in civil penalties.</w:t>
      </w:r>
    </w:p>
    <w:p>
      <w:pPr>
        <w:spacing w:after="0" w:line="169" w:lineRule="exact"/>
        <w:rPr>
          <w:sz w:val="20"/>
          <w:szCs w:val="20"/>
          <w:color w:val="auto"/>
        </w:rPr>
      </w:pPr>
    </w:p>
    <w:p>
      <w:pPr>
        <w:ind w:right="40" w:firstLine="490"/>
        <w:spacing w:after="0" w:line="269" w:lineRule="auto"/>
        <w:rPr>
          <w:sz w:val="20"/>
          <w:szCs w:val="20"/>
          <w:color w:val="auto"/>
        </w:rPr>
      </w:pPr>
      <w:r>
        <w:rPr>
          <w:rFonts w:ascii="Times New Roman" w:cs="Times New Roman" w:eastAsia="Times New Roman" w:hAnsi="Times New Roman"/>
          <w:sz w:val="19"/>
          <w:szCs w:val="19"/>
          <w:color w:val="auto"/>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or elsewhere. We may have to implement different personal information processing activities to address these data localization and cross-border personal information transfer laws. As we expand into countries and jurisdictions outside the U.S., we may be subject to additional data privacy and protection laws and regulations that may affect how we conduct business.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12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spacing w:after="0" w:line="205"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5"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These tariffs have resulted in, and may continue to trigger, retaliatory actions by affected countries, including the imposition of tariffs on the U.S. by other countries. Certain foreign governments have instituted or are considering imposing trade sanctions on certain U.S. goods and denying U.S. companies access to critical raw materials.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Additionally, governmental actions related to the imposition of tariffs, including the possibility of future increased tariffs imposed by the Trump administration, or other trade barriers or changes to international trade agreements or policies, could increase costs, decrease margins, reduce the competitiveness of products and services offered by current and future portfolio companies, restrict our current and future portfolio companies' access to suppliers or customers and adversely affect the revenues and profitability of companies whose businesses rely on goods imported from outside of the U.S.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60" w:right="1080" w:bottom="175" w:gutter="0" w:footer="0" w:header="0"/>
          <w:type w:val="continuous"/>
        </w:sectPr>
      </w:pPr>
    </w:p>
    <w:bookmarkStart w:id="51" w:name="page52"/>
    <w:bookmarkEnd w:id="51"/>
    <w:p>
      <w:pPr>
        <w:ind w:right="5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IRS could challenge the amount, timing and/or use of our NOL carryforwards, and new information could also impact the usability of our NOL carryforwards.</w:t>
      </w:r>
    </w:p>
    <w:p>
      <w:pPr>
        <w:spacing w:after="0" w:line="4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 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spacing w:after="0" w:line="32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Possible changes in regulations and interpretations of statutes and regulations could negatively affect our ability to use the tax benefits associated with our NOL carryforwards.</w:t>
      </w:r>
    </w:p>
    <w:p>
      <w:pPr>
        <w:spacing w:after="0" w:line="4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The rules relating to U.S. federal income taxation are periodically under review by persons involved in the legislative and administrative rulemaking processes, including the IRS and the U.S. Department of the Treasury, resulting in revisions of regulations and revised interpretations of established concepts as well as statutory changes, including changes in tax rates. Future revisions in the interpretation of U.S. federal tax laws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2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may adversely affect us, and the IRS or a court may disagree with tax positions taken by us, which may result in adverse effects on our financial condition or the value of our common stock.</w:t>
      </w:r>
    </w:p>
    <w:p>
      <w:pPr>
        <w:spacing w:after="0" w:line="49"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NOL carryforwards, taxation of foreign income, and the foreign tax credit, among others. Many of those changes are set to expire at the end of 2025, unless extended through new legislation.</w:t>
      </w:r>
    </w:p>
    <w:p>
      <w:pPr>
        <w:spacing w:after="0" w:line="197"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spacing w:after="0" w:line="20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For example, in August 2022, the U.S. enacted a 1% excise tax on stock buybacks by public companies and a 15% alternative minimum tax on adjusted financial statement income as part of the Inflation Reduction Act of 2022. 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 limited to, projected levels of taxable income, tax audits conducted and settled by tax authorities, and adjustments to income taxes upon finalization of income tax returns.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60" w:right="1080" w:bottom="175" w:gutter="0" w:footer="0" w:header="0"/>
          <w:type w:val="continuous"/>
        </w:sectPr>
      </w:pPr>
    </w:p>
    <w:bookmarkStart w:id="52" w:name="page53"/>
    <w:bookmarkEnd w:id="52"/>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sanctions laws create the potential for significant liabilities and penalties and reputational harm.</w:t>
      </w:r>
    </w:p>
    <w:p>
      <w:pPr>
        <w:spacing w:after="0" w:line="49"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spacing w:after="0" w:line="20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investment advisers outside the U.S. could adversely affect our ability to operate our business.</w:t>
      </w:r>
    </w:p>
    <w:p>
      <w:pPr>
        <w:spacing w:after="0" w:line="13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While the majority of our capital deployment is in the U.S., we provide investment advisory and other services and raise funds in a number of countries and jurisdictions outside the U.S.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spacing w:after="0" w:line="203"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60" w:right="1080" w:bottom="175" w:gutter="0" w:footer="0" w:header="0"/>
          <w:type w:val="continuous"/>
        </w:sectPr>
      </w:pPr>
    </w:p>
    <w:bookmarkStart w:id="53" w:name="page54"/>
    <w:bookmarkEnd w:id="53"/>
    <w:p>
      <w:pPr>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have been, and may continue to be, subject to increasing scrutiny from institutional investors with respect to ESG costs of investments made by our funds, which could constrain investment opportunities for our funds and adversely affect our ability to raise capital from such investors.</w:t>
      </w:r>
    </w:p>
    <w:p>
      <w:pPr>
        <w:spacing w:after="0" w:line="68"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In recent years, certain institutional investors have placed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revenues.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 of global climate change may impact the operations of our products’ investments.</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32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Volatile market, political and economic conditions can adversely affect investments made by our specialized investment vehicles and advisory accounts.</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spacing w:after="0" w:line="213"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44"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including the occurrence of a “Sunset,” could result in an assignment of our investment advisory agreements.</w:t>
      </w:r>
    </w:p>
    <w:p>
      <w:pPr>
        <w:spacing w:after="0" w:line="49" w:lineRule="exact"/>
        <w:rPr>
          <w:sz w:val="20"/>
          <w:szCs w:val="20"/>
          <w:color w:val="auto"/>
        </w:rPr>
      </w:pPr>
    </w:p>
    <w:p>
      <w:pPr>
        <w:ind w:right="240" w:firstLine="490"/>
        <w:spacing w:after="0" w:line="287" w:lineRule="auto"/>
        <w:rPr>
          <w:sz w:val="20"/>
          <w:szCs w:val="20"/>
          <w:color w:val="auto"/>
        </w:rPr>
      </w:pPr>
      <w:r>
        <w:rPr>
          <w:rFonts w:ascii="Times New Roman" w:cs="Times New Roman" w:eastAsia="Times New Roman" w:hAnsi="Times New Roman"/>
          <w:sz w:val="20"/>
          <w:szCs w:val="20"/>
          <w:color w:val="auto"/>
        </w:rPr>
        <w:t>Under the Investment Advisers Act, each of the investment advisory agreements for the funds and other accounts we manage must provide that it may not be assigned without the consent of the particular fund or other client. An assignment</w:t>
      </w:r>
    </w:p>
    <w:p>
      <w:pPr>
        <w:sectPr>
          <w:pgSz w:w="12240" w:h="15840" w:orient="portrait"/>
          <w:cols w:equalWidth="0" w:num="1">
            <w:col w:w="10080"/>
          </w:cols>
          <w:pgMar w:left="1080" w:top="1060" w:right="1080" w:bottom="175"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60" w:right="1080" w:bottom="175" w:gutter="0" w:footer="0" w:header="0"/>
          <w:type w:val="continuous"/>
        </w:sectPr>
      </w:pPr>
    </w:p>
    <w:bookmarkStart w:id="54" w:name="page55"/>
    <w:bookmarkEnd w:id="54"/>
    <w:p>
      <w:pPr>
        <w:ind w:right="40"/>
        <w:spacing w:after="0" w:line="255" w:lineRule="auto"/>
        <w:rPr>
          <w:sz w:val="20"/>
          <w:szCs w:val="20"/>
          <w:color w:val="auto"/>
        </w:rPr>
      </w:pPr>
      <w:r>
        <w:rPr>
          <w:rFonts w:ascii="Times New Roman" w:cs="Times New Roman" w:eastAsia="Times New Roman" w:hAnsi="Times New Roman"/>
          <w:sz w:val="20"/>
          <w:szCs w:val="20"/>
          <w:color w:val="auto"/>
        </w:rPr>
        <w:t>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of an Adviser's advisory agreements.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spacing w:after="0" w:line="32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were deemed an “investment company” under the Investment Company Act as a result of our ownership of our subsidiaries, applicable restrictions could make it impractical for us to continue our business as contemplated and could have a material adverse effect on our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144" w:lineRule="exact"/>
        <w:rPr>
          <w:sz w:val="20"/>
          <w:szCs w:val="20"/>
          <w:color w:val="auto"/>
        </w:rPr>
      </w:pPr>
    </w:p>
    <w:p>
      <w:pPr>
        <w:ind w:left="980" w:right="16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64"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87"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We believe that we are engaged, through our subsidiaries,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Advisers for their respective funds and serve to allocate carried interest to employees of the Advisers.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w:t>
      </w:r>
    </w:p>
    <w:p>
      <w:pPr>
        <w:spacing w:after="0" w:line="1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3(a)(1)(C) of the Investment Company Act as described in the second bullet point above. In addition, we believe P10 is not an investment company under section 3(b)(1) of the Investment Company Act because it is primarily engaged in a non-investment company business.</w:t>
      </w:r>
    </w:p>
    <w:p>
      <w:pPr>
        <w:spacing w:after="0" w:line="20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Advisers, the general partners, the funds, us or our senior leadership team, or any combination thereof and materially and adversely affect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60" w:right="1080" w:bottom="175" w:gutter="0" w:footer="0" w:header="0"/>
          <w:type w:val="continuous"/>
        </w:sectPr>
      </w:pPr>
    </w:p>
    <w:bookmarkStart w:id="55" w:name="page56"/>
    <w:bookmarkEnd w:id="55"/>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Delaware General Corporation Law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Fulfilling our public company financial reporting and other regulatory obligations is expensive and time consuming.</w:t>
      </w:r>
    </w:p>
    <w:p>
      <w:pPr>
        <w:spacing w:after="0" w:line="130" w:lineRule="exact"/>
        <w:rPr>
          <w:sz w:val="20"/>
          <w:szCs w:val="20"/>
          <w:color w:val="auto"/>
        </w:rPr>
      </w:pPr>
    </w:p>
    <w:p>
      <w:pPr>
        <w:ind w:right="20" w:firstLine="490"/>
        <w:spacing w:after="0" w:line="268" w:lineRule="auto"/>
        <w:rPr>
          <w:sz w:val="20"/>
          <w:szCs w:val="20"/>
          <w:color w:val="auto"/>
        </w:rPr>
      </w:pPr>
      <w:r>
        <w:rPr>
          <w:rFonts w:ascii="Times New Roman" w:cs="Times New Roman" w:eastAsia="Times New Roman" w:hAnsi="Times New Roman"/>
          <w:sz w:val="20"/>
          <w:szCs w:val="20"/>
          <w:color w:val="auto"/>
        </w:rPr>
        <w:t>As a public company, we are subject to the reporting, accounting and corporate governance requirements of the NYSE, the Exchange Act, the Sarbanes-Oxley Act of 2002 (the "Sarbanes-Oxley Act") and Section 619 of the Dodd-Frank Act that apply to issuers of listed equity, which impose certain significant compliance requirements, costs and obligations upon us.</w:t>
      </w:r>
    </w:p>
    <w:p>
      <w:pPr>
        <w:spacing w:after="0" w:line="188"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to comply with the reporting requirements of the Exchange Act and the applicable requirements of the Sarbanes-Oxley Act and the Dodd-Frank Act, as well as rules and regulations implemented by the SEC and the NYSE, including the establishment and maintenance of effective disclosure controls and internal controls over financial reporting and implementation of public company corporate governance practices. The requirements of being a public company and ongoing compliance with these rules and regulations require a significant commitment of additional resources and management oversight, which increases our operating costs and could divert the attention of our management and personnel from other business concerns.</w:t>
      </w:r>
    </w:p>
    <w:p>
      <w:pPr>
        <w:spacing w:after="0" w:line="20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208"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As a result of disclosure of information as a public company, our business and financial condition becomes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w:t>
      </w:r>
    </w:p>
    <w:p>
      <w:pPr>
        <w:sectPr>
          <w:pgSz w:w="12240" w:h="15840" w:orient="portrait"/>
          <w:cols w:equalWidth="0" w:num="1">
            <w:col w:w="10060"/>
          </w:cols>
          <w:pgMar w:left="1080" w:top="1060" w:right="1100" w:bottom="175"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60"/>
          </w:cols>
          <w:pgMar w:left="1080" w:top="1060" w:right="1100" w:bottom="175" w:gutter="0" w:footer="0" w:header="0"/>
          <w:type w:val="continuous"/>
        </w:sectPr>
      </w:pPr>
    </w:p>
    <w:bookmarkStart w:id="56" w:name="page57"/>
    <w:bookmarkEnd w:id="56"/>
    <w:p>
      <w:pPr>
        <w:ind w:right="240"/>
        <w:spacing w:after="0" w:line="287" w:lineRule="auto"/>
        <w:rPr>
          <w:sz w:val="20"/>
          <w:szCs w:val="20"/>
          <w:color w:val="auto"/>
        </w:rPr>
      </w:pPr>
      <w:r>
        <w:rPr>
          <w:rFonts w:ascii="Times New Roman" w:cs="Times New Roman" w:eastAsia="Times New Roman" w:hAnsi="Times New Roman"/>
          <w:sz w:val="20"/>
          <w:szCs w:val="20"/>
          <w:color w:val="auto"/>
        </w:rPr>
        <w:t>factors could also make it more difficult for us to attract and retain qualified colleagues, executive officers and members of our board of directors.</w:t>
      </w:r>
    </w:p>
    <w:p>
      <w:pPr>
        <w:spacing w:after="0" w:line="28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NYSE listing standards and, as a result, we qualify for, and may rely on, exemptions from certain corporate governance requirements.</w:t>
      </w:r>
    </w:p>
    <w:p>
      <w:pPr>
        <w:spacing w:after="0" w:line="4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So long as no Sunset has occurred, the Class B stockholders who are party to the Controlled Company Agreement hold more than 50%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spacing w:after="0" w:line="32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do not currently meet all of the standards contemplated by Section 404 of the Sarbanes-Oxley Act (“Section 404”) that we will eventually be required to meet as a public company.</w:t>
      </w:r>
    </w:p>
    <w:p>
      <w:pPr>
        <w:spacing w:after="0" w:line="4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 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p>
    <w:p>
      <w:pPr>
        <w:spacing w:after="0" w:line="21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no longer qualify as an emerging growth company. At such time, our independent registered public accounting firm may issue a report that is adverse in the event it is not satisfied with the level at which our controls are documented, designed or operating.</w:t>
      </w:r>
    </w:p>
    <w:p>
      <w:pPr>
        <w:spacing w:after="0" w:line="3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6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2024, the Class B Holders have approximately 87%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60" w:right="108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Our dual class structure may depress the trading price of our Class A common stock.</w:t>
      </w:r>
    </w:p>
    <w:p>
      <w:pPr>
        <w:spacing w:after="0" w:line="130"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Our dual class structure may result in a lower or more volatile market price of our Class A common stock or in adverse publicity or other adverse consequences. For example, certain index providers restrict inclusion of companies with dual or 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2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reduced reporting and disclosure requirements applicable to emerging growth companies could make our Class A common stock less attractive to investors.</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33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cannot assure you that we will continue to pay dividends to our stockholders, and our ability to do so is subject to the discretion of our board of directors and may be limited by our holding company structure and applicable provisions of Delaware law.</w:t>
      </w:r>
    </w:p>
    <w:p>
      <w:pPr>
        <w:spacing w:after="0" w:line="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Although, we currently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and we are not obligated under any applicable laws, our governing documents or any contractual agreements or otherwise to declare or pay any dividends. In addition, because we are a holding company with no material assets (other than the equity interests of our direct subsidiaries), our cash flow and ability to pay dividends is dependent upon the financial results and cash flows of our direct and indirect subsidiaries and the distribution or other payment of cash to us in the form of dividends or otherwise. If, as a consequence of these various limitations and restrictions, we are unable to generate sufficient distributions from our business, we may not be able to make, or may be required to reduce or eliminate, the payment of dividends on our Class A common stock, and you may not receive any return on an investment in our Class A common stock unless you sell your shares for a price greater than that which you paid for such shares.</w:t>
      </w:r>
    </w:p>
    <w:p>
      <w:pPr>
        <w:spacing w:after="0" w:line="32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68" w:lineRule="exact"/>
        <w:rPr>
          <w:sz w:val="20"/>
          <w:szCs w:val="20"/>
          <w:color w:val="auto"/>
        </w:rPr>
      </w:pPr>
    </w:p>
    <w:p>
      <w:pPr>
        <w:jc w:val="both"/>
        <w:ind w:right="380" w:firstLine="490"/>
        <w:spacing w:after="0" w:line="268" w:lineRule="auto"/>
        <w:rPr>
          <w:sz w:val="20"/>
          <w:szCs w:val="20"/>
          <w:color w:val="auto"/>
        </w:rPr>
      </w:pPr>
      <w:r>
        <w:rPr>
          <w:rFonts w:ascii="Times New Roman" w:cs="Times New Roman" w:eastAsia="Times New Roman" w:hAnsi="Times New Roman"/>
          <w:sz w:val="20"/>
          <w:szCs w:val="20"/>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83" w:lineRule="exact"/>
        <w:rPr>
          <w:sz w:val="20"/>
          <w:szCs w:val="20"/>
          <w:color w:val="auto"/>
        </w:rPr>
      </w:pPr>
    </w:p>
    <w:p>
      <w:pPr>
        <w:ind w:left="980" w:right="6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w:t>
      </w:r>
    </w:p>
    <w:p>
      <w:pPr>
        <w:sectPr>
          <w:pgSz w:w="12240" w:h="15840" w:orient="portrait"/>
          <w:cols w:equalWidth="0" w:num="1">
            <w:col w:w="10060"/>
          </w:cols>
          <w:pgMar w:left="1080" w:top="1060" w:right="1100" w:bottom="175"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60"/>
          </w:cols>
          <w:pgMar w:left="1080" w:top="1060" w:right="1100" w:bottom="175" w:gutter="0" w:footer="0" w:header="0"/>
          <w:type w:val="continuous"/>
        </w:sectPr>
      </w:pPr>
    </w:p>
    <w:bookmarkStart w:id="58" w:name="page59"/>
    <w:bookmarkEnd w:id="58"/>
    <w:p>
      <w:pPr>
        <w:ind w:left="980" w:right="32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w:t>
      </w:r>
    </w:p>
    <w:p>
      <w:pPr>
        <w:spacing w:after="0" w:line="64" w:lineRule="exact"/>
        <w:rPr>
          <w:rFonts w:ascii="Arial" w:cs="Arial" w:eastAsia="Arial" w:hAnsi="Arial"/>
          <w:sz w:val="20"/>
          <w:szCs w:val="20"/>
          <w:color w:val="auto"/>
        </w:rPr>
      </w:pPr>
    </w:p>
    <w:p>
      <w:pPr>
        <w:ind w:left="980" w:right="28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chief executive officer(s), or the chairman of our board of directors;</w:t>
      </w:r>
    </w:p>
    <w:p>
      <w:pPr>
        <w:spacing w:after="0" w:line="64" w:lineRule="exact"/>
        <w:rPr>
          <w:rFonts w:ascii="Arial" w:cs="Arial" w:eastAsia="Arial" w:hAnsi="Arial"/>
          <w:sz w:val="20"/>
          <w:szCs w:val="20"/>
          <w:color w:val="auto"/>
        </w:rPr>
      </w:pPr>
    </w:p>
    <w:p>
      <w:pPr>
        <w:ind w:left="980" w:right="68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64"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up to 10,000,000 shares of undesignated preferred stock;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reflect two classes of common stock, as discussed above.</w:t>
      </w:r>
    </w:p>
    <w:p>
      <w:pPr>
        <w:spacing w:after="0" w:line="239" w:lineRule="exact"/>
        <w:rPr>
          <w:sz w:val="20"/>
          <w:szCs w:val="20"/>
          <w:color w:val="auto"/>
        </w:rPr>
      </w:pPr>
    </w:p>
    <w:p>
      <w:pPr>
        <w:jc w:val="both"/>
        <w:ind w:right="60" w:firstLine="490"/>
        <w:spacing w:after="0" w:line="259"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DGCL.</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similar effects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ectPr>
          <w:pgSz w:w="12240" w:h="15840" w:orient="portrait"/>
          <w:cols w:equalWidth="0" w:num="1">
            <w:col w:w="10020"/>
          </w:cols>
          <w:pgMar w:left="1080" w:top="1074"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20"/>
          </w:cols>
          <w:pgMar w:left="1080" w:top="1074" w:right="1140" w:bottom="17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We maintain an information security program and governance framework that is designed to protect our information systems against operational risks related to cybersecurity.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utilize third party cybersecurity consultancy firms to manage and execute our cybersecurity programs. These third party firms are led and supervised by our Chief Information Officer (“CIO”). Our policies, standards, processes and practices for assessing, identifying, and managing material risks from cybersecurity threats are integrated into our overall risk management program and are based on frameworks established by the National Institute of Standards and Technology (“NIST”), the International Organization for Standardization and other applicable industry standards. On a quarterly basis, our third party cybersecurity consultancy firms perform phish testing and on demand information security training. On a yearly basis, our third party consultancy firms perform, among other trainings and assessments, information security awareness training, internal cybersecurity risk assessments, internal and external penetration tests, key vendor risk assessments, incident response tabletop exercises, written information security and business continuity plan policy gap analysis reviews and revisions as well as incident response plan reviews and revisions. The results of the assessments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8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While we do not believe that our business strategy, results of operations, or financial condition have been materially adversely affected by any cybersecurity incidents, cybersecurity threats are pervasive, and, similar to other global financial services firms, we, as well as our clients, investors, associates,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w:t>
      </w:r>
      <w:r>
        <w:rPr>
          <w:rFonts w:ascii="Times New Roman" w:cs="Times New Roman" w:eastAsia="Times New Roman" w:hAnsi="Times New Roman"/>
          <w:sz w:val="20"/>
          <w:szCs w:val="20"/>
          <w:i w:val="1"/>
          <w:iCs w:val="1"/>
          <w:color w:val="auto"/>
        </w:rPr>
        <w:t>Operational risks, data security breaches, loss or leakage of data and other interruptions of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information technology systems or those of our third-party service providers may disrupt our business, compromise sensitive information related to our business, or prevent us from accessing critical information, which may result in losses or limit our growth.” </w:t>
      </w:r>
      <w:r>
        <w:rPr>
          <w:rFonts w:ascii="Times New Roman" w:cs="Times New Roman" w:eastAsia="Times New Roman" w:hAnsi="Times New Roman"/>
          <w:sz w:val="20"/>
          <w:szCs w:val="20"/>
          <w:color w:val="auto"/>
        </w:rPr>
        <w:t>in “Item 1A – Risk Factors” of this Form 10-K.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12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Our Board of Directors and Audit Committee are primarily responsible for overseeing and governing our cybersecurity risk management program. Our Board receives updates on cybersecurity and material cybersecurity risks as needed and at least annually by our Chief Compliance Officer or their designee.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Role</w:t>
      </w:r>
    </w:p>
    <w:p>
      <w:pPr>
        <w:spacing w:after="0" w:line="12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Our CIO, who has 15 years experience in technology, has primary responsibility for assessing and managing material cybersecurity risks, including overseeing and identifying cybersecurity risks associated with our use of third party cybersecurity consultancy firms, and are members of management’s IT Steering Committee, which consists of management team members and certain employees who drive alignment on technology and security decisions across the Company. The IT Steering Committee meets monthly to review security performance metrics, identify security risks, and assess the status of approved security enhancements. The IT Steering Committee also considers and makes recommendations to management, the Board of Directors and the Audit Committee on security policies and procedures, security service requirements, and cybersecurity risk mitigation strategies.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jc w:val="both"/>
        <w:ind w:right="180" w:firstLine="490"/>
        <w:spacing w:after="0" w:line="305" w:lineRule="auto"/>
        <w:rPr>
          <w:sz w:val="20"/>
          <w:szCs w:val="20"/>
          <w:color w:val="auto"/>
        </w:rPr>
      </w:pPr>
      <w:r>
        <w:rPr>
          <w:rFonts w:ascii="Times New Roman" w:cs="Times New Roman" w:eastAsia="Times New Roman" w:hAnsi="Times New Roman"/>
          <w:sz w:val="19"/>
          <w:szCs w:val="19"/>
          <w:color w:val="auto"/>
        </w:rPr>
        <w:t>We lease our corporate headquarters and principal offices, which are located at 4514 Cole Avenue, Suite 500, Dallas, Texas 75205. We also lease additional office space in Illinois, California, North Carolina, New York, Louisiana, Missouri,</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60"/>
          </w:cols>
          <w:pgMar w:left="1080" w:top="1056" w:right="1100" w:bottom="175" w:gutter="0" w:footer="0" w:header="0"/>
          <w:type w:val="continuous"/>
        </w:sectPr>
      </w:pPr>
    </w:p>
    <w:bookmarkStart w:id="60" w:name="page61"/>
    <w:bookmarkEnd w:id="60"/>
    <w:p>
      <w:pPr>
        <w:ind w:right="380"/>
        <w:spacing w:after="0" w:line="277" w:lineRule="auto"/>
        <w:rPr>
          <w:sz w:val="20"/>
          <w:szCs w:val="20"/>
          <w:color w:val="auto"/>
        </w:rPr>
      </w:pPr>
      <w:r>
        <w:rPr>
          <w:rFonts w:ascii="Times New Roman" w:cs="Times New Roman" w:eastAsia="Times New Roman" w:hAnsi="Times New Roman"/>
          <w:sz w:val="20"/>
          <w:szCs w:val="20"/>
          <w:color w:val="auto"/>
        </w:rPr>
        <w:t>Maryland, and Colorado. We do not own any real property. We believe our current facilities are adequate for our current needs and that suitable additional space will be available as and when needed.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40"/>
          </w:cols>
          <w:pgMar w:left="1080" w:top="1060" w:right="1120" w:bottom="175"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24"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color w:val="auto"/>
        </w:rPr>
        <w:t>Our Class A common stock is traded on the New York Stock Exchange under the symbol "PX". There is no established public trading market for our Class B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As of February 13, 2025, there were approximately 6,750 stockholders of record of our Class A common stock and there were approximately 2,710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declared a quarterly dividend of $0.035 per share of our common stock to record holders in each fiscal quarter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1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P10 Intermediate to make pro rata distributions to its members, including us, in an amount at least sufficient to allow us to pay all applicable taxes and to pay our corporate and other overhead expenses, including dividend payments to our stockholders. For more information regarding risk factors that could materially and adversely affect us and our ability to continue to pay a comparable cash dividend on a quarterly basis, refer to "Item 1A. Risk Factors" in this Form 10-K.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provides information about our repurchase activity with respect to shares of our common stock for the quarter ended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Maximum Approximate Dollar</w:t>
            </w: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30"/>
              <w:spacing w:after="0"/>
              <w:rPr>
                <w:sz w:val="20"/>
                <w:szCs w:val="20"/>
                <w:color w:val="auto"/>
              </w:rPr>
            </w:pPr>
            <w:r>
              <w:rPr>
                <w:rFonts w:ascii="Calibri" w:cs="Calibri" w:eastAsia="Calibri" w:hAnsi="Calibri"/>
                <w:sz w:val="14"/>
                <w:szCs w:val="14"/>
                <w:b w:val="1"/>
                <w:bCs w:val="1"/>
                <w:color w:val="auto"/>
              </w:rPr>
              <w:t>Weighted</w:t>
            </w: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tcPr>
          <w:p>
            <w:pPr>
              <w:jc w:val="right"/>
              <w:ind w:right="10"/>
              <w:spacing w:after="0"/>
              <w:rPr>
                <w:sz w:val="20"/>
                <w:szCs w:val="20"/>
                <w:color w:val="auto"/>
              </w:rPr>
            </w:pPr>
            <w:r>
              <w:rPr>
                <w:rFonts w:ascii="Calibri" w:cs="Calibri" w:eastAsia="Calibri" w:hAnsi="Calibri"/>
                <w:sz w:val="14"/>
                <w:szCs w:val="14"/>
                <w:b w:val="1"/>
                <w:bCs w:val="1"/>
                <w:color w:val="auto"/>
              </w:rPr>
              <w:t>Value of Shares that May Yet</w:t>
            </w: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580" w:type="dxa"/>
            <w:vAlign w:val="bottom"/>
          </w:tcPr>
          <w:p>
            <w:pPr>
              <w:jc w:val="right"/>
              <w:ind w:right="30"/>
              <w:spacing w:after="0"/>
              <w:rPr>
                <w:sz w:val="20"/>
                <w:szCs w:val="20"/>
                <w:color w:val="auto"/>
              </w:rPr>
            </w:pPr>
            <w:r>
              <w:rPr>
                <w:rFonts w:ascii="Calibri" w:cs="Calibri" w:eastAsia="Calibri" w:hAnsi="Calibri"/>
                <w:sz w:val="14"/>
                <w:szCs w:val="14"/>
                <w:b w:val="1"/>
                <w:bCs w:val="1"/>
                <w:color w:val="auto"/>
              </w:rPr>
              <w:t>Total Number of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0"/>
              <w:spacing w:after="0"/>
              <w:rPr>
                <w:sz w:val="20"/>
                <w:szCs w:val="20"/>
                <w:color w:val="auto"/>
              </w:rPr>
            </w:pPr>
            <w:r>
              <w:rPr>
                <w:rFonts w:ascii="Calibri" w:cs="Calibri" w:eastAsia="Calibri" w:hAnsi="Calibri"/>
                <w:sz w:val="14"/>
                <w:szCs w:val="14"/>
                <w:b w:val="1"/>
                <w:bCs w:val="1"/>
                <w:color w:val="auto"/>
              </w:rPr>
              <w:t>Average Price</w:t>
            </w: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Purchased as Part of Publicly</w:t>
            </w:r>
          </w:p>
        </w:tc>
        <w:tc>
          <w:tcPr>
            <w:tcW w:w="10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Be Purchased Under the Plans</w:t>
            </w:r>
          </w:p>
        </w:tc>
        <w:tc>
          <w:tcPr>
            <w:tcW w:w="100" w:type="dxa"/>
            <w:vAlign w:val="bottom"/>
          </w:tcPr>
          <w:p>
            <w:pPr>
              <w:spacing w:after="0"/>
              <w:rPr>
                <w:sz w:val="14"/>
                <w:szCs w:val="14"/>
                <w:color w:val="auto"/>
              </w:rPr>
            </w:pPr>
          </w:p>
        </w:tc>
      </w:tr>
      <w:tr>
        <w:trPr>
          <w:trHeight w:val="208"/>
        </w:trPr>
        <w:tc>
          <w:tcPr>
            <w:tcW w:w="32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Period</w:t>
            </w:r>
          </w:p>
        </w:tc>
        <w:tc>
          <w:tcPr>
            <w:tcW w:w="1580" w:type="dxa"/>
            <w:vAlign w:val="bottom"/>
            <w:tcBorders>
              <w:bottom w:val="single" w:sz="8" w:color="auto"/>
            </w:tcBorders>
          </w:tcPr>
          <w:p>
            <w:pPr>
              <w:jc w:val="right"/>
              <w:ind w:right="430"/>
              <w:spacing w:after="0"/>
              <w:rPr>
                <w:sz w:val="20"/>
                <w:szCs w:val="20"/>
                <w:color w:val="auto"/>
              </w:rPr>
            </w:pPr>
            <w:r>
              <w:rPr>
                <w:rFonts w:ascii="Calibri" w:cs="Calibri" w:eastAsia="Calibri" w:hAnsi="Calibri"/>
                <w:sz w:val="14"/>
                <w:szCs w:val="14"/>
                <w:b w:val="1"/>
                <w:bCs w:val="1"/>
                <w:color w:val="auto"/>
              </w:rPr>
              <w:t>Purchased</w:t>
            </w:r>
          </w:p>
        </w:tc>
        <w:tc>
          <w:tcPr>
            <w:tcW w:w="100" w:type="dxa"/>
            <w:vAlign w:val="bottom"/>
            <w:tcBorders>
              <w:bottom w:val="single" w:sz="8" w:color="D4EE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0"/>
              <w:spacing w:after="0"/>
              <w:rPr>
                <w:sz w:val="20"/>
                <w:szCs w:val="20"/>
                <w:color w:val="auto"/>
              </w:rPr>
            </w:pPr>
            <w:r>
              <w:rPr>
                <w:rFonts w:ascii="Calibri" w:cs="Calibri" w:eastAsia="Calibri" w:hAnsi="Calibri"/>
                <w:sz w:val="14"/>
                <w:szCs w:val="14"/>
                <w:b w:val="1"/>
                <w:bCs w:val="1"/>
                <w:color w:val="auto"/>
                <w:w w:val="99"/>
              </w:rPr>
              <w:t>Paid per Share</w:t>
            </w:r>
          </w:p>
        </w:tc>
        <w:tc>
          <w:tcPr>
            <w:tcW w:w="100" w:type="dxa"/>
            <w:vAlign w:val="bottom"/>
            <w:tcBorders>
              <w:bottom w:val="single" w:sz="8" w:color="D4EEF4"/>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Announced Plan or Program (1)</w:t>
            </w:r>
          </w:p>
        </w:tc>
        <w:tc>
          <w:tcPr>
            <w:tcW w:w="100" w:type="dxa"/>
            <w:vAlign w:val="bottom"/>
            <w:tcBorders>
              <w:bottom w:val="single" w:sz="8" w:color="D4EEF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0"/>
              <w:spacing w:after="0"/>
              <w:rPr>
                <w:sz w:val="20"/>
                <w:szCs w:val="20"/>
                <w:color w:val="auto"/>
              </w:rPr>
            </w:pPr>
            <w:r>
              <w:rPr>
                <w:rFonts w:ascii="Calibri" w:cs="Calibri" w:eastAsia="Calibri" w:hAnsi="Calibri"/>
                <w:sz w:val="14"/>
                <w:szCs w:val="14"/>
                <w:b w:val="1"/>
                <w:bCs w:val="1"/>
                <w:color w:val="auto"/>
              </w:rPr>
              <w:t>or Programs (1)</w:t>
            </w:r>
          </w:p>
        </w:tc>
        <w:tc>
          <w:tcPr>
            <w:tcW w:w="100" w:type="dxa"/>
            <w:vAlign w:val="bottom"/>
            <w:tcBorders>
              <w:bottom w:val="single" w:sz="8" w:color="D4EEF4"/>
            </w:tcBorders>
          </w:tcPr>
          <w:p>
            <w:pPr>
              <w:spacing w:after="0"/>
              <w:rPr>
                <w:sz w:val="18"/>
                <w:szCs w:val="18"/>
                <w:color w:val="auto"/>
              </w:rPr>
            </w:pPr>
          </w:p>
        </w:tc>
      </w:tr>
      <w:tr>
        <w:trPr>
          <w:trHeight w:val="185"/>
        </w:trPr>
        <w:tc>
          <w:tcPr>
            <w:tcW w:w="3280" w:type="dxa"/>
            <w:vAlign w:val="bottom"/>
            <w:shd w:val="clear" w:color="auto" w:fill="D4EEF4"/>
          </w:tcPr>
          <w:p>
            <w:pPr>
              <w:spacing w:after="0"/>
              <w:rPr>
                <w:sz w:val="20"/>
                <w:szCs w:val="20"/>
                <w:color w:val="auto"/>
              </w:rPr>
            </w:pPr>
            <w:r>
              <w:rPr>
                <w:rFonts w:ascii="Calibri" w:cs="Calibri" w:eastAsia="Calibri" w:hAnsi="Calibri"/>
                <w:sz w:val="14"/>
                <w:szCs w:val="14"/>
                <w:color w:val="auto"/>
              </w:rPr>
              <w:t>October 1 - 31, 2024</w:t>
            </w:r>
          </w:p>
        </w:tc>
        <w:tc>
          <w:tcPr>
            <w:tcW w:w="158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4EEF4"/>
          </w:tcPr>
          <w:p>
            <w:pPr>
              <w:spacing w:after="0"/>
              <w:rPr>
                <w:sz w:val="16"/>
                <w:szCs w:val="16"/>
                <w:color w:val="auto"/>
              </w:rPr>
            </w:pPr>
          </w:p>
        </w:tc>
        <w:tc>
          <w:tcPr>
            <w:tcW w:w="8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w w:val="83"/>
              </w:rPr>
              <w:t>$</w:t>
            </w:r>
          </w:p>
        </w:tc>
        <w:tc>
          <w:tcPr>
            <w:tcW w:w="96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4EEF4"/>
          </w:tcPr>
          <w:p>
            <w:pPr>
              <w:spacing w:after="0"/>
              <w:rPr>
                <w:sz w:val="16"/>
                <w:szCs w:val="16"/>
                <w:color w:val="auto"/>
              </w:rPr>
            </w:pPr>
          </w:p>
        </w:tc>
        <w:tc>
          <w:tcPr>
            <w:tcW w:w="196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4EEF4"/>
          </w:tcPr>
          <w:p>
            <w:pPr>
              <w:spacing w:after="0"/>
              <w:rPr>
                <w:sz w:val="16"/>
                <w:szCs w:val="16"/>
                <w:color w:val="auto"/>
              </w:rPr>
            </w:pPr>
          </w:p>
        </w:tc>
        <w:tc>
          <w:tcPr>
            <w:tcW w:w="260" w:type="dxa"/>
            <w:vAlign w:val="bottom"/>
            <w:shd w:val="clear" w:color="auto" w:fill="D4EEF4"/>
          </w:tcPr>
          <w:p>
            <w:pPr>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13,872,482</w:t>
            </w:r>
          </w:p>
        </w:tc>
        <w:tc>
          <w:tcPr>
            <w:tcW w:w="100" w:type="dxa"/>
            <w:vAlign w:val="bottom"/>
            <w:shd w:val="clear" w:color="auto" w:fill="D4EEF4"/>
          </w:tcPr>
          <w:p>
            <w:pPr>
              <w:spacing w:after="0"/>
              <w:rPr>
                <w:sz w:val="16"/>
                <w:szCs w:val="16"/>
                <w:color w:val="auto"/>
              </w:rPr>
            </w:pPr>
          </w:p>
        </w:tc>
      </w:tr>
      <w:tr>
        <w:trPr>
          <w:trHeight w:val="185"/>
        </w:trPr>
        <w:tc>
          <w:tcPr>
            <w:tcW w:w="3280" w:type="dxa"/>
            <w:vAlign w:val="bottom"/>
          </w:tcPr>
          <w:p>
            <w:pPr>
              <w:spacing w:after="0"/>
              <w:rPr>
                <w:sz w:val="20"/>
                <w:szCs w:val="20"/>
                <w:color w:val="auto"/>
              </w:rPr>
            </w:pPr>
            <w:r>
              <w:rPr>
                <w:rFonts w:ascii="Calibri" w:cs="Calibri" w:eastAsia="Calibri" w:hAnsi="Calibri"/>
                <w:sz w:val="14"/>
                <w:szCs w:val="14"/>
                <w:color w:val="auto"/>
              </w:rPr>
              <w:t>November 1 - 30, 2024</w:t>
            </w:r>
          </w:p>
        </w:tc>
        <w:tc>
          <w:tcPr>
            <w:tcW w:w="1580" w:type="dxa"/>
            <w:vAlign w:val="bottom"/>
          </w:tcPr>
          <w:p>
            <w:pPr>
              <w:jc w:val="right"/>
              <w:spacing w:after="0"/>
              <w:rPr>
                <w:sz w:val="20"/>
                <w:szCs w:val="20"/>
                <w:color w:val="auto"/>
              </w:rPr>
            </w:pPr>
            <w:r>
              <w:rPr>
                <w:rFonts w:ascii="Calibri" w:cs="Calibri" w:eastAsia="Calibri" w:hAnsi="Calibri"/>
                <w:sz w:val="14"/>
                <w:szCs w:val="14"/>
                <w:color w:val="auto"/>
              </w:rPr>
              <w:t>361,721</w:t>
            </w:r>
          </w:p>
        </w:tc>
        <w:tc>
          <w:tcPr>
            <w:tcW w:w="1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12.06</w:t>
            </w:r>
          </w:p>
        </w:tc>
        <w:tc>
          <w:tcPr>
            <w:tcW w:w="2060" w:type="dxa"/>
            <w:vAlign w:val="bottom"/>
            <w:gridSpan w:val="2"/>
          </w:tcPr>
          <w:p>
            <w:pPr>
              <w:jc w:val="right"/>
              <w:spacing w:after="0"/>
              <w:rPr>
                <w:sz w:val="20"/>
                <w:szCs w:val="20"/>
                <w:color w:val="auto"/>
              </w:rPr>
            </w:pPr>
            <w:r>
              <w:rPr>
                <w:rFonts w:ascii="Calibri" w:cs="Calibri" w:eastAsia="Calibri" w:hAnsi="Calibri"/>
                <w:sz w:val="14"/>
                <w:szCs w:val="14"/>
                <w:color w:val="auto"/>
              </w:rPr>
              <w:t>361,721</w:t>
            </w:r>
          </w:p>
        </w:tc>
        <w:tc>
          <w:tcPr>
            <w:tcW w:w="360" w:type="dxa"/>
            <w:vAlign w:val="bottom"/>
            <w:gridSpan w:val="2"/>
          </w:tcPr>
          <w:p>
            <w:pPr>
              <w:ind w:left="100"/>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spacing w:after="0"/>
              <w:rPr>
                <w:sz w:val="20"/>
                <w:szCs w:val="20"/>
                <w:color w:val="auto"/>
              </w:rPr>
            </w:pPr>
            <w:r>
              <w:rPr>
                <w:rFonts w:ascii="Calibri" w:cs="Calibri" w:eastAsia="Calibri" w:hAnsi="Calibri"/>
                <w:sz w:val="14"/>
                <w:szCs w:val="14"/>
                <w:color w:val="auto"/>
              </w:rPr>
              <w:t>9,508,865</w:t>
            </w:r>
          </w:p>
        </w:tc>
        <w:tc>
          <w:tcPr>
            <w:tcW w:w="100" w:type="dxa"/>
            <w:vAlign w:val="bottom"/>
          </w:tcPr>
          <w:p>
            <w:pPr>
              <w:spacing w:after="0"/>
              <w:rPr>
                <w:sz w:val="16"/>
                <w:szCs w:val="16"/>
                <w:color w:val="auto"/>
              </w:rPr>
            </w:pPr>
          </w:p>
        </w:tc>
      </w:tr>
      <w:tr>
        <w:trPr>
          <w:trHeight w:val="185"/>
        </w:trPr>
        <w:tc>
          <w:tcPr>
            <w:tcW w:w="3280" w:type="dxa"/>
            <w:vAlign w:val="bottom"/>
            <w:shd w:val="clear" w:color="auto" w:fill="D4EEF4"/>
          </w:tcPr>
          <w:p>
            <w:pPr>
              <w:spacing w:after="0"/>
              <w:rPr>
                <w:sz w:val="20"/>
                <w:szCs w:val="20"/>
                <w:color w:val="auto"/>
              </w:rPr>
            </w:pPr>
            <w:r>
              <w:rPr>
                <w:rFonts w:ascii="Calibri" w:cs="Calibri" w:eastAsia="Calibri" w:hAnsi="Calibri"/>
                <w:sz w:val="14"/>
                <w:szCs w:val="14"/>
                <w:color w:val="auto"/>
              </w:rPr>
              <w:t>December 1 - 31, 2024</w:t>
            </w:r>
          </w:p>
        </w:tc>
        <w:tc>
          <w:tcPr>
            <w:tcW w:w="1580" w:type="dxa"/>
            <w:vAlign w:val="bottom"/>
            <w:tcBorders>
              <w:bottom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453,606</w:t>
            </w:r>
          </w:p>
        </w:tc>
        <w:tc>
          <w:tcPr>
            <w:tcW w:w="180" w:type="dxa"/>
            <w:vAlign w:val="bottom"/>
            <w:gridSpan w:val="2"/>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13.24</w:t>
            </w:r>
          </w:p>
        </w:tc>
        <w:tc>
          <w:tcPr>
            <w:tcW w:w="100" w:type="dxa"/>
            <w:vAlign w:val="bottom"/>
            <w:shd w:val="clear" w:color="auto" w:fill="D4EEF4"/>
          </w:tcPr>
          <w:p>
            <w:pPr>
              <w:spacing w:after="0"/>
              <w:rPr>
                <w:sz w:val="16"/>
                <w:szCs w:val="16"/>
                <w:color w:val="auto"/>
              </w:rPr>
            </w:pPr>
          </w:p>
        </w:tc>
        <w:tc>
          <w:tcPr>
            <w:tcW w:w="1960" w:type="dxa"/>
            <w:vAlign w:val="bottom"/>
            <w:tcBorders>
              <w:bottom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453,606</w:t>
            </w:r>
          </w:p>
        </w:tc>
        <w:tc>
          <w:tcPr>
            <w:tcW w:w="360" w:type="dxa"/>
            <w:vAlign w:val="bottom"/>
            <w:gridSpan w:val="2"/>
            <w:shd w:val="clear" w:color="auto" w:fill="D4EEF4"/>
          </w:tcPr>
          <w:p>
            <w:pPr>
              <w:ind w:left="100"/>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3,496,192</w:t>
            </w:r>
          </w:p>
        </w:tc>
        <w:tc>
          <w:tcPr>
            <w:tcW w:w="100" w:type="dxa"/>
            <w:vAlign w:val="bottom"/>
            <w:shd w:val="clear" w:color="auto" w:fill="D4EEF4"/>
          </w:tcPr>
          <w:p>
            <w:pPr>
              <w:spacing w:after="0"/>
              <w:rPr>
                <w:sz w:val="16"/>
                <w:szCs w:val="16"/>
                <w:color w:val="auto"/>
              </w:rPr>
            </w:pPr>
          </w:p>
        </w:tc>
      </w:tr>
      <w:tr>
        <w:trPr>
          <w:trHeight w:val="175"/>
        </w:trPr>
        <w:tc>
          <w:tcPr>
            <w:tcW w:w="3280" w:type="dxa"/>
            <w:vAlign w:val="bottom"/>
          </w:tcPr>
          <w:p>
            <w:pPr>
              <w:spacing w:after="0"/>
              <w:rPr>
                <w:sz w:val="20"/>
                <w:szCs w:val="20"/>
                <w:color w:val="auto"/>
              </w:rPr>
            </w:pPr>
            <w:r>
              <w:rPr>
                <w:rFonts w:ascii="Calibri" w:cs="Calibri" w:eastAsia="Calibri" w:hAnsi="Calibri"/>
                <w:sz w:val="14"/>
                <w:szCs w:val="14"/>
                <w:b w:val="1"/>
                <w:bCs w:val="1"/>
                <w:color w:val="auto"/>
              </w:rPr>
              <w:t>Total</w:t>
            </w:r>
          </w:p>
        </w:tc>
        <w:tc>
          <w:tcPr>
            <w:tcW w:w="1580" w:type="dxa"/>
            <w:vAlign w:val="bottom"/>
          </w:tcPr>
          <w:p>
            <w:pPr>
              <w:jc w:val="right"/>
              <w:spacing w:after="0"/>
              <w:rPr>
                <w:sz w:val="20"/>
                <w:szCs w:val="20"/>
                <w:color w:val="auto"/>
              </w:rPr>
            </w:pPr>
            <w:r>
              <w:rPr>
                <w:rFonts w:ascii="Calibri" w:cs="Calibri" w:eastAsia="Calibri" w:hAnsi="Calibri"/>
                <w:sz w:val="14"/>
                <w:szCs w:val="14"/>
                <w:b w:val="1"/>
                <w:bCs w:val="1"/>
                <w:color w:val="auto"/>
              </w:rPr>
              <w:t>815,327</w:t>
            </w:r>
          </w:p>
        </w:tc>
        <w:tc>
          <w:tcPr>
            <w:tcW w:w="1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14"/>
                <w:szCs w:val="14"/>
                <w:b w:val="1"/>
                <w:bCs w:val="1"/>
                <w:color w:val="auto"/>
              </w:rPr>
              <w:t>12.72</w:t>
            </w:r>
          </w:p>
        </w:tc>
        <w:tc>
          <w:tcPr>
            <w:tcW w:w="20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815,327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40"/>
        <w:spacing w:after="0" w:line="244" w:lineRule="auto"/>
        <w:tabs>
          <w:tab w:leader="none" w:pos="28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12, 2022, we announced that our Board of Directors authorized a program to repurchase outstanding shares of our Class A and Class B common stock as of the date of authorization (the "Stock Repurchase Program"). As of December 31, 2024, the Board has approved $92.0 million, of which $52.0 million was approved during the year ending December 31, 2024, for repurchase under the Share Repurchase Program. On February 11, 2025, the Board of Directors authorized an additional $40.0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sell any unregistered equity securities during the year ended December 31, 2024.</w:t>
      </w:r>
    </w:p>
    <w:p>
      <w:pPr>
        <w:sectPr>
          <w:pgSz w:w="12240" w:h="15840" w:orient="portrait"/>
          <w:cols w:equalWidth="0" w:num="1">
            <w:col w:w="10080"/>
          </w:cols>
          <w:pgMar w:left="1080" w:top="12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256" w:right="108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following graph and table depict the total return to stockholders from the closing price on October 21, 2021 (the date our Class A common stock began trading on NYSE) through December 31, 2024, relative to the performance of the S&amp;P 500 Index, Dow Jones U.S. Asset Managers Index, and Russell 2000 Index. The Company was admitted to the Russell 2000 Index in 2023. The graph and table assume $100 invested on October 21, 2021, and dividends reinvested in the security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3032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extLst>
                    </a:blip>
                    <a:srcRect/>
                    <a:stretch>
                      <a:fillRect/>
                    </a:stretch>
                  </pic:blipFill>
                  <pic:spPr bwMode="auto">
                    <a:xfrm>
                      <a:off x="0" y="0"/>
                      <a:ext cx="6400800" cy="303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56" w:right="1080" w:bottom="1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2024, fiscal 2023 and fiscal 2022 are to our fiscal years ended December 31, 2024, 2023 and 2022,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0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2024, our private market solutions were comprised of the following:</w:t>
      </w:r>
    </w:p>
    <w:p>
      <w:pPr>
        <w:spacing w:after="0" w:line="134" w:lineRule="exact"/>
        <w:rPr>
          <w:sz w:val="20"/>
          <w:szCs w:val="20"/>
          <w:color w:val="auto"/>
        </w:rPr>
      </w:pPr>
    </w:p>
    <w:p>
      <w:pPr>
        <w:ind w:left="980" w:right="40" w:hanging="491"/>
        <w:spacing w:after="0" w:line="242"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Private Equity Solutions (PES)</w:t>
      </w:r>
      <w:r>
        <w:rPr>
          <w:rFonts w:ascii="Times New Roman" w:cs="Times New Roman" w:eastAsia="Times New Roman" w:hAnsi="Times New Roman"/>
          <w:sz w:val="20"/>
          <w:szCs w:val="20"/>
          <w:color w:val="auto"/>
        </w:rPr>
        <w:t>. Under PES, we make direct and indirect investments in middle and lower-middle market private equity across North America. PES also makes minority equity investments in a diversified portfolio of mid-sized managers across private equity, private credit, real estate and real assets. The PES investment team, which is comprised of 42 investment professionals with an average of 26+ years of experience, has deep and long-standing investor and fund manager relationships in the middle and lower-middle market which it has cultivated over the past 20 years, including over 2,280+ investors, 285+ fund managers, 560+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6,000 investment firms, 11,100 funds, 49,000 individual transactions, 32,600 private companies and 458,000 financial metrics. As of December 31, 2024, PES managed $14.1 billion of Fee-Paying Assets Under Management ("FPAUM").</w:t>
      </w:r>
    </w:p>
    <w:p>
      <w:pPr>
        <w:spacing w:after="0" w:line="106" w:lineRule="exact"/>
        <w:rPr>
          <w:rFonts w:ascii="Arial" w:cs="Arial" w:eastAsia="Arial" w:hAnsi="Arial"/>
          <w:sz w:val="20"/>
          <w:szCs w:val="20"/>
          <w:color w:val="auto"/>
        </w:rPr>
      </w:pPr>
    </w:p>
    <w:p>
      <w:pPr>
        <w:ind w:left="980" w:hanging="491"/>
        <w:spacing w:after="0" w:line="244"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Venture Capital Solutions (VCS). </w:t>
      </w:r>
      <w:r>
        <w:rPr>
          <w:rFonts w:ascii="Times New Roman" w:cs="Times New Roman" w:eastAsia="Times New Roman" w:hAnsi="Times New Roman"/>
          <w:sz w:val="20"/>
          <w:szCs w:val="20"/>
          <w:color w:val="auto"/>
        </w:rPr>
        <w:t>Under VCS, we make investments in venture capital funds across North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America and specialize in targeting high-performing, access-constrained opportunities. The VCS investment team, which is comprised of 16 investment professionals with an average of 24+ years of experience, has deep and long-standing investor and fund manager relationships in the venture market which it has cultivated over the past 14+ years, including over 1,980+ investors, 110+ fund managers, 100+ direct investments, 415+ private market funds and 14,700+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2024, VCS managed $6.4 billion of FPAUM.</w:t>
      </w:r>
    </w:p>
    <w:p>
      <w:pPr>
        <w:spacing w:after="0" w:line="95" w:lineRule="exact"/>
        <w:rPr>
          <w:rFonts w:ascii="Arial" w:cs="Arial" w:eastAsia="Arial" w:hAnsi="Arial"/>
          <w:sz w:val="20"/>
          <w:szCs w:val="20"/>
          <w:color w:val="auto"/>
        </w:rPr>
      </w:pPr>
    </w:p>
    <w:p>
      <w:pPr>
        <w:ind w:left="980" w:right="100" w:hanging="491"/>
        <w:spacing w:after="0" w:line="261" w:lineRule="auto"/>
        <w:tabs>
          <w:tab w:leader="none" w:pos="98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Private Credit Solutions (PCS). </w:t>
      </w:r>
      <w:r>
        <w:rPr>
          <w:rFonts w:ascii="Times New Roman" w:cs="Times New Roman" w:eastAsia="Times New Roman" w:hAnsi="Times New Roman"/>
          <w:sz w:val="19"/>
          <w:szCs w:val="19"/>
          <w:color w:val="auto"/>
        </w:rPr>
        <w:t>Under PCS, we primarily make debt investments across North America,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54 investment professionals with an average of 25+ years of experience, has deep and long-standing relationships in the private credit market which it has cultivated over the past 22 years, including 440+ investors across 49 active investment vehicles and 1,800+ portfolio</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60"/>
          </w:cols>
          <w:pgMar w:left="1080" w:top="1056" w:right="1100" w:bottom="175" w:gutter="0" w:footer="0" w:header="0"/>
          <w:type w:val="continuous"/>
        </w:sectPr>
      </w:pPr>
    </w:p>
    <w:bookmarkStart w:id="64" w:name="page65"/>
    <w:bookmarkEnd w:id="64"/>
    <w:p>
      <w:pPr>
        <w:ind w:left="980" w:right="20"/>
        <w:spacing w:after="0" w:line="242" w:lineRule="auto"/>
        <w:rPr>
          <w:sz w:val="20"/>
          <w:szCs w:val="20"/>
          <w:color w:val="auto"/>
        </w:rPr>
      </w:pPr>
      <w:r>
        <w:rPr>
          <w:rFonts w:ascii="Times New Roman" w:cs="Times New Roman" w:eastAsia="Times New Roman" w:hAnsi="Times New Roman"/>
          <w:sz w:val="20"/>
          <w:szCs w:val="20"/>
          <w:color w:val="auto"/>
        </w:rPr>
        <w:t>companies with $9.8+ billion capital deployed. Our PCS is differentiated by our relationship-driven sourcing approach providing capital solutions for growth-oriented companies. We are further synergistically strengthened by our PES network of fund managers, characterized by more than 630 credit opportunities annually. We currently maintain 80+ active sponsor relationships and have 125+ platform investments. Within PCS, the Company has investments that target renewable energy development and historic building renovation projects, as well as provide capital to small businesses that are woman or minority owned or operated in underserved communities. These investments are differentiated in both the breadth of impact areas served, the type of capital deployed and the duration of the impact investing track record. From the impact investing inception in 1999 through December 31, 2024, inclusive of proprietary assets and assets managed by affiliates, Enhanced Capital has raised a total of $6.4 billion. Of the total AUM, impact assets represent $4.2 billion invested in over 1,000 projects and businesses across 40 states, Washington DC, and Puerto Rico and does not include investments made by non-impact affiliates. Investments in clean energy have generated an estimate of over 2,900 GWh of renewable energy from inception to December 31, 2024. As of December 31, 2024, PCS managed approximately $5.2 billion of FPAUM.</w:t>
      </w:r>
    </w:p>
    <w:p>
      <w:pPr>
        <w:spacing w:after="0" w:line="21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a one 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Mr. Sarsfield, as Chairman of the Board. In connection with Mr. Alpert's resignation as Executive Chairman, the Company and Mr. Alpert agreed to the early termination of Mr. Alpert's Transition Agreement. Mr. Webb's Transition Agreement terminated in accordance with its terms on October 23, 2024. Effective November 7, 2024, each of Mr. Alpert and Mr. Webb resigned as members of the board of the Company. The associated expenses were recorded in compensation and benefits on the Consolidated Statements of Operations.</w:t>
      </w:r>
    </w:p>
    <w:p>
      <w:pPr>
        <w:spacing w:after="0" w:line="211"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Board approved a program to repurchase shares of our Class A and Class B common stock. As of December 31, 2024, the Board has approved $92.0 million, of which $52.0 million was approved during the year ending December 31, 2024,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December 31, 2024, $88.5 million has been spent to buy back shares and there was $3.5 million remaining for authorized repurchases under this program. On February 11, 2025, the Board of Directors authorized an additional $40.0 million for repurchases under the Stock Repurchase Program.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Sources of Revenue</w:t>
      </w:r>
    </w:p>
    <w:p>
      <w:pPr>
        <w:spacing w:after="0" w:line="20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88" w:lineRule="exact"/>
        <w:rPr>
          <w:sz w:val="20"/>
          <w:szCs w:val="20"/>
          <w:color w:val="auto"/>
        </w:rPr>
      </w:pPr>
    </w:p>
    <w:p>
      <w:pPr>
        <w:ind w:left="980" w:hanging="491"/>
        <w:spacing w:after="0" w:line="244"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Primary Investment Funds. </w:t>
      </w:r>
      <w:r>
        <w:rPr>
          <w:rFonts w:ascii="Times New Roman" w:cs="Times New Roman" w:eastAsia="Times New Roman" w:hAnsi="Times New Roman"/>
          <w:sz w:val="20"/>
          <w:szCs w:val="20"/>
          <w:color w:val="auto"/>
        </w:rPr>
        <w:t>Primary investment funds refer to investment vehicles which target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$13.9 billion of our FPAUM as of December 31, 2024.</w:t>
      </w:r>
    </w:p>
    <w:p>
      <w:pPr>
        <w:sectPr>
          <w:pgSz w:w="12240" w:h="15840" w:orient="portrait"/>
          <w:cols w:equalWidth="0" w:num="1">
            <w:col w:w="10060"/>
          </w:cols>
          <w:pgMar w:left="1080" w:top="1060" w:right="1100" w:bottom="175"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60"/>
          </w:cols>
          <w:pgMar w:left="1080" w:top="1060" w:right="1100" w:bottom="175" w:gutter="0" w:footer="0" w:header="0"/>
          <w:type w:val="continuous"/>
        </w:sectPr>
      </w:pPr>
    </w:p>
    <w:bookmarkStart w:id="65" w:name="page66"/>
    <w:bookmarkEnd w:id="65"/>
    <w:p>
      <w:pPr>
        <w:ind w:left="980" w:hanging="491"/>
        <w:spacing w:after="0" w:line="243"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Direct and Co-Investment Funds. </w:t>
      </w:r>
      <w:r>
        <w:rPr>
          <w:rFonts w:ascii="Times New Roman" w:cs="Times New Roman" w:eastAsia="Times New Roman" w:hAnsi="Times New Roman"/>
          <w:sz w:val="20"/>
          <w:szCs w:val="20"/>
          <w:color w:val="auto"/>
        </w:rPr>
        <w:t>Direct and co-investments involve acquiring an equity interest in or making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to an operating company, project, property, alternative asset manager, or asset, typically by co-investing alongside an investment by a fund manager or by investing directly in the underlying asset. P10’s direct and co-investment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$10.2 billion of our FPAUM as of December 31, 2024.</w:t>
      </w:r>
    </w:p>
    <w:p>
      <w:pPr>
        <w:spacing w:after="0" w:line="98" w:lineRule="exact"/>
        <w:rPr>
          <w:rFonts w:ascii="Arial" w:cs="Arial" w:eastAsia="Arial" w:hAnsi="Arial"/>
          <w:sz w:val="20"/>
          <w:szCs w:val="20"/>
          <w:color w:val="auto"/>
        </w:rPr>
      </w:pPr>
    </w:p>
    <w:p>
      <w:pPr>
        <w:ind w:left="980" w:right="200" w:hanging="491"/>
        <w:spacing w:after="0" w:line="24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Secondaries. </w:t>
      </w:r>
      <w:r>
        <w:rPr>
          <w:rFonts w:ascii="Times New Roman" w:cs="Times New Roman" w:eastAsia="Times New Roman" w:hAnsi="Times New Roman"/>
          <w:sz w:val="20"/>
          <w:szCs w:val="20"/>
          <w:color w:val="auto"/>
        </w:rPr>
        <w:t>Secondaries refer to investments in existing private markets funds through the acquisition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December 31, 2024.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24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We operate our business as a single operating segment, which is how our chief operating decision maker evaluates financial performance and makes decisions regarding the allocation of resources.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4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see investors turning towards alternative investments to achieve asset class diversification, superior investment returns, and participation in access constrained investment opportunities.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continued growth of our business may be influenced by several factors, including the following market trends:</w:t>
      </w:r>
    </w:p>
    <w:p>
      <w:pPr>
        <w:spacing w:after="0" w:line="134" w:lineRule="exact"/>
        <w:rPr>
          <w:sz w:val="20"/>
          <w:szCs w:val="20"/>
          <w:color w:val="auto"/>
        </w:rPr>
      </w:pPr>
    </w:p>
    <w:p>
      <w:pPr>
        <w:ind w:left="980" w:right="20" w:hanging="491"/>
        <w:spacing w:after="0" w:line="243"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Accelerating demand for private markets solutions. </w:t>
      </w:r>
      <w:r>
        <w:rPr>
          <w:rFonts w:ascii="Times New Roman" w:cs="Times New Roman" w:eastAsia="Times New Roman" w:hAnsi="Times New Roman"/>
          <w:sz w:val="20"/>
          <w:szCs w:val="20"/>
          <w:color w:val="auto"/>
        </w:rPr>
        <w:t>Our ability to attract new capital is dependent on investor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 and demand from high-net-worth individuals, also known as retail investors.</w:t>
      </w:r>
    </w:p>
    <w:p>
      <w:pPr>
        <w:spacing w:after="0" w:line="101" w:lineRule="exact"/>
        <w:rPr>
          <w:rFonts w:ascii="Arial" w:cs="Arial" w:eastAsia="Arial" w:hAnsi="Arial"/>
          <w:sz w:val="20"/>
          <w:szCs w:val="20"/>
          <w:color w:val="auto"/>
        </w:rPr>
      </w:pPr>
    </w:p>
    <w:p>
      <w:pPr>
        <w:ind w:left="980" w:right="20" w:hanging="491"/>
        <w:spacing w:after="0" w:line="24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Favorable lower and lower-middle market dynamics, and data driven sourcing. </w:t>
      </w:r>
      <w:r>
        <w:rPr>
          <w:rFonts w:ascii="Times New Roman" w:cs="Times New Roman" w:eastAsia="Times New Roman" w:hAnsi="Times New Roman"/>
          <w:sz w:val="20"/>
          <w:szCs w:val="20"/>
          <w:color w:val="auto"/>
        </w:rPr>
        <w:t>We attribute our strong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w:t>
      </w:r>
    </w:p>
    <w:p>
      <w:pPr>
        <w:sectPr>
          <w:pgSz w:w="12240" w:h="15840" w:orient="portrait"/>
          <w:cols w:equalWidth="0" w:num="1">
            <w:col w:w="10080"/>
          </w:cols>
          <w:pgMar w:left="1080" w:top="1074" w:right="1080" w:bottom="175"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74" w:right="1080" w:bottom="175" w:gutter="0" w:footer="0" w:header="0"/>
          <w:type w:val="continuous"/>
        </w:sectPr>
      </w:pPr>
    </w:p>
    <w:bookmarkStart w:id="66" w:name="page67"/>
    <w:bookmarkEnd w:id="66"/>
    <w:p>
      <w:pPr>
        <w:ind w:left="620" w:right="80"/>
        <w:spacing w:after="0" w:line="247" w:lineRule="auto"/>
        <w:rPr>
          <w:sz w:val="20"/>
          <w:szCs w:val="20"/>
          <w:color w:val="auto"/>
        </w:rPr>
      </w:pPr>
      <w:r>
        <w:rPr>
          <w:rFonts w:ascii="Times New Roman" w:cs="Times New Roman" w:eastAsia="Times New Roman" w:hAnsi="Times New Roman"/>
          <w:sz w:val="20"/>
          <w:szCs w:val="20"/>
          <w:color w:val="auto"/>
        </w:rPr>
        <w:t>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94" w:lineRule="exact"/>
        <w:rPr>
          <w:sz w:val="20"/>
          <w:szCs w:val="20"/>
          <w:color w:val="auto"/>
        </w:rPr>
      </w:pPr>
    </w:p>
    <w:p>
      <w:pPr>
        <w:ind w:left="620" w:right="20" w:hanging="491"/>
        <w:spacing w:after="0" w:line="242" w:lineRule="auto"/>
        <w:tabs>
          <w:tab w:leader="none" w:pos="6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Expanding asset class solutions, broaden geographic reach and grow private markets network effect. </w:t>
      </w:r>
      <w:r>
        <w:rPr>
          <w:rFonts w:ascii="Times New Roman" w:cs="Times New Roman" w:eastAsia="Times New Roman" w:hAnsi="Times New Roman"/>
          <w:sz w:val="20"/>
          <w:szCs w:val="20"/>
          <w:color w:val="auto"/>
        </w:rPr>
        <w:t>Our 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104" w:lineRule="exact"/>
        <w:rPr>
          <w:rFonts w:ascii="Arial" w:cs="Arial" w:eastAsia="Arial" w:hAnsi="Arial"/>
          <w:sz w:val="20"/>
          <w:szCs w:val="20"/>
          <w:color w:val="auto"/>
        </w:rPr>
      </w:pPr>
    </w:p>
    <w:p>
      <w:pPr>
        <w:ind w:left="620" w:right="60" w:hanging="491"/>
        <w:spacing w:after="0" w:line="244" w:lineRule="auto"/>
        <w:tabs>
          <w:tab w:leader="none" w:pos="6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Increasing regulatory requirements and political uncertainty. </w:t>
      </w:r>
      <w:r>
        <w:rPr>
          <w:rFonts w:ascii="Times New Roman" w:cs="Times New Roman" w:eastAsia="Times New Roman" w:hAnsi="Times New Roman"/>
          <w:sz w:val="20"/>
          <w:szCs w:val="20"/>
          <w:color w:val="auto"/>
        </w:rPr>
        <w:t>The complex regulatory and tax environment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carries the potential to restrict our operations and our business activities, as well as subject us to increased compliance and administrative burdens. The SEC recently adopted new rules and rule amendments to enhance the regulation of all investment advisors, including private fund advisers. The task of satisfying the requirements of these updated rules is expected to increase our compliance costs and further restrict certain business activities. Among these new and amended rules is the SEC's significantly updated requirements for investment advisers related to cybersecurity and ensuring investor privacy. There is additional uncertainty around potential legal, regulatory, and tax changes, which may impact our profitability or impact our ability to operate and grow our business.</w:t>
      </w:r>
    </w:p>
    <w:p>
      <w:pPr>
        <w:spacing w:after="0" w:line="98" w:lineRule="exact"/>
        <w:rPr>
          <w:rFonts w:ascii="Arial" w:cs="Arial" w:eastAsia="Arial" w:hAnsi="Arial"/>
          <w:sz w:val="20"/>
          <w:szCs w:val="20"/>
          <w:color w:val="auto"/>
        </w:rPr>
      </w:pPr>
    </w:p>
    <w:p>
      <w:pPr>
        <w:ind w:left="620" w:hanging="491"/>
        <w:spacing w:after="0" w:line="245" w:lineRule="auto"/>
        <w:tabs>
          <w:tab w:leader="none" w:pos="6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Our ability to raise capital in order to fund acquisitions and strategic growth initiatives. </w:t>
      </w:r>
      <w:r>
        <w:rPr>
          <w:rFonts w:ascii="Times New Roman" w:cs="Times New Roman" w:eastAsia="Times New Roman" w:hAnsi="Times New Roman"/>
          <w:sz w:val="20"/>
          <w:szCs w:val="20"/>
          <w:color w:val="auto"/>
        </w:rPr>
        <w:t>In addition to organic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growth of our existing 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95" w:lineRule="exact"/>
        <w:rPr>
          <w:rFonts w:ascii="Arial" w:cs="Arial" w:eastAsia="Arial" w:hAnsi="Arial"/>
          <w:sz w:val="20"/>
          <w:szCs w:val="20"/>
          <w:color w:val="auto"/>
        </w:rPr>
      </w:pPr>
    </w:p>
    <w:p>
      <w:pPr>
        <w:ind w:left="620" w:hanging="491"/>
        <w:spacing w:after="0" w:line="246" w:lineRule="auto"/>
        <w:tabs>
          <w:tab w:leader="none" w:pos="6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Increased competition to work with top private equity fund managers. </w:t>
      </w:r>
      <w:r>
        <w:rPr>
          <w:rFonts w:ascii="Times New Roman" w:cs="Times New Roman" w:eastAsia="Times New Roman" w:hAnsi="Times New Roman"/>
          <w:sz w:val="20"/>
          <w:szCs w:val="20"/>
          <w:color w:val="auto"/>
        </w:rPr>
        <w:t>There has been a trend amongst larger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private markets investors to 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93" w:lineRule="exact"/>
        <w:rPr>
          <w:rFonts w:ascii="Arial" w:cs="Arial" w:eastAsia="Arial" w:hAnsi="Arial"/>
          <w:sz w:val="20"/>
          <w:szCs w:val="20"/>
          <w:color w:val="auto"/>
        </w:rPr>
      </w:pPr>
    </w:p>
    <w:p>
      <w:pPr>
        <w:ind w:left="620" w:right="120" w:hanging="491"/>
        <w:spacing w:after="0" w:line="259" w:lineRule="auto"/>
        <w:tabs>
          <w:tab w:leader="none" w:pos="6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Data advantage relative to competitors. </w:t>
      </w:r>
      <w:r>
        <w:rPr>
          <w:rFonts w:ascii="Times New Roman" w:cs="Times New Roman" w:eastAsia="Times New Roman" w:hAnsi="Times New Roman"/>
          <w:sz w:val="19"/>
          <w:szCs w:val="19"/>
          <w:color w:val="auto"/>
        </w:rPr>
        <w:t>We believe that the general trend towards transparency and consistency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7" w:lineRule="exact"/>
        <w:rPr>
          <w:rFonts w:ascii="Arial" w:cs="Arial" w:eastAsia="Arial" w:hAnsi="Arial"/>
          <w:sz w:val="19"/>
          <w:szCs w:val="19"/>
          <w:color w:val="auto"/>
        </w:rPr>
      </w:pPr>
    </w:p>
    <w:p>
      <w:pPr>
        <w:ind w:left="620" w:right="380" w:hanging="491"/>
        <w:spacing w:after="0" w:line="304" w:lineRule="auto"/>
        <w:tabs>
          <w:tab w:leader="none" w:pos="6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Consolidation of Manager relationships and flight to quality. </w:t>
      </w:r>
      <w:r>
        <w:rPr>
          <w:rFonts w:ascii="Times New Roman" w:cs="Times New Roman" w:eastAsia="Times New Roman" w:hAnsi="Times New Roman"/>
          <w:sz w:val="19"/>
          <w:szCs w:val="19"/>
          <w:color w:val="auto"/>
        </w:rPr>
        <w:t>As global financial markets continue to remain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uncertain and private markets investors evaluate their exposure and allocation to private markets, a trend of</w:t>
      </w:r>
    </w:p>
    <w:p>
      <w:pPr>
        <w:sectPr>
          <w:pgSz w:w="12240" w:h="15840" w:orient="portrait"/>
          <w:cols w:equalWidth="0" w:num="1">
            <w:col w:w="9700"/>
          </w:cols>
          <w:pgMar w:left="1440" w:top="1060" w:right="1100" w:bottom="175" w:gutter="0" w:footer="0" w:header="0"/>
        </w:sectPr>
      </w:pPr>
    </w:p>
    <w:p>
      <w:pPr>
        <w:spacing w:after="0" w:line="2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00"/>
          </w:cols>
          <w:pgMar w:left="1440" w:top="1060" w:right="1100" w:bottom="175" w:gutter="0" w:footer="0" w:header="0"/>
          <w:type w:val="continuous"/>
        </w:sectPr>
      </w:pPr>
    </w:p>
    <w:bookmarkStart w:id="67" w:name="page68"/>
    <w:bookmarkEnd w:id="67"/>
    <w:p>
      <w:pPr>
        <w:ind w:left="980" w:right="80"/>
        <w:spacing w:after="0" w:line="249" w:lineRule="auto"/>
        <w:rPr>
          <w:sz w:val="20"/>
          <w:szCs w:val="20"/>
          <w:color w:val="auto"/>
        </w:rPr>
      </w:pPr>
      <w:r>
        <w:rPr>
          <w:rFonts w:ascii="Times New Roman" w:cs="Times New Roman" w:eastAsia="Times New Roman" w:hAnsi="Times New Roman"/>
          <w:sz w:val="20"/>
          <w:szCs w:val="20"/>
          <w:color w:val="auto"/>
        </w:rPr>
        <w:t>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91" w:lineRule="exact"/>
        <w:rPr>
          <w:sz w:val="20"/>
          <w:szCs w:val="20"/>
          <w:color w:val="auto"/>
        </w:rPr>
      </w:pPr>
    </w:p>
    <w:p>
      <w:pPr>
        <w:ind w:left="980" w:right="60" w:hanging="491"/>
        <w:spacing w:after="0" w:line="249"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Counter-cyclical strategies can thrive in a higher-rate environment. </w:t>
      </w:r>
      <w:r>
        <w:rPr>
          <w:rFonts w:ascii="Times New Roman" w:cs="Times New Roman" w:eastAsia="Times New Roman" w:hAnsi="Times New Roman"/>
          <w:sz w:val="20"/>
          <w:szCs w:val="20"/>
          <w:color w:val="auto"/>
        </w:rPr>
        <w:t>Some strategies are counter-cyclical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Financial &amp; Operating Metrics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206"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an uncommon pre-acquisition legacy managed fund and incremental incentive revenues earned as a part of an advisory agreement between ECG and Crossroads Impact Corp.</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options are exercisable starting in July 2025.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40"/>
          </w:cols>
          <w:pgMar w:left="1080" w:top="1060" w:right="1120" w:bottom="175" w:gutter="0" w:footer="0" w:header="0"/>
          <w:type w:val="continuous"/>
        </w:sectPr>
      </w:pPr>
    </w:p>
    <w:bookmarkStart w:id="68" w:name="page69"/>
    <w:bookmarkEnd w:id="68"/>
    <w:p>
      <w:pPr>
        <w:ind w:right="100"/>
        <w:spacing w:after="0" w:line="249" w:lineRule="auto"/>
        <w:rPr>
          <w:sz w:val="20"/>
          <w:szCs w:val="20"/>
          <w:color w:val="auto"/>
        </w:rPr>
      </w:pPr>
      <w:r>
        <w:rPr>
          <w:rFonts w:ascii="Times New Roman" w:cs="Times New Roman" w:eastAsia="Times New Roman" w:hAnsi="Times New Roman"/>
          <w:sz w:val="20"/>
          <w:szCs w:val="20"/>
          <w:color w:val="auto"/>
        </w:rPr>
        <w:t>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9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General, administrative and other includes rent, travel and entertainment, technology, insurance and other general costs associated with operating our business.</w:t>
      </w:r>
    </w:p>
    <w:p>
      <w:pPr>
        <w:spacing w:after="0" w:line="16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(Expense)/Income</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Benefit/(Expense)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Income tax benefit/(expense) is comprised of current and deferred tax benefit/(expense).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Fee-Paying Assets Under Management, or FPAUM</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or deployed capital are not affected by market appreciation or depreciation.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60" w:right="108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 the years ended December 31, 2024, December 31, 2023, and December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44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Management and advisory fees</w:t>
            </w:r>
          </w:p>
        </w:tc>
        <w:tc>
          <w:tcPr>
            <w:tcW w:w="740" w:type="dxa"/>
            <w:vAlign w:val="bottom"/>
            <w:shd w:val="clear" w:color="auto" w:fill="D4EEF4"/>
          </w:tcPr>
          <w:p>
            <w:pPr>
              <w:jc w:val="right"/>
              <w:ind w:right="6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290,218</w:t>
            </w:r>
          </w:p>
        </w:tc>
        <w:tc>
          <w:tcPr>
            <w:tcW w:w="140" w:type="dxa"/>
            <w:vAlign w:val="bottom"/>
            <w:shd w:val="clear" w:color="auto" w:fill="D4EEF4"/>
          </w:tcPr>
          <w:p>
            <w:pPr>
              <w:spacing w:after="0"/>
              <w:rPr>
                <w:sz w:val="15"/>
                <w:szCs w:val="15"/>
                <w:color w:val="auto"/>
              </w:rPr>
            </w:pPr>
          </w:p>
        </w:tc>
        <w:tc>
          <w:tcPr>
            <w:tcW w:w="820" w:type="dxa"/>
            <w:vAlign w:val="bottom"/>
            <w:gridSpan w:val="2"/>
            <w:shd w:val="clear" w:color="auto" w:fill="D4EEF4"/>
          </w:tcPr>
          <w:p>
            <w:pPr>
              <w:jc w:val="right"/>
              <w:ind w:right="61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w w:val="96"/>
              </w:rPr>
              <w:t>238,729</w:t>
            </w:r>
          </w:p>
        </w:tc>
        <w:tc>
          <w:tcPr>
            <w:tcW w:w="120" w:type="dxa"/>
            <w:vAlign w:val="bottom"/>
            <w:shd w:val="clear" w:color="auto" w:fill="D4EEF4"/>
          </w:tcPr>
          <w:p>
            <w:pPr>
              <w:spacing w:after="0"/>
              <w:rPr>
                <w:sz w:val="15"/>
                <w:szCs w:val="15"/>
                <w:color w:val="auto"/>
              </w:rPr>
            </w:pPr>
          </w:p>
        </w:tc>
        <w:tc>
          <w:tcPr>
            <w:tcW w:w="500" w:type="dxa"/>
            <w:vAlign w:val="bottom"/>
            <w:gridSpan w:val="2"/>
            <w:shd w:val="clear" w:color="auto" w:fill="D4EEF4"/>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51,489</w:t>
            </w:r>
          </w:p>
        </w:tc>
        <w:tc>
          <w:tcPr>
            <w:tcW w:w="240" w:type="dxa"/>
            <w:vAlign w:val="bottom"/>
            <w:shd w:val="clear" w:color="auto" w:fill="D4EEF4"/>
          </w:tcPr>
          <w:p>
            <w:pPr>
              <w:spacing w:after="0"/>
              <w:rPr>
                <w:sz w:val="15"/>
                <w:szCs w:val="15"/>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Other revenue</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14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12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240" w:type="dxa"/>
            <w:vAlign w:val="bottom"/>
            <w:tcBorders>
              <w:bottom w:val="single" w:sz="8" w:color="D4EEF4"/>
            </w:tcBorders>
          </w:tcPr>
          <w:p>
            <w:pPr>
              <w:spacing w:after="0"/>
              <w:rPr>
                <w:sz w:val="15"/>
                <w:szCs w:val="15"/>
                <w:color w:val="auto"/>
              </w:rPr>
            </w:pPr>
          </w:p>
        </w:tc>
        <w:tc>
          <w:tcPr>
            <w:tcW w:w="1300" w:type="dxa"/>
            <w:vAlign w:val="bottom"/>
            <w:tcBorders>
              <w:bottom w:val="single" w:sz="8" w:color="D4EEF4"/>
            </w:tcBorders>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0" w:type="dxa"/>
            <w:vAlign w:val="bottom"/>
          </w:tcPr>
          <w:p>
            <w:pPr>
              <w:spacing w:after="0"/>
              <w:rPr>
                <w:sz w:val="1"/>
                <w:szCs w:val="1"/>
                <w:color w:val="auto"/>
              </w:rPr>
            </w:pPr>
          </w:p>
        </w:tc>
      </w:tr>
      <w:tr>
        <w:trPr>
          <w:trHeight w:val="165"/>
        </w:trPr>
        <w:tc>
          <w:tcPr>
            <w:tcW w:w="4460" w:type="dxa"/>
            <w:vAlign w:val="bottom"/>
            <w:shd w:val="clear" w:color="auto" w:fill="D4EEF4"/>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740" w:type="dxa"/>
            <w:vAlign w:val="bottom"/>
            <w:shd w:val="clear" w:color="auto" w:fill="D4EEF4"/>
          </w:tcPr>
          <w:p>
            <w:pPr>
              <w:spacing w:after="0"/>
              <w:rPr>
                <w:sz w:val="14"/>
                <w:szCs w:val="14"/>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296,448</w:t>
            </w:r>
          </w:p>
        </w:tc>
        <w:tc>
          <w:tcPr>
            <w:tcW w:w="14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740" w:type="dxa"/>
            <w:vAlign w:val="bottom"/>
            <w:shd w:val="clear" w:color="auto" w:fill="D4EEF4"/>
          </w:tcPr>
          <w:p>
            <w:pPr>
              <w:spacing w:after="0"/>
              <w:rPr>
                <w:sz w:val="14"/>
                <w:szCs w:val="14"/>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w w:val="96"/>
              </w:rPr>
              <w:t>241,734</w:t>
            </w:r>
          </w:p>
        </w:tc>
        <w:tc>
          <w:tcPr>
            <w:tcW w:w="12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420" w:type="dxa"/>
            <w:vAlign w:val="bottom"/>
            <w:shd w:val="clear" w:color="auto" w:fill="D4EEF4"/>
          </w:tcPr>
          <w:p>
            <w:pPr>
              <w:spacing w:after="0"/>
              <w:rPr>
                <w:sz w:val="14"/>
                <w:szCs w:val="14"/>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54,714</w:t>
            </w:r>
          </w:p>
        </w:tc>
        <w:tc>
          <w:tcPr>
            <w:tcW w:w="240" w:type="dxa"/>
            <w:vAlign w:val="bottom"/>
            <w:shd w:val="clear" w:color="auto" w:fill="D4EEF4"/>
          </w:tcPr>
          <w:p>
            <w:pPr>
              <w:spacing w:after="0"/>
              <w:rPr>
                <w:sz w:val="14"/>
                <w:szCs w:val="14"/>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155,316</w:t>
            </w:r>
          </w:p>
        </w:tc>
        <w:tc>
          <w:tcPr>
            <w:tcW w:w="14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w w:val="96"/>
              </w:rPr>
              <w:t>154,286</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420" w:type="dxa"/>
            <w:vAlign w:val="bottom"/>
            <w:shd w:val="clear" w:color="auto" w:fill="D4EEF4"/>
          </w:tcPr>
          <w:p>
            <w:pPr>
              <w:spacing w:after="0"/>
              <w:rPr>
                <w:sz w:val="15"/>
                <w:szCs w:val="15"/>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240" w:type="dxa"/>
            <w:vAlign w:val="bottom"/>
            <w:shd w:val="clear" w:color="auto" w:fill="D4EEF4"/>
          </w:tcPr>
          <w:p>
            <w:pPr>
              <w:spacing w:after="0"/>
              <w:rPr>
                <w:sz w:val="15"/>
                <w:szCs w:val="15"/>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28,780</w:t>
            </w:r>
          </w:p>
        </w:tc>
        <w:tc>
          <w:tcPr>
            <w:tcW w:w="14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22,584</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420" w:type="dxa"/>
            <w:vAlign w:val="bottom"/>
            <w:shd w:val="clear" w:color="auto" w:fill="D4EEF4"/>
          </w:tcPr>
          <w:p>
            <w:pPr>
              <w:spacing w:after="0"/>
              <w:rPr>
                <w:sz w:val="15"/>
                <w:szCs w:val="15"/>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240" w:type="dxa"/>
            <w:vAlign w:val="bottom"/>
            <w:shd w:val="clear" w:color="auto" w:fill="D4EEF4"/>
          </w:tcPr>
          <w:p>
            <w:pPr>
              <w:spacing w:after="0"/>
              <w:rPr>
                <w:sz w:val="15"/>
                <w:szCs w:val="15"/>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Contingent consideration expense</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(400)</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25,612</w:t>
            </w:r>
          </w:p>
        </w:tc>
        <w:tc>
          <w:tcPr>
            <w:tcW w:w="14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42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4"/>
                <w:szCs w:val="14"/>
                <w:color w:val="auto"/>
              </w:rPr>
              <w:t>(3,609)</w:t>
            </w: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Strategic alliance expense</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4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2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240" w:type="dxa"/>
            <w:vAlign w:val="bottom"/>
            <w:tcBorders>
              <w:bottom w:val="single" w:sz="8" w:color="D4EEF4"/>
            </w:tcBorders>
          </w:tcPr>
          <w:p>
            <w:pPr>
              <w:spacing w:after="0"/>
              <w:rPr>
                <w:sz w:val="15"/>
                <w:szCs w:val="15"/>
                <w:color w:val="auto"/>
              </w:rPr>
            </w:pPr>
          </w:p>
        </w:tc>
        <w:tc>
          <w:tcPr>
            <w:tcW w:w="1300" w:type="dxa"/>
            <w:vAlign w:val="bottom"/>
            <w:tcBorders>
              <w:bottom w:val="single" w:sz="8" w:color="D4EEF4"/>
            </w:tcBorders>
          </w:tcPr>
          <w:p>
            <w:pPr>
              <w:jc w:val="center"/>
              <w:spacing w:after="0"/>
              <w:rPr>
                <w:sz w:val="20"/>
                <w:szCs w:val="20"/>
                <w:color w:val="auto"/>
              </w:rPr>
            </w:pPr>
            <w:r>
              <w:rPr>
                <w:rFonts w:ascii="Times New Roman" w:cs="Times New Roman" w:eastAsia="Times New Roman" w:hAnsi="Times New Roman"/>
                <w:sz w:val="14"/>
                <w:szCs w:val="14"/>
                <w:color w:val="auto"/>
                <w:w w:val="97"/>
              </w:rPr>
              <w:t>201%</w:t>
            </w:r>
          </w:p>
        </w:tc>
        <w:tc>
          <w:tcPr>
            <w:tcW w:w="0" w:type="dxa"/>
            <w:vAlign w:val="bottom"/>
          </w:tcPr>
          <w:p>
            <w:pPr>
              <w:spacing w:after="0"/>
              <w:rPr>
                <w:sz w:val="1"/>
                <w:szCs w:val="1"/>
                <w:color w:val="auto"/>
              </w:rPr>
            </w:pPr>
          </w:p>
        </w:tc>
      </w:tr>
      <w:tr>
        <w:trPr>
          <w:trHeight w:val="165"/>
        </w:trPr>
        <w:tc>
          <w:tcPr>
            <w:tcW w:w="4460" w:type="dxa"/>
            <w:vAlign w:val="bottom"/>
            <w:shd w:val="clear" w:color="auto" w:fill="D4EEF4"/>
          </w:tcPr>
          <w:p>
            <w:pPr>
              <w:ind w:left="3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40" w:type="dxa"/>
            <w:vAlign w:val="bottom"/>
            <w:tcBorders>
              <w:bottom w:val="single" w:sz="8" w:color="auto"/>
            </w:tcBorders>
            <w:shd w:val="clear" w:color="auto" w:fill="D4EEF4"/>
          </w:tcPr>
          <w:p>
            <w:pPr>
              <w:spacing w:after="0"/>
              <w:rPr>
                <w:sz w:val="14"/>
                <w:szCs w:val="14"/>
                <w:color w:val="auto"/>
              </w:rPr>
            </w:pPr>
          </w:p>
        </w:tc>
        <w:tc>
          <w:tcPr>
            <w:tcW w:w="4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235,828</w:t>
            </w:r>
          </w:p>
        </w:tc>
        <w:tc>
          <w:tcPr>
            <w:tcW w:w="14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740" w:type="dxa"/>
            <w:vAlign w:val="bottom"/>
            <w:tcBorders>
              <w:bottom w:val="single" w:sz="8" w:color="auto"/>
            </w:tcBorders>
            <w:shd w:val="clear" w:color="auto" w:fill="D4EEF4"/>
          </w:tcPr>
          <w:p>
            <w:pPr>
              <w:spacing w:after="0"/>
              <w:rPr>
                <w:sz w:val="14"/>
                <w:szCs w:val="14"/>
                <w:color w:val="auto"/>
              </w:rPr>
            </w:pPr>
          </w:p>
        </w:tc>
        <w:tc>
          <w:tcPr>
            <w:tcW w:w="4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w w:val="96"/>
              </w:rPr>
              <w:t>220,813</w:t>
            </w:r>
          </w:p>
        </w:tc>
        <w:tc>
          <w:tcPr>
            <w:tcW w:w="12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420" w:type="dxa"/>
            <w:vAlign w:val="bottom"/>
            <w:tcBorders>
              <w:bottom w:val="single" w:sz="8" w:color="auto"/>
            </w:tcBorders>
            <w:shd w:val="clear" w:color="auto" w:fill="D4EEF4"/>
          </w:tcPr>
          <w:p>
            <w:pPr>
              <w:spacing w:after="0"/>
              <w:rPr>
                <w:sz w:val="14"/>
                <w:szCs w:val="14"/>
                <w:color w:val="auto"/>
              </w:rPr>
            </w:pPr>
          </w:p>
        </w:tc>
        <w:tc>
          <w:tcPr>
            <w:tcW w:w="8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15,015</w:t>
            </w:r>
          </w:p>
        </w:tc>
        <w:tc>
          <w:tcPr>
            <w:tcW w:w="240" w:type="dxa"/>
            <w:vAlign w:val="bottom"/>
            <w:shd w:val="clear" w:color="auto" w:fill="D4EEF4"/>
          </w:tcPr>
          <w:p>
            <w:pPr>
              <w:spacing w:after="0"/>
              <w:rPr>
                <w:sz w:val="14"/>
                <w:szCs w:val="14"/>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5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7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39,699</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190%</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spacing w:after="0"/>
              <w:rPr>
                <w:sz w:val="15"/>
                <w:szCs w:val="15"/>
                <w:color w:val="auto"/>
              </w:rPr>
            </w:pPr>
          </w:p>
        </w:tc>
        <w:tc>
          <w:tcPr>
            <w:tcW w:w="14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740" w:type="dxa"/>
            <w:vAlign w:val="bottom"/>
            <w:shd w:val="clear" w:color="auto" w:fill="D4EEF4"/>
          </w:tcPr>
          <w:p>
            <w:pPr>
              <w:spacing w:after="0"/>
              <w:rPr>
                <w:sz w:val="15"/>
                <w:szCs w:val="15"/>
                <w:color w:val="auto"/>
              </w:rPr>
            </w:pPr>
          </w:p>
        </w:tc>
        <w:tc>
          <w:tcPr>
            <w:tcW w:w="480" w:type="dxa"/>
            <w:vAlign w:val="bottom"/>
            <w:shd w:val="clear" w:color="auto" w:fill="D4EEF4"/>
          </w:tcPr>
          <w:p>
            <w:pPr>
              <w:spacing w:after="0"/>
              <w:rPr>
                <w:sz w:val="15"/>
                <w:szCs w:val="15"/>
                <w:color w:val="auto"/>
              </w:rPr>
            </w:pP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420" w:type="dxa"/>
            <w:vAlign w:val="bottom"/>
            <w:shd w:val="clear" w:color="auto" w:fill="D4EEF4"/>
          </w:tcPr>
          <w:p>
            <w:pPr>
              <w:spacing w:after="0"/>
              <w:rPr>
                <w:sz w:val="15"/>
                <w:szCs w:val="15"/>
                <w:color w:val="auto"/>
              </w:rPr>
            </w:pPr>
          </w:p>
        </w:tc>
        <w:tc>
          <w:tcPr>
            <w:tcW w:w="800" w:type="dxa"/>
            <w:vAlign w:val="bottom"/>
            <w:shd w:val="clear" w:color="auto" w:fill="D4EEF4"/>
          </w:tcPr>
          <w:p>
            <w:pPr>
              <w:spacing w:after="0"/>
              <w:rPr>
                <w:sz w:val="15"/>
                <w:szCs w:val="15"/>
                <w:color w:val="auto"/>
              </w:rPr>
            </w:pPr>
          </w:p>
        </w:tc>
        <w:tc>
          <w:tcPr>
            <w:tcW w:w="240" w:type="dxa"/>
            <w:vAlign w:val="bottom"/>
            <w:shd w:val="clear" w:color="auto" w:fill="D4EEF4"/>
          </w:tcPr>
          <w:p>
            <w:pPr>
              <w:spacing w:after="0"/>
              <w:rPr>
                <w:sz w:val="15"/>
                <w:szCs w:val="15"/>
                <w:color w:val="auto"/>
              </w:rPr>
            </w:pPr>
          </w:p>
        </w:tc>
        <w:tc>
          <w:tcPr>
            <w:tcW w:w="1300" w:type="dxa"/>
            <w:vAlign w:val="bottom"/>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740" w:type="dxa"/>
            <w:vAlign w:val="bottom"/>
          </w:tcPr>
          <w:p>
            <w:pPr>
              <w:spacing w:after="0"/>
              <w:rPr>
                <w:sz w:val="24"/>
                <w:szCs w:val="24"/>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(25,510)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(21,872)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(3,638)</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Other (losses)/income</w:t>
            </w:r>
          </w:p>
        </w:tc>
        <w:tc>
          <w:tcPr>
            <w:tcW w:w="740" w:type="dxa"/>
            <w:vAlign w:val="bottom"/>
            <w:shd w:val="clear" w:color="auto" w:fill="D4EEF4"/>
          </w:tcPr>
          <w:p>
            <w:pPr>
              <w:spacing w:after="0"/>
              <w:rPr>
                <w:sz w:val="16"/>
                <w:szCs w:val="16"/>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140" w:type="dxa"/>
            <w:vAlign w:val="bottom"/>
            <w:shd w:val="clear" w:color="auto" w:fill="D4EEF4"/>
          </w:tcPr>
          <w:p>
            <w:pPr>
              <w:spacing w:after="0"/>
              <w:rPr>
                <w:sz w:val="16"/>
                <w:szCs w:val="16"/>
                <w:color w:val="auto"/>
              </w:rPr>
            </w:pPr>
          </w:p>
        </w:tc>
        <w:tc>
          <w:tcPr>
            <w:tcW w:w="80" w:type="dxa"/>
            <w:vAlign w:val="bottom"/>
            <w:shd w:val="clear" w:color="auto" w:fill="D4EEF4"/>
          </w:tcPr>
          <w:p>
            <w:pPr>
              <w:spacing w:after="0"/>
              <w:rPr>
                <w:sz w:val="16"/>
                <w:szCs w:val="16"/>
                <w:color w:val="auto"/>
              </w:rPr>
            </w:pPr>
          </w:p>
        </w:tc>
        <w:tc>
          <w:tcPr>
            <w:tcW w:w="740" w:type="dxa"/>
            <w:vAlign w:val="bottom"/>
            <w:shd w:val="clear" w:color="auto" w:fill="D4EEF4"/>
          </w:tcPr>
          <w:p>
            <w:pPr>
              <w:spacing w:after="0"/>
              <w:rPr>
                <w:sz w:val="16"/>
                <w:szCs w:val="16"/>
                <w:color w:val="auto"/>
              </w:rPr>
            </w:pPr>
          </w:p>
        </w:tc>
        <w:tc>
          <w:tcPr>
            <w:tcW w:w="60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(2,189)</w:t>
            </w:r>
          </w:p>
        </w:tc>
        <w:tc>
          <w:tcPr>
            <w:tcW w:w="80" w:type="dxa"/>
            <w:vAlign w:val="bottom"/>
            <w:shd w:val="clear" w:color="auto" w:fill="D4EEF4"/>
          </w:tcPr>
          <w:p>
            <w:pPr>
              <w:spacing w:after="0"/>
              <w:rPr>
                <w:sz w:val="16"/>
                <w:szCs w:val="16"/>
                <w:color w:val="auto"/>
              </w:rPr>
            </w:pPr>
          </w:p>
        </w:tc>
        <w:tc>
          <w:tcPr>
            <w:tcW w:w="420" w:type="dxa"/>
            <w:vAlign w:val="bottom"/>
            <w:shd w:val="clear" w:color="auto" w:fill="D4EEF4"/>
          </w:tcPr>
          <w:p>
            <w:pPr>
              <w:spacing w:after="0"/>
              <w:rPr>
                <w:sz w:val="16"/>
                <w:szCs w:val="16"/>
                <w:color w:val="auto"/>
              </w:rPr>
            </w:pPr>
          </w:p>
        </w:tc>
        <w:tc>
          <w:tcPr>
            <w:tcW w:w="1040" w:type="dxa"/>
            <w:vAlign w:val="bottom"/>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4"/>
                <w:szCs w:val="14"/>
                <w:color w:val="auto"/>
              </w:rPr>
              <w:t>(4,558)</w:t>
            </w: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w w:val="97"/>
              </w:rPr>
              <w:t>208%</w:t>
            </w:r>
          </w:p>
        </w:tc>
        <w:tc>
          <w:tcPr>
            <w:tcW w:w="0" w:type="dxa"/>
            <w:vAlign w:val="bottom"/>
          </w:tcPr>
          <w:p>
            <w:pPr>
              <w:spacing w:after="0"/>
              <w:rPr>
                <w:sz w:val="1"/>
                <w:szCs w:val="1"/>
                <w:color w:val="auto"/>
              </w:rPr>
            </w:pPr>
          </w:p>
        </w:tc>
      </w:tr>
      <w:tr>
        <w:trPr>
          <w:trHeight w:val="145"/>
        </w:trPr>
        <w:tc>
          <w:tcPr>
            <w:tcW w:w="4460" w:type="dxa"/>
            <w:vAlign w:val="bottom"/>
            <w:tcBorders>
              <w:top w:val="single" w:sz="8" w:color="D4EEF4"/>
              <w:bottom w:val="single" w:sz="8" w:color="D4EEF4"/>
            </w:tcBorders>
          </w:tcPr>
          <w:p>
            <w:pPr>
              <w:ind w:left="320"/>
              <w:spacing w:after="0" w:line="145" w:lineRule="exact"/>
              <w:rPr>
                <w:sz w:val="20"/>
                <w:szCs w:val="20"/>
                <w:color w:val="auto"/>
              </w:rPr>
            </w:pPr>
            <w:r>
              <w:rPr>
                <w:rFonts w:ascii="Times New Roman" w:cs="Times New Roman" w:eastAsia="Times New Roman" w:hAnsi="Times New Roman"/>
                <w:sz w:val="14"/>
                <w:szCs w:val="14"/>
                <w:color w:val="auto"/>
              </w:rPr>
              <w:t>Total other (expense)</w:t>
            </w:r>
          </w:p>
        </w:tc>
        <w:tc>
          <w:tcPr>
            <w:tcW w:w="7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96"/>
              </w:rPr>
              <w:t>(32,257)</w:t>
            </w:r>
          </w:p>
        </w:tc>
        <w:tc>
          <w:tcPr>
            <w:tcW w:w="140" w:type="dxa"/>
            <w:vAlign w:val="bottom"/>
            <w:tcBorders>
              <w:top w:val="single" w:sz="8" w:color="D4EEF4"/>
              <w:bottom w:val="single" w:sz="8" w:color="D4EEF4"/>
            </w:tcBorders>
          </w:tcPr>
          <w:p>
            <w:pPr>
              <w:spacing w:after="0"/>
              <w:rPr>
                <w:sz w:val="12"/>
                <w:szCs w:val="12"/>
                <w:color w:val="auto"/>
              </w:rPr>
            </w:pPr>
          </w:p>
        </w:tc>
        <w:tc>
          <w:tcPr>
            <w:tcW w:w="80" w:type="dxa"/>
            <w:vAlign w:val="bottom"/>
            <w:tcBorders>
              <w:top w:val="single" w:sz="8" w:color="D4EEF4"/>
              <w:bottom w:val="single" w:sz="8" w:color="D4EEF4"/>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96"/>
              </w:rPr>
              <w:t>(24,061)</w:t>
            </w:r>
          </w:p>
        </w:tc>
        <w:tc>
          <w:tcPr>
            <w:tcW w:w="120" w:type="dxa"/>
            <w:vAlign w:val="bottom"/>
            <w:tcBorders>
              <w:top w:val="single" w:sz="8" w:color="D4EEF4"/>
              <w:bottom w:val="single" w:sz="8" w:color="D4EEF4"/>
            </w:tcBorders>
          </w:tcPr>
          <w:p>
            <w:pPr>
              <w:spacing w:after="0"/>
              <w:rPr>
                <w:sz w:val="12"/>
                <w:szCs w:val="12"/>
                <w:color w:val="auto"/>
              </w:rPr>
            </w:pPr>
          </w:p>
        </w:tc>
        <w:tc>
          <w:tcPr>
            <w:tcW w:w="80" w:type="dxa"/>
            <w:vAlign w:val="bottom"/>
            <w:tcBorders>
              <w:top w:val="single" w:sz="8" w:color="D4EEF4"/>
              <w:bottom w:val="single" w:sz="8" w:color="D4EEF4"/>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(8,196)</w:t>
            </w:r>
          </w:p>
        </w:tc>
        <w:tc>
          <w:tcPr>
            <w:tcW w:w="240" w:type="dxa"/>
            <w:vAlign w:val="bottom"/>
            <w:tcBorders>
              <w:top w:val="single" w:sz="8" w:color="D4EEF4"/>
              <w:bottom w:val="single" w:sz="8" w:color="D4EEF4"/>
            </w:tcBorders>
          </w:tcPr>
          <w:p>
            <w:pPr>
              <w:spacing w:after="0"/>
              <w:rPr>
                <w:sz w:val="12"/>
                <w:szCs w:val="12"/>
                <w:color w:val="auto"/>
              </w:rPr>
            </w:pPr>
          </w:p>
        </w:tc>
        <w:tc>
          <w:tcPr>
            <w:tcW w:w="1300" w:type="dxa"/>
            <w:vAlign w:val="bottom"/>
            <w:tcBorders>
              <w:top w:val="single" w:sz="8" w:color="D4EEF4"/>
              <w:bottom w:val="single" w:sz="8" w:color="D4EEF4"/>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5"/>
        </w:trPr>
        <w:tc>
          <w:tcPr>
            <w:tcW w:w="44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Net income/(losses) before income taxes</w:t>
            </w:r>
          </w:p>
        </w:tc>
        <w:tc>
          <w:tcPr>
            <w:tcW w:w="740" w:type="dxa"/>
            <w:vAlign w:val="bottom"/>
            <w:shd w:val="clear" w:color="auto" w:fill="D4EEF4"/>
          </w:tcPr>
          <w:p>
            <w:pPr>
              <w:spacing w:after="0"/>
              <w:rPr>
                <w:sz w:val="14"/>
                <w:szCs w:val="14"/>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28,363</w:t>
            </w:r>
          </w:p>
        </w:tc>
        <w:tc>
          <w:tcPr>
            <w:tcW w:w="14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740" w:type="dxa"/>
            <w:vAlign w:val="bottom"/>
            <w:shd w:val="clear" w:color="auto" w:fill="D4EEF4"/>
          </w:tcPr>
          <w:p>
            <w:pPr>
              <w:spacing w:after="0"/>
              <w:rPr>
                <w:sz w:val="14"/>
                <w:szCs w:val="14"/>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2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420" w:type="dxa"/>
            <w:vAlign w:val="bottom"/>
            <w:shd w:val="clear" w:color="auto" w:fill="D4EEF4"/>
          </w:tcPr>
          <w:p>
            <w:pPr>
              <w:spacing w:after="0"/>
              <w:rPr>
                <w:sz w:val="14"/>
                <w:szCs w:val="14"/>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31,503</w:t>
            </w:r>
          </w:p>
        </w:tc>
        <w:tc>
          <w:tcPr>
            <w:tcW w:w="240" w:type="dxa"/>
            <w:vAlign w:val="bottom"/>
            <w:shd w:val="clear" w:color="auto" w:fill="D4EEF4"/>
          </w:tcPr>
          <w:p>
            <w:pPr>
              <w:spacing w:after="0"/>
              <w:rPr>
                <w:sz w:val="14"/>
                <w:szCs w:val="14"/>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4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2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240" w:type="dxa"/>
            <w:vAlign w:val="bottom"/>
            <w:tcBorders>
              <w:bottom w:val="single" w:sz="8" w:color="D4EEF4"/>
            </w:tcBorders>
          </w:tcPr>
          <w:p>
            <w:pPr>
              <w:spacing w:after="0"/>
              <w:rPr>
                <w:sz w:val="15"/>
                <w:szCs w:val="15"/>
                <w:color w:val="auto"/>
              </w:rPr>
            </w:pPr>
          </w:p>
        </w:tc>
        <w:tc>
          <w:tcPr>
            <w:tcW w:w="1300" w:type="dxa"/>
            <w:vAlign w:val="bottom"/>
            <w:tcBorders>
              <w:bottom w:val="single" w:sz="8" w:color="D4EEF4"/>
            </w:tcBorders>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5"/>
        </w:trPr>
        <w:tc>
          <w:tcPr>
            <w:tcW w:w="44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740" w:type="dxa"/>
            <w:vAlign w:val="bottom"/>
            <w:tcBorders>
              <w:bottom w:val="single" w:sz="8" w:color="auto"/>
            </w:tcBorders>
            <w:shd w:val="clear" w:color="auto" w:fill="D4EEF4"/>
          </w:tcPr>
          <w:p>
            <w:pPr>
              <w:jc w:val="right"/>
              <w:ind w:right="6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19,667</w:t>
            </w:r>
          </w:p>
        </w:tc>
        <w:tc>
          <w:tcPr>
            <w:tcW w:w="14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740" w:type="dxa"/>
            <w:vAlign w:val="bottom"/>
            <w:tcBorders>
              <w:bottom w:val="single" w:sz="8" w:color="auto"/>
            </w:tcBorders>
            <w:shd w:val="clear" w:color="auto" w:fill="D4EEF4"/>
          </w:tcPr>
          <w:p>
            <w:pPr>
              <w:jc w:val="right"/>
              <w:ind w:right="61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2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420" w:type="dxa"/>
            <w:vAlign w:val="bottom"/>
            <w:tcBorders>
              <w:bottom w:val="single" w:sz="8" w:color="auto"/>
            </w:tcBorders>
            <w:shd w:val="clear" w:color="auto" w:fill="D4EEF4"/>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27,439</w:t>
            </w:r>
          </w:p>
        </w:tc>
        <w:tc>
          <w:tcPr>
            <w:tcW w:w="240" w:type="dxa"/>
            <w:vAlign w:val="bottom"/>
            <w:shd w:val="clear" w:color="auto" w:fill="D4EEF4"/>
          </w:tcPr>
          <w:p>
            <w:pPr>
              <w:spacing w:after="0"/>
              <w:rPr>
                <w:sz w:val="14"/>
                <w:szCs w:val="14"/>
                <w:color w:val="auto"/>
              </w:rPr>
            </w:pPr>
          </w:p>
        </w:tc>
        <w:tc>
          <w:tcPr>
            <w:tcW w:w="13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years ended December 31, 2024 and December 31, 2023. For the year ended December 31, 2024 compared to the year ended December 31, 2023, revenues increased $54.7 million or 23% due to higher management and advisory fees as well as an increase in catch up fees due to fund closings across the Company.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Management and advisory fees increased $51.5 million, or 22%, to $290.2 million for the year ended December 31,</w:t>
      </w:r>
    </w:p>
    <w:p>
      <w:pPr>
        <w:spacing w:after="0" w:line="28"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0"/>
          <w:szCs w:val="20"/>
          <w:color w:val="auto"/>
        </w:rPr>
        <w:t>2024 as compared to the year ended December 31, 2023 due to continued fundraising and deployed capital throughout 2024 and 10% growth in average FPAUM across the Company. Catch up fees for the year ended December 31, 2024 were $38.9 million. Catch up fees are associated with the fund closings at Bonaccord, TrueBridge and RCP.</w:t>
      </w:r>
    </w:p>
    <w:p>
      <w:pPr>
        <w:spacing w:after="0" w:line="20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Management fees are non-refundable, however, a certain fund was raised in 2022 with the objective of investing in all funds raised with an undisclosed manager across its global platform, most likely across two vintages – 2022 and 2024/2025. The fund closed with $275.0 million of external LP capital. Management fees were charged on $250 million, as the fund manager was unsure how much of the $275.0 million raised would be deployed. The management rate is 1% based on LP commitment. The fund deployed just under 40% of its total fund size in the 2022 vintages, with the remaining 60% reserved for future vintages. In late 2023, the undisclosed manager announced that it would be separating its global platform into three separate geo-specific entities, spinning its India and China operations off into their own independent firms. The fund mandate does not allow investments in these new independent firms. As a result, the fund manager recommended that LPs vote to release all fund LPs from their uninvested capital which was approximately 60% of the original commitment. The fund manager distributed a consent election to that effect. The management fee from inception will be revised based on this new, smaller fund size which is approximately 40%. In addition, to preserve goodwill with limited partners, the fund waived 50% of the recalculated management fee from inception at June 2022 to December 2023. In accordance with ASC 606, this price concession was treated as a contract modification thus reducing revenue in the period in which it was identified which was the fourth quarter of 2023. In the fourth quarter of 2023, revenue was reduced by $3.0 million.</w:t>
      </w:r>
    </w:p>
    <w:p>
      <w:pPr>
        <w:spacing w:after="0" w:line="213"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Other revenues, which represent ancillary elements of our business, increased by $3.2 million or 107% to $6.2 million for the year ended December 31, 2024 as compared to the year ended December 31, 2023 driven by $2.1 million of</w:t>
      </w:r>
    </w:p>
    <w:p>
      <w:pPr>
        <w:sectPr>
          <w:pgSz w:w="12240" w:h="15840" w:orient="portrait"/>
          <w:cols w:equalWidth="0" w:num="1">
            <w:col w:w="10080"/>
          </w:cols>
          <w:pgMar w:left="1080" w:top="1056" w:right="1080" w:bottom="175"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1056" w:right="1080" w:bottom="175" w:gutter="0" w:footer="0" w:header="0"/>
          <w:type w:val="continuous"/>
        </w:sectPr>
      </w:pPr>
    </w:p>
    <w:bookmarkStart w:id="70" w:name="page71"/>
    <w:bookmarkEnd w:id="70"/>
    <w:p>
      <w:pPr>
        <w:ind w:right="240"/>
        <w:spacing w:after="0" w:line="258" w:lineRule="auto"/>
        <w:rPr>
          <w:sz w:val="20"/>
          <w:szCs w:val="20"/>
          <w:color w:val="auto"/>
        </w:rPr>
      </w:pPr>
      <w:r>
        <w:rPr>
          <w:rFonts w:ascii="Times New Roman" w:cs="Times New Roman" w:eastAsia="Times New Roman" w:hAnsi="Times New Roman"/>
          <w:sz w:val="20"/>
          <w:szCs w:val="20"/>
          <w:color w:val="auto"/>
        </w:rPr>
        <w:t>recognized carried interest income from an uncommon pre-acquisition legacy managed fund, an increase of $0.6 million in ancillary services provided to clients, an increase of $0.4 million of interest income, and an increase of $0.1 million of subscription fee revenues.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4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155,316</w:t>
            </w:r>
          </w:p>
        </w:tc>
        <w:tc>
          <w:tcPr>
            <w:tcW w:w="640" w:type="dxa"/>
            <w:vAlign w:val="bottom"/>
            <w:gridSpan w:val="2"/>
            <w:shd w:val="clear" w:color="auto" w:fill="D4EEF4"/>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480" w:type="dxa"/>
            <w:vAlign w:val="bottom"/>
            <w:gridSpan w:val="2"/>
            <w:shd w:val="clear" w:color="auto" w:fill="D4EEF4"/>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shd w:val="clear" w:color="auto" w:fill="D4EEF4"/>
          </w:tcPr>
          <w:p>
            <w:pPr>
              <w:spacing w:after="0"/>
              <w:rPr>
                <w:sz w:val="19"/>
                <w:szCs w:val="19"/>
                <w:color w:val="auto"/>
              </w:rPr>
            </w:pPr>
          </w:p>
        </w:tc>
        <w:tc>
          <w:tcPr>
            <w:tcW w:w="138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1"/>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0" w:type="dxa"/>
            <w:vAlign w:val="bottom"/>
            <w:shd w:val="clear" w:color="auto" w:fill="D4EEF4"/>
          </w:tcPr>
          <w:p>
            <w:pPr>
              <w:spacing w:after="0"/>
              <w:rPr>
                <w:sz w:val="19"/>
                <w:szCs w:val="19"/>
                <w:color w:val="auto"/>
              </w:rPr>
            </w:pP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28,780</w:t>
            </w:r>
          </w:p>
        </w:tc>
        <w:tc>
          <w:tcPr>
            <w:tcW w:w="24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shd w:val="clear" w:color="auto" w:fill="D4EEF4"/>
          </w:tcPr>
          <w:p>
            <w:pPr>
              <w:spacing w:after="0"/>
              <w:rPr>
                <w:sz w:val="19"/>
                <w:szCs w:val="19"/>
                <w:color w:val="auto"/>
              </w:rPr>
            </w:pPr>
          </w:p>
        </w:tc>
        <w:tc>
          <w:tcPr>
            <w:tcW w:w="380" w:type="dxa"/>
            <w:vAlign w:val="bottom"/>
            <w:shd w:val="clear" w:color="auto" w:fill="D4EEF4"/>
          </w:tcPr>
          <w:p>
            <w:pPr>
              <w:spacing w:after="0"/>
              <w:rPr>
                <w:sz w:val="19"/>
                <w:szCs w:val="19"/>
                <w:color w:val="auto"/>
              </w:rPr>
            </w:pPr>
          </w:p>
        </w:tc>
        <w:tc>
          <w:tcPr>
            <w:tcW w:w="8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00" w:type="dxa"/>
            <w:vAlign w:val="bottom"/>
            <w:shd w:val="clear" w:color="auto" w:fill="D4EEF4"/>
          </w:tcPr>
          <w:p>
            <w:pPr>
              <w:spacing w:after="0"/>
              <w:rPr>
                <w:sz w:val="19"/>
                <w:szCs w:val="19"/>
                <w:color w:val="auto"/>
              </w:rPr>
            </w:pPr>
          </w:p>
        </w:tc>
        <w:tc>
          <w:tcPr>
            <w:tcW w:w="138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1"/>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shd w:val="clear" w:color="auto" w:fill="D4EEF4"/>
          </w:tcPr>
          <w:p>
            <w:pPr>
              <w:spacing w:after="0"/>
              <w:rPr>
                <w:sz w:val="19"/>
                <w:szCs w:val="19"/>
                <w:color w:val="auto"/>
              </w:rPr>
            </w:pP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24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100" w:type="dxa"/>
            <w:vAlign w:val="bottom"/>
            <w:shd w:val="clear" w:color="auto" w:fill="D4EEF4"/>
          </w:tcPr>
          <w:p>
            <w:pPr>
              <w:spacing w:after="0"/>
              <w:rPr>
                <w:sz w:val="19"/>
                <w:szCs w:val="19"/>
                <w:color w:val="auto"/>
              </w:rPr>
            </w:pPr>
          </w:p>
        </w:tc>
        <w:tc>
          <w:tcPr>
            <w:tcW w:w="380" w:type="dxa"/>
            <w:vAlign w:val="bottom"/>
            <w:shd w:val="clear" w:color="auto" w:fill="D4EEF4"/>
          </w:tcPr>
          <w:p>
            <w:pPr>
              <w:spacing w:after="0"/>
              <w:rPr>
                <w:sz w:val="19"/>
                <w:szCs w:val="19"/>
                <w:color w:val="auto"/>
              </w:rPr>
            </w:pPr>
          </w:p>
        </w:tc>
        <w:tc>
          <w:tcPr>
            <w:tcW w:w="104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8"/>
                <w:szCs w:val="18"/>
                <w:color w:val="auto"/>
              </w:rPr>
              <w:t>(3,609)</w:t>
            </w:r>
          </w:p>
        </w:tc>
        <w:tc>
          <w:tcPr>
            <w:tcW w:w="138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40" w:type="dxa"/>
            <w:vAlign w:val="bottom"/>
            <w:tcBorders>
              <w:bottom w:val="single" w:sz="8" w:color="D4EEF4"/>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D4EEF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00" w:type="dxa"/>
            <w:vAlign w:val="bottom"/>
            <w:tcBorders>
              <w:bottom w:val="single" w:sz="8" w:color="D4EEF4"/>
            </w:tcBorders>
          </w:tcPr>
          <w:p>
            <w:pPr>
              <w:spacing w:after="0"/>
              <w:rPr>
                <w:sz w:val="19"/>
                <w:szCs w:val="19"/>
                <w:color w:val="auto"/>
              </w:rPr>
            </w:pPr>
          </w:p>
        </w:tc>
        <w:tc>
          <w:tcPr>
            <w:tcW w:w="1380" w:type="dxa"/>
            <w:vAlign w:val="bottom"/>
            <w:tcBorders>
              <w:bottom w:val="single" w:sz="8" w:color="D4EEF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1"/>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235,828</w:t>
            </w:r>
          </w:p>
        </w:tc>
        <w:tc>
          <w:tcPr>
            <w:tcW w:w="240" w:type="dxa"/>
            <w:vAlign w:val="bottom"/>
            <w:shd w:val="clear" w:color="auto" w:fill="D4EEF4"/>
          </w:tcPr>
          <w:p>
            <w:pPr>
              <w:spacing w:after="0"/>
              <w:rPr>
                <w:sz w:val="18"/>
                <w:szCs w:val="18"/>
                <w:color w:val="auto"/>
              </w:rPr>
            </w:pPr>
          </w:p>
        </w:tc>
        <w:tc>
          <w:tcPr>
            <w:tcW w:w="400" w:type="dxa"/>
            <w:vAlign w:val="bottom"/>
            <w:tcBorders>
              <w:bottom w:val="single" w:sz="8" w:color="auto"/>
            </w:tcBorders>
            <w:shd w:val="clear" w:color="auto" w:fill="D4EEF4"/>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220,813</w:t>
            </w:r>
          </w:p>
        </w:tc>
        <w:tc>
          <w:tcPr>
            <w:tcW w:w="100" w:type="dxa"/>
            <w:vAlign w:val="bottom"/>
            <w:shd w:val="clear" w:color="auto" w:fill="D4EEF4"/>
          </w:tcPr>
          <w:p>
            <w:pPr>
              <w:spacing w:after="0"/>
              <w:rPr>
                <w:sz w:val="18"/>
                <w:szCs w:val="18"/>
                <w:color w:val="auto"/>
              </w:rPr>
            </w:pPr>
          </w:p>
        </w:tc>
        <w:tc>
          <w:tcPr>
            <w:tcW w:w="380" w:type="dxa"/>
            <w:vAlign w:val="bottom"/>
            <w:tcBorders>
              <w:bottom w:val="single" w:sz="8" w:color="auto"/>
            </w:tcBorders>
            <w:shd w:val="clear" w:color="auto" w:fill="D4EEF4"/>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200" w:type="dxa"/>
            <w:vAlign w:val="bottom"/>
            <w:shd w:val="clear" w:color="auto" w:fill="D4EEF4"/>
          </w:tcPr>
          <w:p>
            <w:pPr>
              <w:spacing w:after="0"/>
              <w:rPr>
                <w:sz w:val="18"/>
                <w:szCs w:val="18"/>
                <w:color w:val="auto"/>
              </w:rPr>
            </w:pPr>
          </w:p>
        </w:tc>
        <w:tc>
          <w:tcPr>
            <w:tcW w:w="138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Total operating expenses increased by $15.0 million, or 7%, to $235.8 million for the year ended December 31, 2024 compared to the year ended December 31, 2023. This increase was primarily due to increases in professional fees and general, administrative, and other expenses.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Compensation and benefits expense increased by $1.0 million, or 1%, to $155.3 million,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compared to the year ended December 31, 2023. The increase was driven by $21.6 million of increases in</w:t>
      </w:r>
    </w:p>
    <w:p>
      <w:pPr>
        <w:spacing w:after="0"/>
        <w:rPr>
          <w:sz w:val="20"/>
          <w:szCs w:val="20"/>
          <w:color w:val="auto"/>
        </w:rPr>
      </w:pPr>
      <w:r>
        <w:rPr>
          <w:rFonts w:ascii="Times New Roman" w:cs="Times New Roman" w:eastAsia="Times New Roman" w:hAnsi="Times New Roman"/>
          <w:sz w:val="20"/>
          <w:szCs w:val="20"/>
          <w:color w:val="auto"/>
        </w:rPr>
        <w:t>headcount and associated benefits across the Company as well as merit-based salary raises to retain and motivate talent</w:t>
      </w:r>
    </w:p>
    <w:p>
      <w:pPr>
        <w:spacing w:after="0"/>
        <w:rPr>
          <w:sz w:val="20"/>
          <w:szCs w:val="20"/>
          <w:color w:val="auto"/>
        </w:rPr>
      </w:pPr>
      <w:r>
        <w:rPr>
          <w:rFonts w:ascii="Times New Roman" w:cs="Times New Roman" w:eastAsia="Times New Roman" w:hAnsi="Times New Roman"/>
          <w:sz w:val="20"/>
          <w:szCs w:val="20"/>
          <w:color w:val="auto"/>
        </w:rPr>
        <w:t>across the Company. The increase was offset by a change of estimate for timing of achieving the earnout payment related to</w:t>
      </w:r>
    </w:p>
    <w:p>
      <w:pPr>
        <w:spacing w:after="0"/>
        <w:rPr>
          <w:sz w:val="20"/>
          <w:szCs w:val="20"/>
          <w:color w:val="auto"/>
        </w:rPr>
      </w:pPr>
      <w:r>
        <w:rPr>
          <w:rFonts w:ascii="Times New Roman" w:cs="Times New Roman" w:eastAsia="Times New Roman" w:hAnsi="Times New Roman"/>
          <w:sz w:val="20"/>
          <w:szCs w:val="20"/>
          <w:color w:val="auto"/>
        </w:rPr>
        <w:t>the acquisition of WTI. While the Company still expects the first two hurdles to be met, the period in which the hurdles are</w:t>
      </w:r>
    </w:p>
    <w:p>
      <w:pPr>
        <w:spacing w:after="0"/>
        <w:rPr>
          <w:sz w:val="20"/>
          <w:szCs w:val="20"/>
          <w:color w:val="auto"/>
        </w:rPr>
      </w:pPr>
      <w:r>
        <w:rPr>
          <w:rFonts w:ascii="Times New Roman" w:cs="Times New Roman" w:eastAsia="Times New Roman" w:hAnsi="Times New Roman"/>
          <w:sz w:val="20"/>
          <w:szCs w:val="20"/>
          <w:color w:val="auto"/>
        </w:rPr>
        <w:t>expected to be satisfied is anticipated to be later than previously projected, which prospectively adjusted recognition of the</w:t>
      </w:r>
    </w:p>
    <w:p>
      <w:pPr>
        <w:spacing w:after="0"/>
        <w:rPr>
          <w:sz w:val="20"/>
          <w:szCs w:val="20"/>
          <w:color w:val="auto"/>
        </w:rPr>
      </w:pPr>
      <w:r>
        <w:rPr>
          <w:rFonts w:ascii="Times New Roman" w:cs="Times New Roman" w:eastAsia="Times New Roman" w:hAnsi="Times New Roman"/>
          <w:sz w:val="20"/>
          <w:szCs w:val="20"/>
          <w:color w:val="auto"/>
        </w:rPr>
        <w:t>expense and resulted in $8.7 million decrease for the year ended December 31, 2024 compared to the year ended December</w:t>
      </w:r>
    </w:p>
    <w:p>
      <w:pPr>
        <w:spacing w:after="0"/>
        <w:rPr>
          <w:sz w:val="20"/>
          <w:szCs w:val="20"/>
          <w:color w:val="auto"/>
        </w:rPr>
      </w:pPr>
      <w:r>
        <w:rPr>
          <w:rFonts w:ascii="Times New Roman" w:cs="Times New Roman" w:eastAsia="Times New Roman" w:hAnsi="Times New Roman"/>
          <w:sz w:val="20"/>
          <w:szCs w:val="20"/>
          <w:color w:val="auto"/>
        </w:rPr>
        <w:t>31, 2023. Additionally, there was a decrease in severance expense of $5.4 million and a decrease in stock compensation of</w:t>
      </w:r>
    </w:p>
    <w:p>
      <w:pPr>
        <w:spacing w:after="0"/>
        <w:rPr>
          <w:sz w:val="20"/>
          <w:szCs w:val="20"/>
          <w:color w:val="auto"/>
        </w:rPr>
      </w:pPr>
      <w:r>
        <w:rPr>
          <w:rFonts w:ascii="Times New Roman" w:cs="Times New Roman" w:eastAsia="Times New Roman" w:hAnsi="Times New Roman"/>
          <w:sz w:val="20"/>
          <w:szCs w:val="20"/>
          <w:color w:val="auto"/>
        </w:rPr>
        <w:t>$6.5 million, of which $1.0 million decrease relates to remeasurement for the fair value of the Bonaccord Units and Hark</w:t>
      </w:r>
    </w:p>
    <w:p>
      <w:pPr>
        <w:spacing w:after="0"/>
        <w:rPr>
          <w:sz w:val="20"/>
          <w:szCs w:val="20"/>
          <w:color w:val="auto"/>
        </w:rPr>
      </w:pPr>
      <w:r>
        <w:rPr>
          <w:rFonts w:ascii="Times New Roman" w:cs="Times New Roman" w:eastAsia="Times New Roman" w:hAnsi="Times New Roman"/>
          <w:sz w:val="20"/>
          <w:szCs w:val="20"/>
          <w:color w:val="auto"/>
        </w:rPr>
        <w:t>Units related to the acquisition of Bonaccord and Hark and a decrease of $3.9 million related to management stock award</w:t>
      </w:r>
    </w:p>
    <w:p>
      <w:pPr>
        <w:spacing w:after="0"/>
        <w:rPr>
          <w:sz w:val="20"/>
          <w:szCs w:val="20"/>
          <w:color w:val="auto"/>
        </w:rPr>
      </w:pPr>
      <w:r>
        <w:rPr>
          <w:rFonts w:ascii="Times New Roman" w:cs="Times New Roman" w:eastAsia="Times New Roman" w:hAnsi="Times New Roman"/>
          <w:sz w:val="20"/>
          <w:szCs w:val="20"/>
          <w:color w:val="auto"/>
        </w:rPr>
        <w:t>accelerations due to management turnover and the Executive Transition in October 2023. In 2023, the Hark Units were fully</w:t>
      </w:r>
    </w:p>
    <w:p>
      <w:pPr>
        <w:spacing w:after="0"/>
        <w:rPr>
          <w:sz w:val="20"/>
          <w:szCs w:val="20"/>
          <w:color w:val="auto"/>
        </w:rPr>
      </w:pPr>
      <w:r>
        <w:rPr>
          <w:rFonts w:ascii="Times New Roman" w:cs="Times New Roman" w:eastAsia="Times New Roman" w:hAnsi="Times New Roman"/>
          <w:sz w:val="20"/>
          <w:szCs w:val="20"/>
          <w:color w:val="auto"/>
        </w:rPr>
        <w:t>earned and recognized, therefore, there was no correlating expense in 2024 associated with the Hark Units. Moreover, the</w:t>
      </w:r>
    </w:p>
    <w:p>
      <w:pPr>
        <w:spacing w:after="0"/>
        <w:rPr>
          <w:sz w:val="20"/>
          <w:szCs w:val="20"/>
          <w:color w:val="auto"/>
        </w:rPr>
      </w:pPr>
      <w:r>
        <w:rPr>
          <w:rFonts w:ascii="Times New Roman" w:cs="Times New Roman" w:eastAsia="Times New Roman" w:hAnsi="Times New Roman"/>
          <w:sz w:val="20"/>
          <w:szCs w:val="20"/>
          <w:color w:val="auto"/>
        </w:rPr>
        <w:t>Bonaccord Units, which are recognized using the tranche method, had a decrease in expense for the year ended December 31,</w:t>
      </w:r>
    </w:p>
    <w:p>
      <w:pPr>
        <w:spacing w:after="0"/>
        <w:rPr>
          <w:sz w:val="20"/>
          <w:szCs w:val="20"/>
          <w:color w:val="auto"/>
        </w:rPr>
      </w:pPr>
      <w:r>
        <w:rPr>
          <w:rFonts w:ascii="Times New Roman" w:cs="Times New Roman" w:eastAsia="Times New Roman" w:hAnsi="Times New Roman"/>
          <w:sz w:val="20"/>
          <w:szCs w:val="20"/>
          <w:color w:val="auto"/>
        </w:rPr>
        <w:t>2024 compared to the year ended December 31, 2024. In 2024, the Bonaccord Units were fully earned and recognized. For</w:t>
      </w:r>
    </w:p>
    <w:p>
      <w:pPr>
        <w:spacing w:after="0"/>
        <w:rPr>
          <w:sz w:val="20"/>
          <w:szCs w:val="20"/>
          <w:color w:val="auto"/>
        </w:rPr>
      </w:pPr>
      <w:r>
        <w:rPr>
          <w:rFonts w:ascii="Times New Roman" w:cs="Times New Roman" w:eastAsia="Times New Roman" w:hAnsi="Times New Roman"/>
          <w:sz w:val="20"/>
          <w:szCs w:val="20"/>
          <w:color w:val="auto"/>
        </w:rPr>
        <w:t>further discussion on the Bonaccord Units and Hark Units, please see Note 15 of the Consolidated Financial Statements.</w:t>
      </w:r>
    </w:p>
    <w:p>
      <w:pPr>
        <w:spacing w:after="0" w:line="212" w:lineRule="exact"/>
        <w:rPr>
          <w:sz w:val="20"/>
          <w:szCs w:val="20"/>
          <w:color w:val="auto"/>
        </w:rPr>
      </w:pPr>
    </w:p>
    <w:p>
      <w:pPr>
        <w:ind w:right="400" w:firstLine="490"/>
        <w:spacing w:after="0" w:line="252" w:lineRule="auto"/>
        <w:rPr>
          <w:sz w:val="20"/>
          <w:szCs w:val="20"/>
          <w:color w:val="auto"/>
        </w:rPr>
      </w:pPr>
      <w:r>
        <w:rPr>
          <w:rFonts w:ascii="Times New Roman" w:cs="Times New Roman" w:eastAsia="Times New Roman" w:hAnsi="Times New Roman"/>
          <w:sz w:val="20"/>
          <w:szCs w:val="20"/>
          <w:color w:val="auto"/>
        </w:rPr>
        <w:t>Professional fees increased by $8.8 million, or 69%, to $21.5 million primarily driven by a $3.2 million increase in professional and legal fees associated with the Company's debt refinancing and the remaining increase attributable to the Company's transitions related to build out of management team, office locations, policies as well as normal course of business such as contract modifications, filings, and due diligence for acquisitions.</w:t>
      </w:r>
    </w:p>
    <w:p>
      <w:pPr>
        <w:spacing w:after="0" w:line="194"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General, administrative and other increased by $6.2 million, or 27% to $28.8 million, due to $2.2 million of additional placement agent fees and other expenses associated with increased revenues, $1.4 million increase in marketing efforts, as well as $2.4 million of ongoing enhancements to infrastructure, technology, premises, and security across the Company.</w:t>
      </w:r>
    </w:p>
    <w:p>
      <w:pPr>
        <w:spacing w:after="0" w:line="188"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Contingent consideration expense decreased $0.4 million, to $0.2 million, for the year ended December 31, 2024 as compared to the year ended December 31, 2023. This was driven by remeasurement of contingent consideration payable in connection with the acquisitions of both Hark and Bonaccord included in 2023, compared to remeasurement of contingent consideration payable in connection with only the acquisition of Bonaccord. The Hark contingent consideration was fully earned and paid in 2023 and the Bonaccord contingent consideration is fully earned as of December 31, 2024 with the final payment of $2.3 million made on January 24, 2025.</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1060" w:right="1080" w:bottom="175" w:gutter="0" w:footer="0" w:header="0"/>
          <w:type w:val="continuous"/>
        </w:sectPr>
      </w:pPr>
    </w:p>
    <w:bookmarkStart w:id="71" w:name="page72"/>
    <w:bookmarkEnd w:id="71"/>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Amortization of intangibles decreased by $3.6 million, or 12%, to $25.6 million, for the year ended December 31, 2024 as compared to the year ended December 31, 2023. This is due to decreases at ECG and RCP. The decrease at ECG is driven by syndicate contracts' amortization schedule, which is based on projected revenues at the time of acquisition. The decrease at RCP is driven by asset management fee contracts' amortization schedule, which is based on projected revenues at the time of acquisition.</w:t>
      </w:r>
    </w:p>
    <w:p>
      <w:pPr>
        <w:spacing w:after="0" w:line="19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Strategic alliance expense increased by $3.0 million, or 201%, to $4.5 million for the year ended December 31, 2024 as compared to the year ended December 31, 2023. This is due to an increase in net management fee earnings that was driven by additional fundraising and management fee revenue in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Other expenses increased by $8.2 million, or 34%, to $32.3 million for the year ended December 31, 2024 compared to the year ended December 31, 2023. This increase was driven by $10.1 million in other (losses)/income related to the measurement expense of contra-revenue put option related to incentive fees. Additionally, an increase in interest expense of $3.6 million due to a higher average of SOFR rates and a larger average outstanding debt balance for the year ended December 31, 2024 compared to the year ended December 31, 2023. This was offset slightly by $2.4 million in other (losses)/income related to legal settlement expenses incurred in the year ended December 31, 2023 compared to a $1.2 million legal settlement gain recognized in the year ended December 31, 2024. The legal settlements in both 2023 and 2024 were primarily related to a matter with the Oregon Department of Justice. The increase was also slightly offset by $2.0 million increase in other (losses)/income related to interest earned for money market accounts and income from unconsolidated subsidiaries.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Income tax expense increased by $4.1 million to an expense of $8.7 million for the year ended December 31, 2024 compared to an expense of $4.6 million for the year ended December 31, 2023. The increase in income tax expense from 2023 to 2024 was due to an increase in overall net operating income and flow-through income from underlying investments in 2024.</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60" w:right="108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FPAUM</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following table provides a period-to-period roll-forward of our fee paying assets under management on an actual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w:t>
      </w:r>
    </w:p>
    <w:p>
      <w:pPr>
        <w:spacing w:after="0" w:line="200" w:lineRule="exact"/>
        <w:rPr>
          <w:sz w:val="20"/>
          <w:szCs w:val="20"/>
          <w:color w:val="auto"/>
        </w:rPr>
      </w:pPr>
    </w:p>
    <w:p>
      <w:pPr>
        <w:spacing w:after="0" w:line="260"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6"/>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23,259</w:t>
            </w:r>
          </w:p>
        </w:tc>
        <w:tc>
          <w:tcPr>
            <w:tcW w:w="160" w:type="dxa"/>
            <w:vAlign w:val="bottom"/>
            <w:shd w:val="clear" w:color="auto" w:fill="D4EEF4"/>
          </w:tcPr>
          <w:p>
            <w:pPr>
              <w:spacing w:after="0"/>
              <w:rPr>
                <w:sz w:val="24"/>
                <w:szCs w:val="24"/>
                <w:color w:val="auto"/>
              </w:rPr>
            </w:pPr>
          </w:p>
        </w:tc>
        <w:tc>
          <w:tcPr>
            <w:tcW w:w="440" w:type="dxa"/>
            <w:vAlign w:val="bottom"/>
            <w:gridSpan w:val="2"/>
            <w:shd w:val="clear" w:color="auto" w:fill="D4EE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21,206</w:t>
            </w:r>
          </w:p>
        </w:tc>
        <w:tc>
          <w:tcPr>
            <w:tcW w:w="80" w:type="dxa"/>
            <w:vAlign w:val="bottom"/>
            <w:shd w:val="clear" w:color="auto" w:fill="D4EEF4"/>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4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Acquisitions</w:t>
            </w:r>
          </w:p>
        </w:tc>
        <w:tc>
          <w:tcPr>
            <w:tcW w:w="220" w:type="dxa"/>
            <w:vAlign w:val="bottom"/>
            <w:shd w:val="clear" w:color="auto" w:fill="D4EEF4"/>
          </w:tcPr>
          <w:p>
            <w:pPr>
              <w:spacing w:after="0"/>
              <w:rPr>
                <w:sz w:val="24"/>
                <w:szCs w:val="24"/>
                <w:color w:val="auto"/>
              </w:rPr>
            </w:pPr>
          </w:p>
        </w:tc>
        <w:tc>
          <w:tcPr>
            <w:tcW w:w="260" w:type="dxa"/>
            <w:vAlign w:val="bottom"/>
            <w:shd w:val="clear" w:color="auto" w:fill="D4EEF4"/>
          </w:tcPr>
          <w:p>
            <w:pPr>
              <w:spacing w:after="0"/>
              <w:rPr>
                <w:sz w:val="24"/>
                <w:szCs w:val="24"/>
                <w:color w:val="auto"/>
              </w:rPr>
            </w:pPr>
          </w:p>
        </w:tc>
        <w:tc>
          <w:tcPr>
            <w:tcW w:w="156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24"/>
                <w:szCs w:val="24"/>
                <w:color w:val="auto"/>
              </w:rPr>
            </w:pPr>
          </w:p>
        </w:tc>
        <w:tc>
          <w:tcPr>
            <w:tcW w:w="340" w:type="dxa"/>
            <w:vAlign w:val="bottom"/>
            <w:shd w:val="clear" w:color="auto" w:fill="D4EEF4"/>
          </w:tcPr>
          <w:p>
            <w:pPr>
              <w:spacing w:after="0"/>
              <w:rPr>
                <w:sz w:val="24"/>
                <w:szCs w:val="24"/>
                <w:color w:val="auto"/>
              </w:rPr>
            </w:pPr>
          </w:p>
        </w:tc>
        <w:tc>
          <w:tcPr>
            <w:tcW w:w="14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4480" w:type="dxa"/>
            <w:vAlign w:val="bottom"/>
          </w:tcPr>
          <w:p>
            <w:pPr>
              <w:ind w:left="400"/>
              <w:spacing w:after="0" w:line="282" w:lineRule="exact"/>
              <w:rPr>
                <w:sz w:val="20"/>
                <w:szCs w:val="20"/>
                <w:color w:val="auto"/>
              </w:rPr>
            </w:pPr>
            <w:r>
              <w:rPr>
                <w:rFonts w:ascii="Times New Roman" w:cs="Times New Roman" w:eastAsia="Times New Roman" w:hAnsi="Times New Roman"/>
                <w:sz w:val="20"/>
                <w:szCs w:val="20"/>
                <w:color w:val="auto"/>
              </w:rPr>
              <w:t xml:space="preserve">Capital raised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80" w:type="dxa"/>
            <w:vAlign w:val="bottom"/>
            <w:shd w:val="clear" w:color="auto" w:fill="D4EEF4"/>
          </w:tcPr>
          <w:p>
            <w:pPr>
              <w:ind w:left="400"/>
              <w:spacing w:after="0" w:line="282" w:lineRule="exact"/>
              <w:rPr>
                <w:sz w:val="20"/>
                <w:szCs w:val="20"/>
                <w:color w:val="auto"/>
              </w:rPr>
            </w:pPr>
            <w:r>
              <w:rPr>
                <w:rFonts w:ascii="Times New Roman" w:cs="Times New Roman" w:eastAsia="Times New Roman" w:hAnsi="Times New Roman"/>
                <w:sz w:val="20"/>
                <w:szCs w:val="20"/>
                <w:color w:val="auto"/>
              </w:rPr>
              <w:t xml:space="preserve">Capital deployed </w:t>
            </w:r>
            <w:r>
              <w:rPr>
                <w:rFonts w:ascii="Times New Roman" w:cs="Times New Roman" w:eastAsia="Times New Roman" w:hAnsi="Times New Roman"/>
                <w:sz w:val="26"/>
                <w:szCs w:val="26"/>
                <w:color w:val="auto"/>
                <w:vertAlign w:val="superscript"/>
              </w:rPr>
              <w:t>(2)</w:t>
            </w:r>
          </w:p>
        </w:tc>
        <w:tc>
          <w:tcPr>
            <w:tcW w:w="220" w:type="dxa"/>
            <w:vAlign w:val="bottom"/>
            <w:shd w:val="clear" w:color="auto" w:fill="D4EEF4"/>
          </w:tcPr>
          <w:p>
            <w:pPr>
              <w:spacing w:after="0"/>
              <w:rPr>
                <w:sz w:val="24"/>
                <w:szCs w:val="24"/>
                <w:color w:val="auto"/>
              </w:rPr>
            </w:pPr>
          </w:p>
        </w:tc>
        <w:tc>
          <w:tcPr>
            <w:tcW w:w="260" w:type="dxa"/>
            <w:vAlign w:val="bottom"/>
            <w:shd w:val="clear" w:color="auto" w:fill="D4EEF4"/>
          </w:tcPr>
          <w:p>
            <w:pPr>
              <w:spacing w:after="0"/>
              <w:rPr>
                <w:sz w:val="24"/>
                <w:szCs w:val="24"/>
                <w:color w:val="auto"/>
              </w:rPr>
            </w:pPr>
          </w:p>
        </w:tc>
        <w:tc>
          <w:tcPr>
            <w:tcW w:w="14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160" w:type="dxa"/>
            <w:vAlign w:val="bottom"/>
            <w:shd w:val="clear" w:color="auto" w:fill="D4EEF4"/>
          </w:tcPr>
          <w:p>
            <w:pPr>
              <w:spacing w:after="0"/>
              <w:rPr>
                <w:sz w:val="24"/>
                <w:szCs w:val="24"/>
                <w:color w:val="auto"/>
              </w:rPr>
            </w:pPr>
          </w:p>
        </w:tc>
        <w:tc>
          <w:tcPr>
            <w:tcW w:w="100" w:type="dxa"/>
            <w:vAlign w:val="bottom"/>
            <w:shd w:val="clear" w:color="auto" w:fill="D4EEF4"/>
          </w:tcPr>
          <w:p>
            <w:pPr>
              <w:spacing w:after="0"/>
              <w:rPr>
                <w:sz w:val="24"/>
                <w:szCs w:val="24"/>
                <w:color w:val="auto"/>
              </w:rPr>
            </w:pPr>
          </w:p>
        </w:tc>
        <w:tc>
          <w:tcPr>
            <w:tcW w:w="340" w:type="dxa"/>
            <w:vAlign w:val="bottom"/>
            <w:shd w:val="clear" w:color="auto" w:fill="D4EEF4"/>
          </w:tcPr>
          <w:p>
            <w:pPr>
              <w:spacing w:after="0"/>
              <w:rPr>
                <w:sz w:val="24"/>
                <w:szCs w:val="24"/>
                <w:color w:val="auto"/>
              </w:rPr>
            </w:pPr>
          </w:p>
        </w:tc>
        <w:tc>
          <w:tcPr>
            <w:tcW w:w="13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80" w:type="dxa"/>
            <w:vAlign w:val="bottom"/>
            <w:shd w:val="clear" w:color="auto" w:fill="D4EE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80" w:type="dxa"/>
            <w:vAlign w:val="bottom"/>
          </w:tcPr>
          <w:p>
            <w:pPr>
              <w:ind w:left="400"/>
              <w:spacing w:after="0" w:line="282" w:lineRule="exact"/>
              <w:rPr>
                <w:sz w:val="20"/>
                <w:szCs w:val="20"/>
                <w:color w:val="auto"/>
              </w:rPr>
            </w:pPr>
            <w:r>
              <w:rPr>
                <w:rFonts w:ascii="Times New Roman" w:cs="Times New Roman" w:eastAsia="Times New Roman" w:hAnsi="Times New Roman"/>
                <w:sz w:val="20"/>
                <w:szCs w:val="20"/>
                <w:color w:val="auto"/>
              </w:rPr>
              <w:t xml:space="preserve">Net Asset Value Change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83"/>
        </w:trPr>
        <w:tc>
          <w:tcPr>
            <w:tcW w:w="44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Less:</w:t>
            </w:r>
          </w:p>
        </w:tc>
        <w:tc>
          <w:tcPr>
            <w:tcW w:w="220" w:type="dxa"/>
            <w:vAlign w:val="bottom"/>
            <w:shd w:val="clear" w:color="auto" w:fill="D4EEF4"/>
          </w:tcPr>
          <w:p>
            <w:pPr>
              <w:spacing w:after="0"/>
              <w:rPr>
                <w:sz w:val="24"/>
                <w:szCs w:val="24"/>
                <w:color w:val="auto"/>
              </w:rPr>
            </w:pPr>
          </w:p>
        </w:tc>
        <w:tc>
          <w:tcPr>
            <w:tcW w:w="260" w:type="dxa"/>
            <w:vAlign w:val="bottom"/>
            <w:shd w:val="clear" w:color="auto" w:fill="D4EEF4"/>
          </w:tcPr>
          <w:p>
            <w:pPr>
              <w:spacing w:after="0"/>
              <w:rPr>
                <w:sz w:val="24"/>
                <w:szCs w:val="24"/>
                <w:color w:val="auto"/>
              </w:rPr>
            </w:pPr>
          </w:p>
        </w:tc>
        <w:tc>
          <w:tcPr>
            <w:tcW w:w="1400" w:type="dxa"/>
            <w:vAlign w:val="bottom"/>
            <w:shd w:val="clear" w:color="auto" w:fill="D4EEF4"/>
          </w:tcPr>
          <w:p>
            <w:pPr>
              <w:spacing w:after="0"/>
              <w:rPr>
                <w:sz w:val="24"/>
                <w:szCs w:val="24"/>
                <w:color w:val="auto"/>
              </w:rPr>
            </w:pPr>
          </w:p>
        </w:tc>
        <w:tc>
          <w:tcPr>
            <w:tcW w:w="160" w:type="dxa"/>
            <w:vAlign w:val="bottom"/>
            <w:shd w:val="clear" w:color="auto" w:fill="D4EEF4"/>
          </w:tcPr>
          <w:p>
            <w:pPr>
              <w:spacing w:after="0"/>
              <w:rPr>
                <w:sz w:val="24"/>
                <w:szCs w:val="24"/>
                <w:color w:val="auto"/>
              </w:rPr>
            </w:pPr>
          </w:p>
        </w:tc>
        <w:tc>
          <w:tcPr>
            <w:tcW w:w="100" w:type="dxa"/>
            <w:vAlign w:val="bottom"/>
            <w:shd w:val="clear" w:color="auto" w:fill="D4EEF4"/>
          </w:tcPr>
          <w:p>
            <w:pPr>
              <w:spacing w:after="0"/>
              <w:rPr>
                <w:sz w:val="24"/>
                <w:szCs w:val="24"/>
                <w:color w:val="auto"/>
              </w:rPr>
            </w:pPr>
          </w:p>
        </w:tc>
        <w:tc>
          <w:tcPr>
            <w:tcW w:w="340" w:type="dxa"/>
            <w:vAlign w:val="bottom"/>
            <w:shd w:val="clear" w:color="auto" w:fill="D4EEF4"/>
          </w:tcPr>
          <w:p>
            <w:pPr>
              <w:spacing w:after="0"/>
              <w:rPr>
                <w:sz w:val="24"/>
                <w:szCs w:val="24"/>
                <w:color w:val="auto"/>
              </w:rPr>
            </w:pPr>
          </w:p>
        </w:tc>
        <w:tc>
          <w:tcPr>
            <w:tcW w:w="1320" w:type="dxa"/>
            <w:vAlign w:val="bottom"/>
            <w:shd w:val="clear" w:color="auto" w:fill="D4EEF4"/>
          </w:tcPr>
          <w:p>
            <w:pPr>
              <w:spacing w:after="0"/>
              <w:rPr>
                <w:sz w:val="24"/>
                <w:szCs w:val="24"/>
                <w:color w:val="auto"/>
              </w:rPr>
            </w:pPr>
          </w:p>
        </w:tc>
        <w:tc>
          <w:tcPr>
            <w:tcW w:w="80" w:type="dxa"/>
            <w:vAlign w:val="bottom"/>
            <w:shd w:val="clear" w:color="auto" w:fill="D4EE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Scheduled fee base stepdowns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(601)</w:t>
            </w:r>
          </w:p>
        </w:tc>
        <w:tc>
          <w:tcPr>
            <w:tcW w:w="0" w:type="dxa"/>
            <w:vAlign w:val="bottom"/>
          </w:tcPr>
          <w:p>
            <w:pPr>
              <w:spacing w:after="0"/>
              <w:rPr>
                <w:sz w:val="1"/>
                <w:szCs w:val="1"/>
                <w:color w:val="auto"/>
              </w:rPr>
            </w:pPr>
          </w:p>
        </w:tc>
      </w:tr>
      <w:tr>
        <w:trPr>
          <w:trHeight w:val="283"/>
        </w:trPr>
        <w:tc>
          <w:tcPr>
            <w:tcW w:w="44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Expiration of fee period</w:t>
            </w:r>
          </w:p>
        </w:tc>
        <w:tc>
          <w:tcPr>
            <w:tcW w:w="220" w:type="dxa"/>
            <w:vAlign w:val="bottom"/>
            <w:shd w:val="clear" w:color="auto" w:fill="D4EEF4"/>
          </w:tcPr>
          <w:p>
            <w:pPr>
              <w:spacing w:after="0"/>
              <w:rPr>
                <w:sz w:val="24"/>
                <w:szCs w:val="24"/>
                <w:color w:val="auto"/>
              </w:rPr>
            </w:pPr>
          </w:p>
        </w:tc>
        <w:tc>
          <w:tcPr>
            <w:tcW w:w="260" w:type="dxa"/>
            <w:vAlign w:val="bottom"/>
            <w:shd w:val="clear" w:color="auto" w:fill="D4EEF4"/>
          </w:tcPr>
          <w:p>
            <w:pPr>
              <w:spacing w:after="0"/>
              <w:rPr>
                <w:sz w:val="24"/>
                <w:szCs w:val="24"/>
                <w:color w:val="auto"/>
              </w:rPr>
            </w:pPr>
          </w:p>
        </w:tc>
        <w:tc>
          <w:tcPr>
            <w:tcW w:w="15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(790)</w:t>
            </w:r>
          </w:p>
        </w:tc>
        <w:tc>
          <w:tcPr>
            <w:tcW w:w="100" w:type="dxa"/>
            <w:vAlign w:val="bottom"/>
            <w:shd w:val="clear" w:color="auto" w:fill="D4EEF4"/>
          </w:tcPr>
          <w:p>
            <w:pPr>
              <w:spacing w:after="0"/>
              <w:rPr>
                <w:sz w:val="24"/>
                <w:szCs w:val="24"/>
                <w:color w:val="auto"/>
              </w:rPr>
            </w:pPr>
          </w:p>
        </w:tc>
        <w:tc>
          <w:tcPr>
            <w:tcW w:w="340" w:type="dxa"/>
            <w:vAlign w:val="bottom"/>
            <w:shd w:val="clear" w:color="auto" w:fill="D4EEF4"/>
          </w:tcPr>
          <w:p>
            <w:pPr>
              <w:spacing w:after="0"/>
              <w:rPr>
                <w:sz w:val="24"/>
                <w:szCs w:val="24"/>
                <w:color w:val="auto"/>
              </w:rPr>
            </w:pPr>
          </w:p>
        </w:tc>
        <w:tc>
          <w:tcPr>
            <w:tcW w:w="140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(967)</w:t>
            </w:r>
          </w:p>
        </w:tc>
        <w:tc>
          <w:tcPr>
            <w:tcW w:w="0" w:type="dxa"/>
            <w:vAlign w:val="bottom"/>
          </w:tcPr>
          <w:p>
            <w:pPr>
              <w:spacing w:after="0"/>
              <w:rPr>
                <w:sz w:val="1"/>
                <w:szCs w:val="1"/>
                <w:color w:val="auto"/>
              </w:rPr>
            </w:pPr>
          </w:p>
        </w:tc>
      </w:tr>
      <w:tr>
        <w:trPr>
          <w:trHeight w:val="20"/>
        </w:trPr>
        <w:tc>
          <w:tcPr>
            <w:tcW w:w="4480" w:type="dxa"/>
            <w:vAlign w:val="bottom"/>
            <w:tcBorders>
              <w:top w:val="single" w:sz="8" w:color="D4EEF4"/>
            </w:tcBorders>
            <w:vMerge w:val="restart"/>
          </w:tcPr>
          <w:p>
            <w:pPr>
              <w:spacing w:after="0"/>
              <w:rPr>
                <w:sz w:val="20"/>
                <w:szCs w:val="20"/>
                <w:color w:val="auto"/>
              </w:rPr>
            </w:pPr>
            <w:r>
              <w:rPr>
                <w:rFonts w:ascii="Times New Roman" w:cs="Times New Roman" w:eastAsia="Times New Roman" w:hAnsi="Times New Roman"/>
                <w:sz w:val="20"/>
                <w:szCs w:val="20"/>
                <w:color w:val="auto"/>
              </w:rPr>
              <w:t>Balance, End of period</w:t>
            </w:r>
          </w:p>
        </w:tc>
        <w:tc>
          <w:tcPr>
            <w:tcW w:w="220" w:type="dxa"/>
            <w:vAlign w:val="bottom"/>
            <w:tcBorders>
              <w:top w:val="single" w:sz="8" w:color="D4EEF4"/>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EF4"/>
            </w:tcBorders>
          </w:tcPr>
          <w:p>
            <w:pPr>
              <w:spacing w:after="0" w:line="20" w:lineRule="exact"/>
              <w:rPr>
                <w:sz w:val="1"/>
                <w:szCs w:val="1"/>
                <w:color w:val="auto"/>
              </w:rPr>
            </w:pPr>
          </w:p>
        </w:tc>
        <w:tc>
          <w:tcPr>
            <w:tcW w:w="100" w:type="dxa"/>
            <w:vAlign w:val="bottom"/>
            <w:tcBorders>
              <w:top w:val="single" w:sz="8" w:color="D4EEF4"/>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vMerge w:val="continue"/>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25,677</w:t>
            </w:r>
          </w:p>
        </w:tc>
        <w:tc>
          <w:tcPr>
            <w:tcW w:w="16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500" w:hanging="500"/>
        <w:spacing w:after="0"/>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new commitments from funds that earn fees on a committed capital fee base.</w:t>
      </w:r>
    </w:p>
    <w:p>
      <w:pPr>
        <w:spacing w:after="0" w:line="28"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vehicles, fees are based on capital deployed, as such increasing FPAUM.</w:t>
      </w:r>
    </w:p>
    <w:p>
      <w:pPr>
        <w:ind w:left="500" w:right="380" w:hanging="500"/>
        <w:spacing w:after="0" w:line="248" w:lineRule="auto"/>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asset value change consists primarily of the impact of market value appreciation (depreciation) from funds that earn fees on a net asset value basis.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FPAUM as of December 31, 2024</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FPAUM increased by $2.4 billion or 10% to $25.7 billion for the year ended December 31, 2024, due primarily to an increase in capital raised and capital deployed from our private equity and venture capital solutions, which was offset by a decline of fees related to scheduled fee stepdowns and expiration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Results of Operations for Years Ended December 31, 2023 and 2022</w:t>
      </w:r>
    </w:p>
    <w:p>
      <w:pPr>
        <w:spacing w:after="0" w:line="11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a comparison of our results of operations for fiscal years ended December 31, 2023 and 2022 see "Part II, Item 7. Management's Discussion and Analysis of Financial Condition and Results of Operations" of our annual report Form 10-K for the fiscal year ended December 31, 2023, filed with the SEC on March 13, 2024 and incorporated by reference herein.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04"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97"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We use Fee-Related Revenue ("FRR"), Fee-Related Earnings ("FRE"), Adjusted Net Income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sectPr>
          <w:pgSz w:w="12240" w:h="15840" w:orient="portrait"/>
          <w:cols w:equalWidth="0" w:num="1">
            <w:col w:w="10080"/>
          </w:cols>
          <w:pgMar w:left="1080" w:top="1060" w:right="1080" w:bottom="175"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1060" w:right="1080" w:bottom="175" w:gutter="0" w:footer="0" w:header="0"/>
          <w:type w:val="continuous"/>
        </w:sectPr>
      </w:pPr>
    </w:p>
    <w:bookmarkStart w:id="73" w:name="page74"/>
    <w:bookmarkEnd w:id="73"/>
    <w:p>
      <w:pPr>
        <w:ind w:left="500"/>
        <w:spacing w:after="0"/>
        <w:rPr>
          <w:sz w:val="20"/>
          <w:szCs w:val="20"/>
          <w:color w:val="auto"/>
        </w:rPr>
      </w:pPr>
      <w:r>
        <w:rPr>
          <w:rFonts w:ascii="Times New Roman" w:cs="Times New Roman" w:eastAsia="Times New Roman" w:hAnsi="Times New Roman"/>
          <w:sz w:val="20"/>
          <w:szCs w:val="20"/>
          <w:color w:val="auto"/>
        </w:rPr>
        <w:t>In order to compute Adjusted EBITDA, we adjust our GAAP net income/(loss) for the following items:</w:t>
      </w:r>
    </w:p>
    <w:p>
      <w:pPr>
        <w:spacing w:after="0" w:line="134" w:lineRule="exact"/>
        <w:rPr>
          <w:sz w:val="20"/>
          <w:szCs w:val="20"/>
          <w:color w:val="auto"/>
        </w:rPr>
      </w:pPr>
    </w:p>
    <w:p>
      <w:pPr>
        <w:ind w:left="980" w:right="78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Expenses that typically do not require us to pay them in cash in the current period (such as depreciation, amortization and stock-based compensation);</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financing our business;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One-time expenses related to restructuring of the management team including placement/search fees;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Expenses related to the debt refinancing completed in August 2024;</w:t>
      </w:r>
    </w:p>
    <w:p>
      <w:pPr>
        <w:spacing w:after="0" w:line="133" w:lineRule="exact"/>
        <w:rPr>
          <w:rFonts w:ascii="Arial" w:cs="Arial" w:eastAsia="Arial" w:hAnsi="Arial"/>
          <w:sz w:val="20"/>
          <w:szCs w:val="20"/>
          <w:color w:val="auto"/>
        </w:rPr>
      </w:pPr>
    </w:p>
    <w:p>
      <w:pPr>
        <w:ind w:left="980" w:right="80" w:hanging="491"/>
        <w:spacing w:after="0" w:line="25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effects of income taxes.</w:t>
      </w:r>
    </w:p>
    <w:p>
      <w:pPr>
        <w:spacing w:after="0" w:line="23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The cash income taxes paid during the 2024 and 2023 periods differ significantly from the net income tax expense, which is primarily comprised of deferred tax expense as described in the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Net Income/(Loss)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Non-recurring expenses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 - acquisitions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 - CEO transition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 out related compensation</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00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Cash interest expense,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income taxes, net of taxes related to acquisitions</w:t>
            </w:r>
          </w:p>
        </w:tc>
        <w:tc>
          <w:tcPr>
            <w:tcW w:w="140" w:type="dxa"/>
            <w:vAlign w:val="bottom"/>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54"/>
        </w:trPr>
        <w:tc>
          <w:tcPr>
            <w:tcW w:w="5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Adjusted Net Income</w:t>
            </w:r>
          </w:p>
        </w:tc>
        <w:tc>
          <w:tcPr>
            <w:tcW w:w="140" w:type="dxa"/>
            <w:vAlign w:val="bottom"/>
            <w:shd w:val="clear" w:color="auto" w:fill="D4EEF4"/>
          </w:tcPr>
          <w:p>
            <w:pPr>
              <w:spacing w:after="0"/>
              <w:rPr>
                <w:sz w:val="22"/>
                <w:szCs w:val="22"/>
                <w:color w:val="auto"/>
              </w:rPr>
            </w:pP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Non-Fee Related Revenue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Fee-Related Revenue</w:t>
            </w:r>
          </w:p>
        </w:tc>
        <w:tc>
          <w:tcPr>
            <w:tcW w:w="140" w:type="dxa"/>
            <w:vAlign w:val="bottom"/>
            <w:shd w:val="clear" w:color="auto" w:fill="D4EEF4"/>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533"/>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Less: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Non-Fee Related Income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Fee-Related Earnings</w:t>
            </w:r>
          </w:p>
        </w:tc>
        <w:tc>
          <w:tcPr>
            <w:tcW w:w="140" w:type="dxa"/>
            <w:vAlign w:val="bottom"/>
            <w:shd w:val="clear" w:color="auto" w:fill="D4EEF4"/>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-349885</wp:posOffset>
                </wp:positionH>
                <wp:positionV relativeFrom="paragraph">
                  <wp:posOffset>-635</wp:posOffset>
                </wp:positionV>
                <wp:extent cx="306832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8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0.0499pt" to="214.05pt,-0.0499pt" o:allowincell="f" strokecolor="#000000" strokeweight="0.5pt"/>
            </w:pict>
          </mc:Fallback>
        </mc:AlternateConten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0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19,667</w:t>
            </w:r>
          </w:p>
        </w:tc>
        <w:tc>
          <w:tcPr>
            <w:tcW w:w="10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(7,772)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22,992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144,472</w:t>
            </w:r>
          </w:p>
        </w:tc>
        <w:tc>
          <w:tcPr>
            <w:tcW w:w="10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123,594</w:t>
            </w:r>
          </w:p>
        </w:tc>
        <w:tc>
          <w:tcPr>
            <w:tcW w:w="1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(21,727)</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(20,100)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(6,784)</w:t>
            </w:r>
          </w:p>
        </w:tc>
        <w:tc>
          <w:tcPr>
            <w:tcW w:w="0" w:type="dxa"/>
            <w:vAlign w:val="bottom"/>
          </w:tcPr>
          <w:p>
            <w:pPr>
              <w:spacing w:after="0"/>
              <w:rPr>
                <w:sz w:val="1"/>
                <w:szCs w:val="1"/>
                <w:color w:val="auto"/>
              </w:rPr>
            </w:pPr>
          </w:p>
        </w:tc>
      </w:tr>
      <w:tr>
        <w:trPr>
          <w:trHeight w:val="249"/>
        </w:trPr>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(2,538)</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(1,539)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(2,114)</w:t>
            </w:r>
          </w:p>
        </w:tc>
        <w:tc>
          <w:tcPr>
            <w:tcW w:w="0" w:type="dxa"/>
            <w:vAlign w:val="bottom"/>
          </w:tcPr>
          <w:p>
            <w:pPr>
              <w:spacing w:after="0"/>
              <w:rPr>
                <w:sz w:val="1"/>
                <w:szCs w:val="1"/>
                <w:color w:val="auto"/>
              </w:rPr>
            </w:pPr>
          </w:p>
        </w:tc>
      </w:tr>
      <w:tr>
        <w:trPr>
          <w:trHeight w:val="23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120,208</w:t>
            </w:r>
          </w:p>
        </w:tc>
        <w:tc>
          <w:tcPr>
            <w:tcW w:w="100" w:type="dxa"/>
            <w:vAlign w:val="bottom"/>
            <w:tcBorders>
              <w:top w:val="single" w:sz="8" w:color="D4EEF4"/>
            </w:tcBorders>
            <w:shd w:val="clear" w:color="auto" w:fill="D4EEF4"/>
          </w:tcPr>
          <w:p>
            <w:pPr>
              <w:spacing w:after="0"/>
              <w:rPr>
                <w:sz w:val="20"/>
                <w:szCs w:val="20"/>
                <w:color w:val="auto"/>
              </w:rPr>
            </w:pPr>
          </w:p>
        </w:tc>
        <w:tc>
          <w:tcPr>
            <w:tcW w:w="14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bottom w:val="single" w:sz="8" w:color="auto"/>
            </w:tcBorders>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101,955</w:t>
            </w:r>
          </w:p>
        </w:tc>
        <w:tc>
          <w:tcPr>
            <w:tcW w:w="100" w:type="dxa"/>
            <w:vAlign w:val="bottom"/>
            <w:tcBorders>
              <w:top w:val="single" w:sz="8" w:color="D4EEF4"/>
            </w:tcBorders>
            <w:shd w:val="clear" w:color="auto" w:fill="D4EEF4"/>
          </w:tcPr>
          <w:p>
            <w:pPr>
              <w:spacing w:after="0"/>
              <w:rPr>
                <w:sz w:val="20"/>
                <w:szCs w:val="20"/>
                <w:color w:val="auto"/>
              </w:rPr>
            </w:pPr>
          </w:p>
        </w:tc>
        <w:tc>
          <w:tcPr>
            <w:tcW w:w="160" w:type="dxa"/>
            <w:vAlign w:val="bottom"/>
            <w:tcBorders>
              <w:top w:val="single" w:sz="8" w:color="D4EEF4"/>
            </w:tcBorders>
            <w:shd w:val="clear" w:color="auto" w:fill="D4EEF4"/>
          </w:tcPr>
          <w:p>
            <w:pPr>
              <w:spacing w:after="0"/>
              <w:rPr>
                <w:sz w:val="20"/>
                <w:szCs w:val="20"/>
                <w:color w:val="auto"/>
              </w:rPr>
            </w:pPr>
          </w:p>
        </w:tc>
        <w:tc>
          <w:tcPr>
            <w:tcW w:w="320" w:type="dxa"/>
            <w:vAlign w:val="bottom"/>
            <w:tcBorders>
              <w:top w:val="single" w:sz="8" w:color="auto"/>
              <w:bottom w:val="single" w:sz="8" w:color="auto"/>
            </w:tcBorders>
            <w:shd w:val="clear" w:color="auto" w:fill="D4EEF4"/>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97,913</w:t>
            </w:r>
          </w:p>
        </w:tc>
        <w:tc>
          <w:tcPr>
            <w:tcW w:w="100" w:type="dxa"/>
            <w:vAlign w:val="bottom"/>
            <w:tcBorders>
              <w:top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296,448</w:t>
            </w:r>
          </w:p>
        </w:tc>
        <w:tc>
          <w:tcPr>
            <w:tcW w:w="10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241,734</w:t>
            </w:r>
          </w:p>
        </w:tc>
        <w:tc>
          <w:tcPr>
            <w:tcW w:w="1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(5,179)</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(4,730)</w:t>
            </w:r>
          </w:p>
        </w:tc>
        <w:tc>
          <w:tcPr>
            <w:tcW w:w="160" w:type="dxa"/>
            <w:vAlign w:val="bottom"/>
          </w:tcPr>
          <w:p>
            <w:pPr>
              <w:spacing w:after="0"/>
              <w:rPr>
                <w:sz w:val="21"/>
                <w:szCs w:val="21"/>
                <w:color w:val="auto"/>
              </w:rPr>
            </w:pPr>
          </w:p>
        </w:tc>
        <w:tc>
          <w:tcPr>
            <w:tcW w:w="320" w:type="dxa"/>
            <w:vAlign w:val="bottom"/>
            <w:shd w:val="clear" w:color="auto" w:fill="D4EEF4"/>
          </w:tcPr>
          <w:p>
            <w:pPr>
              <w:spacing w:after="0"/>
              <w:rPr>
                <w:sz w:val="21"/>
                <w:szCs w:val="21"/>
                <w:color w:val="auto"/>
              </w:rPr>
            </w:pPr>
          </w:p>
        </w:tc>
        <w:tc>
          <w:tcPr>
            <w:tcW w:w="1220" w:type="dxa"/>
            <w:vAlign w:val="bottom"/>
            <w:gridSpan w:val="2"/>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(2,751)</w:t>
            </w:r>
          </w:p>
        </w:tc>
        <w:tc>
          <w:tcPr>
            <w:tcW w:w="0" w:type="dxa"/>
            <w:vAlign w:val="bottom"/>
          </w:tcPr>
          <w:p>
            <w:pPr>
              <w:spacing w:after="0"/>
              <w:rPr>
                <w:sz w:val="1"/>
                <w:szCs w:val="1"/>
                <w:color w:val="auto"/>
              </w:rPr>
            </w:pPr>
          </w:p>
        </w:tc>
      </w:tr>
      <w:tr>
        <w:trPr>
          <w:trHeight w:val="23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291,269</w:t>
            </w:r>
          </w:p>
        </w:tc>
        <w:tc>
          <w:tcPr>
            <w:tcW w:w="100" w:type="dxa"/>
            <w:vAlign w:val="bottom"/>
            <w:tcBorders>
              <w:top w:val="single" w:sz="8" w:color="D4EEF4"/>
            </w:tcBorders>
            <w:shd w:val="clear" w:color="auto" w:fill="D4EEF4"/>
          </w:tcPr>
          <w:p>
            <w:pPr>
              <w:spacing w:after="0"/>
              <w:rPr>
                <w:sz w:val="20"/>
                <w:szCs w:val="20"/>
                <w:color w:val="auto"/>
              </w:rPr>
            </w:pPr>
          </w:p>
        </w:tc>
        <w:tc>
          <w:tcPr>
            <w:tcW w:w="14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bottom w:val="single" w:sz="8" w:color="auto"/>
            </w:tcBorders>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237,004</w:t>
            </w:r>
          </w:p>
        </w:tc>
        <w:tc>
          <w:tcPr>
            <w:tcW w:w="100" w:type="dxa"/>
            <w:vAlign w:val="bottom"/>
            <w:tcBorders>
              <w:top w:val="single" w:sz="8" w:color="D4EEF4"/>
            </w:tcBorders>
            <w:shd w:val="clear" w:color="auto" w:fill="D4EEF4"/>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shd w:val="clear" w:color="auto" w:fill="D4EEF4"/>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195,609</w:t>
            </w:r>
          </w:p>
        </w:tc>
        <w:tc>
          <w:tcPr>
            <w:tcW w:w="100" w:type="dxa"/>
            <w:vAlign w:val="bottom"/>
            <w:tcBorders>
              <w:top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144,472</w:t>
            </w:r>
          </w:p>
        </w:tc>
        <w:tc>
          <w:tcPr>
            <w:tcW w:w="10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123,594</w:t>
            </w:r>
          </w:p>
        </w:tc>
        <w:tc>
          <w:tcPr>
            <w:tcW w:w="1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(2,354)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(497)</w:t>
            </w:r>
          </w:p>
        </w:tc>
        <w:tc>
          <w:tcPr>
            <w:tcW w:w="160" w:type="dxa"/>
            <w:vAlign w:val="bottom"/>
          </w:tcPr>
          <w:p>
            <w:pPr>
              <w:spacing w:after="0"/>
              <w:rPr>
                <w:sz w:val="21"/>
                <w:szCs w:val="21"/>
                <w:color w:val="auto"/>
              </w:rPr>
            </w:pPr>
          </w:p>
        </w:tc>
        <w:tc>
          <w:tcPr>
            <w:tcW w:w="320" w:type="dxa"/>
            <w:vAlign w:val="bottom"/>
            <w:shd w:val="clear" w:color="auto" w:fill="D4EEF4"/>
          </w:tcPr>
          <w:p>
            <w:pPr>
              <w:spacing w:after="0"/>
              <w:rPr>
                <w:sz w:val="21"/>
                <w:szCs w:val="21"/>
                <w:color w:val="auto"/>
              </w:rPr>
            </w:pPr>
          </w:p>
        </w:tc>
        <w:tc>
          <w:tcPr>
            <w:tcW w:w="1220" w:type="dxa"/>
            <w:vAlign w:val="bottom"/>
            <w:gridSpan w:val="2"/>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34"/>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142,118</w:t>
            </w:r>
          </w:p>
        </w:tc>
        <w:tc>
          <w:tcPr>
            <w:tcW w:w="100" w:type="dxa"/>
            <w:vAlign w:val="bottom"/>
            <w:tcBorders>
              <w:top w:val="single" w:sz="8" w:color="D4EEF4"/>
            </w:tcBorders>
            <w:shd w:val="clear" w:color="auto" w:fill="D4EEF4"/>
          </w:tcPr>
          <w:p>
            <w:pPr>
              <w:spacing w:after="0"/>
              <w:rPr>
                <w:sz w:val="20"/>
                <w:szCs w:val="20"/>
                <w:color w:val="auto"/>
              </w:rPr>
            </w:pPr>
          </w:p>
        </w:tc>
        <w:tc>
          <w:tcPr>
            <w:tcW w:w="14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bottom w:val="single" w:sz="8" w:color="auto"/>
            </w:tcBorders>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123,097</w:t>
            </w:r>
          </w:p>
        </w:tc>
        <w:tc>
          <w:tcPr>
            <w:tcW w:w="100" w:type="dxa"/>
            <w:vAlign w:val="bottom"/>
            <w:tcBorders>
              <w:top w:val="single" w:sz="8" w:color="D4EEF4"/>
            </w:tcBorders>
            <w:shd w:val="clear" w:color="auto" w:fill="D4EEF4"/>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shd w:val="clear" w:color="auto" w:fill="D4EEF4"/>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106,477</w:t>
            </w:r>
          </w:p>
        </w:tc>
        <w:tc>
          <w:tcPr>
            <w:tcW w:w="100" w:type="dxa"/>
            <w:vAlign w:val="bottom"/>
            <w:tcBorders>
              <w:top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wp:posOffset>
                </wp:positionH>
                <wp:positionV relativeFrom="paragraph">
                  <wp:posOffset>-4167505</wp:posOffset>
                </wp:positionV>
                <wp:extent cx="3228340" cy="1549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25" o:spid="_x0000_s1050" style="position:absolute;margin-left:-35.1999pt;margin-top:-328.1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-3857625</wp:posOffset>
                </wp:positionV>
                <wp:extent cx="3228340" cy="1549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26" o:spid="_x0000_s1051" style="position:absolute;margin-left:-35.1999pt;margin-top:-303.7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-3547745</wp:posOffset>
                </wp:positionV>
                <wp:extent cx="3228340" cy="1549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27" o:spid="_x0000_s1052" style="position:absolute;margin-left:-35.1999pt;margin-top:-279.3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-3237865</wp:posOffset>
                </wp:positionV>
                <wp:extent cx="3228340" cy="1549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28" o:spid="_x0000_s1053" style="position:absolute;margin-left:-35.1999pt;margin-top:-254.9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-2927985</wp:posOffset>
                </wp:positionV>
                <wp:extent cx="3228340" cy="1549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29" o:spid="_x0000_s1054" style="position:absolute;margin-left:-35.1999pt;margin-top:-230.5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-2456815</wp:posOffset>
                </wp:positionV>
                <wp:extent cx="3228340" cy="154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30" o:spid="_x0000_s1055" style="position:absolute;margin-left:-35.1999pt;margin-top:-193.44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-2118360</wp:posOffset>
                </wp:positionV>
                <wp:extent cx="3228340" cy="1549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154940"/>
                        </a:xfrm>
                        <a:prstGeom prst="rect">
                          <a:avLst/>
                        </a:prstGeom>
                        <a:solidFill>
                          <a:srgbClr val="D4EEF4"/>
                        </a:solidFill>
                      </wps:spPr>
                      <wps:bodyPr/>
                    </wps:wsp>
                  </a:graphicData>
                </a:graphic>
              </wp:anchor>
            </w:drawing>
          </mc:Choice>
          <mc:Fallback>
            <w:pict>
              <v:rect id="Shape 31" o:spid="_x0000_s1056" style="position:absolute;margin-left:-35.1999pt;margin-top:-166.7999pt;width:254.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-1802130</wp:posOffset>
                </wp:positionV>
                <wp:extent cx="915670" cy="15494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154940"/>
                        </a:xfrm>
                        <a:prstGeom prst="rect">
                          <a:avLst/>
                        </a:prstGeom>
                        <a:solidFill>
                          <a:srgbClr val="D4EEF4"/>
                        </a:solidFill>
                      </wps:spPr>
                      <wps:bodyPr/>
                    </wps:wsp>
                  </a:graphicData>
                </a:graphic>
              </wp:anchor>
            </w:drawing>
          </mc:Choice>
          <mc:Fallback>
            <w:pict>
              <v:rect id="Shape 32" o:spid="_x0000_s1057" style="position:absolute;margin-left:-27.5499pt;margin-top:-141.8999pt;width:72.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-1308735</wp:posOffset>
                </wp:positionV>
                <wp:extent cx="2152015" cy="15494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52015" cy="154940"/>
                        </a:xfrm>
                        <a:prstGeom prst="rect">
                          <a:avLst/>
                        </a:prstGeom>
                        <a:solidFill>
                          <a:srgbClr val="D4EEF4"/>
                        </a:solidFill>
                      </wps:spPr>
                      <wps:bodyPr/>
                    </wps:wsp>
                  </a:graphicData>
                </a:graphic>
              </wp:anchor>
            </w:drawing>
          </mc:Choice>
          <mc:Fallback>
            <w:pict>
              <v:rect id="Shape 33" o:spid="_x0000_s1058" style="position:absolute;margin-left:-35.1999pt;margin-top:-103.0499pt;width:169.4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-992505</wp:posOffset>
                </wp:positionV>
                <wp:extent cx="915670" cy="1549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154940"/>
                        </a:xfrm>
                        <a:prstGeom prst="rect">
                          <a:avLst/>
                        </a:prstGeom>
                        <a:solidFill>
                          <a:srgbClr val="D4EEF4"/>
                        </a:solidFill>
                      </wps:spPr>
                      <wps:bodyPr/>
                    </wps:wsp>
                  </a:graphicData>
                </a:graphic>
              </wp:anchor>
            </w:drawing>
          </mc:Choice>
          <mc:Fallback>
            <w:pict>
              <v:rect id="Shape 34" o:spid="_x0000_s1059" style="position:absolute;margin-left:-27.5499pt;margin-top:-78.1499pt;width:72.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-447040</wp:posOffset>
                </wp:positionH>
                <wp:positionV relativeFrom="paragraph">
                  <wp:posOffset>-499110</wp:posOffset>
                </wp:positionV>
                <wp:extent cx="2152015" cy="15494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52015" cy="154940"/>
                        </a:xfrm>
                        <a:prstGeom prst="rect">
                          <a:avLst/>
                        </a:prstGeom>
                        <a:solidFill>
                          <a:srgbClr val="D4EEF4"/>
                        </a:solidFill>
                      </wps:spPr>
                      <wps:bodyPr/>
                    </wps:wsp>
                  </a:graphicData>
                </a:graphic>
              </wp:anchor>
            </w:drawing>
          </mc:Choice>
          <mc:Fallback>
            <w:pict>
              <v:rect id="Shape 35" o:spid="_x0000_s1060" style="position:absolute;margin-left:-35.1999pt;margin-top:-39.2999pt;width:169.4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-182880</wp:posOffset>
                </wp:positionV>
                <wp:extent cx="915670" cy="1549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154940"/>
                        </a:xfrm>
                        <a:prstGeom prst="rect">
                          <a:avLst/>
                        </a:prstGeom>
                        <a:solidFill>
                          <a:srgbClr val="D4EEF4"/>
                        </a:solidFill>
                      </wps:spPr>
                      <wps:bodyPr/>
                    </wps:wsp>
                  </a:graphicData>
                </a:graphic>
              </wp:anchor>
            </w:drawing>
          </mc:Choice>
          <mc:Fallback>
            <w:pict>
              <v:rect id="Shape 36" o:spid="_x0000_s1061" style="position:absolute;margin-left:-27.5499pt;margin-top:-14.3999pt;width:72.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-4296410</wp:posOffset>
                </wp:positionV>
                <wp:extent cx="91567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338.2999pt" to="44.55pt,-338.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-2614930</wp:posOffset>
                </wp:positionV>
                <wp:extent cx="91567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205.8999pt" to="44.55pt,-205.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-2278380</wp:posOffset>
                </wp:positionV>
                <wp:extent cx="91567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79.3999pt" to="44.55pt,-179.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-2297430</wp:posOffset>
                </wp:positionV>
                <wp:extent cx="9156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80.8999pt" to="44.55pt,-180.8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-1805305</wp:posOffset>
                </wp:positionV>
                <wp:extent cx="91567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42.1499pt" to="44.55pt,-142.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-1623695</wp:posOffset>
                </wp:positionV>
                <wp:extent cx="91567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27.8499pt" to="44.55pt,-127.8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-1642745</wp:posOffset>
                </wp:positionV>
                <wp:extent cx="91567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29.3499pt" to="44.55pt,-129.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-995680</wp:posOffset>
                </wp:positionV>
                <wp:extent cx="9156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78.3999pt" to="44.55pt,-78.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-814070</wp:posOffset>
                </wp:positionV>
                <wp:extent cx="91567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64.0999pt" to="44.55pt,-64.0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-833120</wp:posOffset>
                </wp:positionV>
                <wp:extent cx="9156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65.5999pt" to="44.55pt,-65.5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-186055</wp:posOffset>
                </wp:positionV>
                <wp:extent cx="91567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4.6499pt" to="44.55pt,-14.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-4445</wp:posOffset>
                </wp:positionV>
                <wp:extent cx="9156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0.3499pt" to="44.55pt,-0.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-349885</wp:posOffset>
                </wp:positionH>
                <wp:positionV relativeFrom="paragraph">
                  <wp:posOffset>-23495</wp:posOffset>
                </wp:positionV>
                <wp:extent cx="91567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8499pt" to="44.55pt,-1.8499pt" o:allowincell="f" strokecolor="#000000" strokeweight="0.75pt"/>
            </w:pict>
          </mc:Fallback>
        </mc:AlternateContent>
      </w:r>
    </w:p>
    <w:p>
      <w:pPr>
        <w:spacing w:after="0" w:line="200" w:lineRule="exact"/>
        <w:rPr>
          <w:sz w:val="20"/>
          <w:szCs w:val="20"/>
          <w:color w:val="auto"/>
        </w:rPr>
      </w:pPr>
    </w:p>
    <w:p>
      <w:pPr>
        <w:sectPr>
          <w:pgSz w:w="12240" w:h="15840" w:orient="portrait"/>
          <w:cols w:equalWidth="0" w:num="2">
            <w:col w:w="5240" w:space="460"/>
            <w:col w:w="4380"/>
          </w:cols>
          <w:pgMar w:left="1080" w:top="1060" w:right="108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60" w:right="1080" w:bottom="175" w:gutter="0" w:footer="0" w:header="0"/>
          <w:type w:val="continuous"/>
        </w:sectPr>
      </w:pPr>
    </w:p>
    <w:bookmarkStart w:id="74" w:name="page75"/>
    <w:bookmarkEnd w:id="74"/>
    <w:p>
      <w:pPr>
        <w:ind w:right="2840" w:firstLine="2834"/>
        <w:spacing w:after="0" w:line="418" w:lineRule="auto"/>
        <w:rPr>
          <w:sz w:val="20"/>
          <w:szCs w:val="20"/>
          <w:color w:val="auto"/>
        </w:rPr>
      </w:pPr>
      <w:r>
        <w:rPr>
          <w:rFonts w:ascii="Times New Roman" w:cs="Times New Roman" w:eastAsia="Times New Roman" w:hAnsi="Times New Roman"/>
          <w:sz w:val="20"/>
          <w:szCs w:val="20"/>
          <w:b w:val="1"/>
          <w:bCs w:val="1"/>
          <w:color w:val="auto"/>
        </w:rPr>
        <w:t xml:space="preserve">Financial Position, Liquidity and Capital Resources </w:t>
      </w:r>
      <w:r>
        <w:rPr>
          <w:rFonts w:ascii="Times New Roman" w:cs="Times New Roman" w:eastAsia="Times New Roman" w:hAnsi="Times New Roman"/>
          <w:sz w:val="20"/>
          <w:szCs w:val="20"/>
          <w:b w:val="1"/>
          <w:bCs w:val="1"/>
          <w:i w:val="1"/>
          <w:iCs w:val="1"/>
          <w:color w:val="auto"/>
        </w:rPr>
        <w:t>Selected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4"/>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4"/>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08"/>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1440" w:type="dxa"/>
            <w:vAlign w:val="bottom"/>
            <w:gridSpan w:val="3"/>
          </w:tcPr>
          <w:p>
            <w:pPr>
              <w:jc w:val="center"/>
              <w:ind w:right="747"/>
              <w:spacing w:after="0" w:line="174"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shd w:val="clear" w:color="auto" w:fill="D4EEF4"/>
              </w:rPr>
              <w:t>Cash and cash equivalents (including restricted cash)</w:t>
            </w:r>
          </w:p>
        </w:tc>
        <w:tc>
          <w:tcPr>
            <w:tcW w:w="2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68,115</w:t>
            </w:r>
          </w:p>
        </w:tc>
        <w:tc>
          <w:tcPr>
            <w:tcW w:w="34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32,057</w:t>
            </w:r>
          </w:p>
        </w:tc>
        <w:tc>
          <w:tcPr>
            <w:tcW w:w="4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36,058</w:t>
            </w:r>
          </w:p>
        </w:tc>
        <w:tc>
          <w:tcPr>
            <w:tcW w:w="220" w:type="dxa"/>
            <w:vAlign w:val="bottom"/>
            <w:shd w:val="clear" w:color="auto" w:fill="D4EEF4"/>
          </w:tcPr>
          <w:p>
            <w:pPr>
              <w:spacing w:after="0"/>
              <w:rPr>
                <w:sz w:val="19"/>
                <w:szCs w:val="19"/>
                <w:color w:val="auto"/>
              </w:rPr>
            </w:pPr>
          </w:p>
        </w:tc>
        <w:tc>
          <w:tcPr>
            <w:tcW w:w="132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other intangibles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603,627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(25,606)</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869,275</w:t>
            </w:r>
          </w:p>
        </w:tc>
        <w:tc>
          <w:tcPr>
            <w:tcW w:w="2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834,074</w:t>
            </w:r>
          </w:p>
        </w:tc>
        <w:tc>
          <w:tcPr>
            <w:tcW w:w="2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35,201</w:t>
            </w:r>
          </w:p>
        </w:tc>
        <w:tc>
          <w:tcPr>
            <w:tcW w:w="220" w:type="dxa"/>
            <w:vAlign w:val="bottom"/>
            <w:shd w:val="clear" w:color="auto" w:fill="D4EEF4"/>
          </w:tcPr>
          <w:p>
            <w:pPr>
              <w:spacing w:after="0"/>
              <w:rPr>
                <w:sz w:val="19"/>
                <w:szCs w:val="19"/>
                <w:color w:val="auto"/>
              </w:rPr>
            </w:pPr>
          </w:p>
        </w:tc>
        <w:tc>
          <w:tcPr>
            <w:tcW w:w="132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24,463</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54%</w:t>
            </w: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Debt obligations</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319,783</w:t>
            </w:r>
          </w:p>
        </w:tc>
        <w:tc>
          <w:tcPr>
            <w:tcW w:w="2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2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29,939</w:t>
            </w:r>
          </w:p>
        </w:tc>
        <w:tc>
          <w:tcPr>
            <w:tcW w:w="220" w:type="dxa"/>
            <w:vAlign w:val="bottom"/>
            <w:shd w:val="clear" w:color="auto" w:fill="D4EEF4"/>
          </w:tcPr>
          <w:p>
            <w:pPr>
              <w:spacing w:after="0"/>
              <w:rPr>
                <w:sz w:val="19"/>
                <w:szCs w:val="19"/>
                <w:color w:val="auto"/>
              </w:rPr>
            </w:pPr>
          </w:p>
        </w:tc>
        <w:tc>
          <w:tcPr>
            <w:tcW w:w="132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10%</w:t>
            </w:r>
          </w:p>
        </w:tc>
      </w:tr>
      <w:tr>
        <w:trPr>
          <w:trHeight w:val="266"/>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386,890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425,162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(38,272)</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w:t>
            </w:r>
          </w:p>
        </w:tc>
      </w:tr>
    </w:tbl>
    <w:p>
      <w:pPr>
        <w:spacing w:after="0" w:line="20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There was an increase in cash and cash equivalents from $32.1 million as of December 31, 2023 to $68.1 million as of December 31, 2024 due to operating cash flows offset by cash used for open market repurchases for the Company's stock. There was a decrease in goodwill and intangible assets of $25.6 million driven by amortization of intangible assets during the year ended December 31, 2024. Remaining total assets also increased in the same period by $24.7 million due to $35.9 million increase in due from related parties and accounts receivable offset by a $9.9 million decrease in prepaid expenses and other assets. The increase in due from related parties is driven by the Advisory Agreements with Enhanced Permanent Capital and the increase in accounts receivable is driven by an increase in revenues across the Company. The decrease in prepaid expenses and other assets was related to the sale of inventory assets for tax credit programs at Enhanced.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We have continued to support our ongoing operations through the receipt of management and advisory fee revenues. However, to fund our continued growth, we have utilized capital obtained through debt and equity raises. Our ability to continue to raise funds or issue new shares as consideration will be critical as we pursue additional business development opportunities and new acquisitions.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On December 22, 2021, P10, Inc. entered into a Term Loan and Revolving Credit Facility with JP Morgan Chase Bank,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The term loan and revolving credit facility provides financing for acquisition activity. The term loan provides for a</w:t>
      </w:r>
    </w:p>
    <w:p>
      <w:pPr>
        <w:spacing w:after="0"/>
        <w:rPr>
          <w:sz w:val="20"/>
          <w:szCs w:val="20"/>
          <w:color w:val="auto"/>
        </w:rPr>
      </w:pPr>
      <w:r>
        <w:rPr>
          <w:rFonts w:ascii="Times New Roman" w:cs="Times New Roman" w:eastAsia="Times New Roman" w:hAnsi="Times New Roman"/>
          <w:sz w:val="20"/>
          <w:szCs w:val="20"/>
          <w:color w:val="auto"/>
        </w:rPr>
        <w:t>$125.0 million facility and the revolving credit facility provides for an additional $125.0 million. There is also a $125 million</w:t>
      </w:r>
    </w:p>
    <w:p>
      <w:pPr>
        <w:spacing w:after="0"/>
        <w:rPr>
          <w:sz w:val="20"/>
          <w:szCs w:val="20"/>
          <w:color w:val="auto"/>
        </w:rPr>
      </w:pPr>
      <w:r>
        <w:rPr>
          <w:rFonts w:ascii="Times New Roman" w:cs="Times New Roman" w:eastAsia="Times New Roman" w:hAnsi="Times New Roman"/>
          <w:sz w:val="20"/>
          <w:szCs w:val="20"/>
          <w:color w:val="auto"/>
        </w:rPr>
        <w:t>accordion feature available in the credit agreement, which we exercised in September 2022. The accordion was not drawn</w:t>
      </w:r>
    </w:p>
    <w:p>
      <w:pPr>
        <w:spacing w:after="0"/>
        <w:rPr>
          <w:sz w:val="20"/>
          <w:szCs w:val="20"/>
          <w:color w:val="auto"/>
        </w:rPr>
      </w:pPr>
      <w:r>
        <w:rPr>
          <w:rFonts w:ascii="Times New Roman" w:cs="Times New Roman" w:eastAsia="Times New Roman" w:hAnsi="Times New Roman"/>
          <w:sz w:val="20"/>
          <w:szCs w:val="20"/>
          <w:color w:val="auto"/>
        </w:rPr>
        <w:t>until October 2022, at which point it was divided to $87.5 million of term loan and $37.5 million of revolver. On August 1,</w:t>
      </w:r>
    </w:p>
    <w:p>
      <w:pPr>
        <w:spacing w:after="0"/>
        <w:rPr>
          <w:sz w:val="20"/>
          <w:szCs w:val="20"/>
          <w:color w:val="auto"/>
        </w:rPr>
      </w:pPr>
      <w:r>
        <w:rPr>
          <w:rFonts w:ascii="Times New Roman" w:cs="Times New Roman" w:eastAsia="Times New Roman" w:hAnsi="Times New Roman"/>
          <w:sz w:val="20"/>
          <w:szCs w:val="20"/>
          <w:color w:val="auto"/>
        </w:rPr>
        <w:t>2024, the Company entered into the Amended and Restated Credit Agreement, which provides for a new senior secured</w:t>
      </w:r>
    </w:p>
    <w:p>
      <w:pPr>
        <w:spacing w:after="0"/>
        <w:rPr>
          <w:sz w:val="20"/>
          <w:szCs w:val="20"/>
          <w:color w:val="auto"/>
        </w:rPr>
      </w:pPr>
      <w:r>
        <w:rPr>
          <w:rFonts w:ascii="Times New Roman" w:cs="Times New Roman" w:eastAsia="Times New Roman" w:hAnsi="Times New Roman"/>
          <w:sz w:val="20"/>
          <w:szCs w:val="20"/>
          <w:color w:val="auto"/>
        </w:rPr>
        <w:t>revolving credit facility in the amount of $175.0 million with a $10.0 million sublimit for the issuance of letters of credit, and</w:t>
      </w:r>
    </w:p>
    <w:p>
      <w:pPr>
        <w:spacing w:after="0"/>
        <w:rPr>
          <w:sz w:val="20"/>
          <w:szCs w:val="20"/>
          <w:color w:val="auto"/>
        </w:rPr>
      </w:pPr>
      <w:r>
        <w:rPr>
          <w:rFonts w:ascii="Times New Roman" w:cs="Times New Roman" w:eastAsia="Times New Roman" w:hAnsi="Times New Roman"/>
          <w:sz w:val="20"/>
          <w:szCs w:val="20"/>
          <w:color w:val="auto"/>
        </w:rPr>
        <w:t>a new senior secured loan facility in the amount of $325.0 million. The New Credit Facilities are to be used to refinance and</w:t>
      </w:r>
    </w:p>
    <w:p>
      <w:pPr>
        <w:spacing w:after="0"/>
        <w:rPr>
          <w:sz w:val="20"/>
          <w:szCs w:val="20"/>
          <w:color w:val="auto"/>
        </w:rPr>
      </w:pPr>
      <w:r>
        <w:rPr>
          <w:rFonts w:ascii="Times New Roman" w:cs="Times New Roman" w:eastAsia="Times New Roman" w:hAnsi="Times New Roman"/>
          <w:sz w:val="20"/>
          <w:szCs w:val="20"/>
          <w:color w:val="auto"/>
        </w:rPr>
        <w:t>replace the credit facilities under the Credit Agreement and for general corporate purposes, including acquisitions.</w:t>
      </w:r>
    </w:p>
    <w:p>
      <w:pPr>
        <w:spacing w:after="0" w:line="212"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The New Credit Facilities are Term SOFR Loans meaning loans bearing interest based upon the "Adjusted Term SOFR Rate". The Adjusted Term SOFR Rate is the Secured Overnight Financing Rate ("SOFR") at the date of election, plus</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2.60%.The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201"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2024, the Term Loan with a balance of $325.0 million is incurring interest at a weighted average Adjusted Term SOFR Rate of 7.68%. As of December 31, 2024, there is no outstanding balance for the Revolver Facility. Refer to Note 11 of the Consolidated Financial Statements for further details provided on the debt and associated interest periods.</w:t>
      </w:r>
    </w:p>
    <w:p>
      <w:pPr>
        <w:spacing w:after="0" w:line="19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The Amended and Restated Credit Agreement contains affirmative and negative covenants typical of such financing transactions, and specific financial covenants which require P10 to maintain a minimum FPAUM of the sum of $16.7 million plus 70% of the aggregate amount of FPAUM acquired or not constituted as organic growth as well as a minimum leverage ratio of less than or equal to 3.50. As of December 31, 2024, P10 was in compliance with its financial and other covenants required under the facility. The Company has incurred $24.1 million in interest expense for the year ended December 31, 2024.</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56" w:right="108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the Years Ended December 31, 2023 and December 31, 2022</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reflects our cash flows for the years ended December 31, 2024,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vMerge w:val="restart"/>
          </w:tcPr>
          <w:p>
            <w:pPr>
              <w:spacing w:after="0"/>
              <w:rPr>
                <w:sz w:val="15"/>
                <w:szCs w:val="15"/>
                <w:color w:val="auto"/>
              </w:rPr>
            </w:pP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(in</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100,970</w:t>
            </w:r>
          </w:p>
        </w:tc>
        <w:tc>
          <w:tcPr>
            <w:tcW w:w="100" w:type="dxa"/>
            <w:vAlign w:val="bottom"/>
            <w:shd w:val="clear" w:color="auto" w:fill="D4EEF4"/>
          </w:tcPr>
          <w:p>
            <w:pPr>
              <w:spacing w:after="0"/>
              <w:rPr>
                <w:sz w:val="21"/>
                <w:szCs w:val="21"/>
                <w:color w:val="auto"/>
              </w:rPr>
            </w:pPr>
          </w:p>
        </w:tc>
        <w:tc>
          <w:tcPr>
            <w:tcW w:w="500" w:type="dxa"/>
            <w:vAlign w:val="bottom"/>
            <w:gridSpan w:val="2"/>
            <w:shd w:val="clear" w:color="auto" w:fill="D4EEF4"/>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47,685</w:t>
            </w:r>
          </w:p>
        </w:tc>
        <w:tc>
          <w:tcPr>
            <w:tcW w:w="80" w:type="dxa"/>
            <w:vAlign w:val="bottom"/>
            <w:shd w:val="clear" w:color="auto" w:fill="D4EEF4"/>
          </w:tcPr>
          <w:p>
            <w:pPr>
              <w:spacing w:after="0"/>
              <w:rPr>
                <w:sz w:val="21"/>
                <w:szCs w:val="21"/>
                <w:color w:val="auto"/>
              </w:rPr>
            </w:pPr>
          </w:p>
        </w:tc>
        <w:tc>
          <w:tcPr>
            <w:tcW w:w="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53,285</w:t>
            </w:r>
          </w:p>
        </w:tc>
        <w:tc>
          <w:tcPr>
            <w:tcW w:w="220" w:type="dxa"/>
            <w:vAlign w:val="bottom"/>
            <w:shd w:val="clear" w:color="auto" w:fill="D4EEF4"/>
          </w:tcPr>
          <w:p>
            <w:pPr>
              <w:spacing w:after="0"/>
              <w:rPr>
                <w:sz w:val="21"/>
                <w:szCs w:val="21"/>
                <w:color w:val="auto"/>
              </w:rPr>
            </w:pPr>
          </w:p>
        </w:tc>
        <w:tc>
          <w:tcPr>
            <w:tcW w:w="122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(2,250)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(3,554)</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44"/>
        </w:trPr>
        <w:tc>
          <w:tcPr>
            <w:tcW w:w="47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12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(59,108)</w:t>
            </w:r>
          </w:p>
        </w:tc>
        <w:tc>
          <w:tcPr>
            <w:tcW w:w="120" w:type="dxa"/>
            <w:vAlign w:val="bottom"/>
            <w:shd w:val="clear" w:color="auto" w:fill="D4EEF4"/>
          </w:tcPr>
          <w:p>
            <w:pPr>
              <w:spacing w:after="0"/>
              <w:rPr>
                <w:sz w:val="21"/>
                <w:szCs w:val="21"/>
                <w:color w:val="auto"/>
              </w:rPr>
            </w:pPr>
          </w:p>
        </w:tc>
        <w:tc>
          <w:tcPr>
            <w:tcW w:w="380" w:type="dxa"/>
            <w:vAlign w:val="bottom"/>
            <w:shd w:val="clear" w:color="auto" w:fill="D4EEF4"/>
          </w:tcPr>
          <w:p>
            <w:pPr>
              <w:spacing w:after="0"/>
              <w:rPr>
                <w:sz w:val="21"/>
                <w:szCs w:val="21"/>
                <w:color w:val="auto"/>
              </w:rPr>
            </w:pPr>
          </w:p>
        </w:tc>
        <w:tc>
          <w:tcPr>
            <w:tcW w:w="84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(42,870)</w:t>
            </w:r>
          </w:p>
        </w:tc>
        <w:tc>
          <w:tcPr>
            <w:tcW w:w="2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120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20"/>
                <w:szCs w:val="20"/>
                <w:color w:val="auto"/>
              </w:rPr>
              <w:t>(16,238)</w:t>
            </w:r>
          </w:p>
        </w:tc>
        <w:tc>
          <w:tcPr>
            <w:tcW w:w="122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38%</w:t>
            </w:r>
          </w:p>
        </w:tc>
        <w:tc>
          <w:tcPr>
            <w:tcW w:w="0" w:type="dxa"/>
            <w:vAlign w:val="bottom"/>
          </w:tcPr>
          <w:p>
            <w:pPr>
              <w:spacing w:after="0"/>
              <w:rPr>
                <w:sz w:val="1"/>
                <w:szCs w:val="1"/>
                <w:color w:val="auto"/>
              </w:rPr>
            </w:pPr>
          </w:p>
        </w:tc>
      </w:tr>
      <w:tr>
        <w:trPr>
          <w:trHeight w:val="215"/>
        </w:trPr>
        <w:tc>
          <w:tcPr>
            <w:tcW w:w="47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Increase in cash, cash equivalents and</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36,058</w:t>
            </w:r>
          </w:p>
        </w:tc>
        <w:tc>
          <w:tcPr>
            <w:tcW w:w="100" w:type="dxa"/>
            <w:vAlign w:val="bottom"/>
          </w:tcPr>
          <w:p>
            <w:pPr>
              <w:spacing w:after="0"/>
              <w:rPr>
                <w:sz w:val="21"/>
                <w:szCs w:val="21"/>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w:t>
            </w: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33,493</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1,306%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income/(loss). Cash from operating activities increased $53.3 million or 112%, to $101.0 million for the year ended December 31, 2024 compared to the year ended December 31, 2023. For the years ended December 31,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cash used in investing activities increased by $3.6 million, or 158% to $5.8 million,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as compared to the year ended December 31, 2023. This increase in cash used in investing activities was</w:t>
      </w:r>
    </w:p>
    <w:p>
      <w:pPr>
        <w:spacing w:after="0"/>
        <w:rPr>
          <w:sz w:val="20"/>
          <w:szCs w:val="20"/>
          <w:color w:val="auto"/>
        </w:rPr>
      </w:pPr>
      <w:r>
        <w:rPr>
          <w:rFonts w:ascii="Times New Roman" w:cs="Times New Roman" w:eastAsia="Times New Roman" w:hAnsi="Times New Roman"/>
          <w:sz w:val="20"/>
          <w:szCs w:val="20"/>
          <w:color w:val="auto"/>
        </w:rPr>
        <w:t>due to purchases of leasehold improvements, included in property and equipment during the year ended December 31, 2024.</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2024 and December 31, 2023</w:t>
      </w:r>
    </w:p>
    <w:p>
      <w:pPr>
        <w:spacing w:after="0" w:line="11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used a net $59.1 million in cash for financing activities for the year ended December 31, 2024, as compared to cash used in financing activities of $42.9 million for the year ended December 31, 2023. The change is driven by the increase in open market repurchases of the Company's stock in the year ended December 31, 2024 compared to the year ended December 31, 2023 offset by the cash provided by debt refinancing during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Sources and Uses of Liquidity</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124" w:lineRule="exact"/>
        <w:rPr>
          <w:sz w:val="20"/>
          <w:szCs w:val="20"/>
          <w:color w:val="auto"/>
        </w:rPr>
      </w:pPr>
    </w:p>
    <w:p>
      <w:pPr>
        <w:ind w:right="20" w:firstLine="490"/>
        <w:spacing w:after="0" w:line="305" w:lineRule="auto"/>
        <w:rPr>
          <w:sz w:val="20"/>
          <w:szCs w:val="20"/>
          <w:color w:val="auto"/>
        </w:rPr>
      </w:pPr>
      <w:r>
        <w:rPr>
          <w:rFonts w:ascii="Times New Roman" w:cs="Times New Roman" w:eastAsia="Times New Roman" w:hAnsi="Times New Roman"/>
          <w:sz w:val="19"/>
          <w:szCs w:val="19"/>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60" w:right="1080" w:bottom="17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Expected Credit Losses for Due from Related Parties</w:t>
      </w:r>
    </w:p>
    <w:p>
      <w:pPr>
        <w:spacing w:after="0" w:line="120"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02"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of Management and Advisory Fees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197"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56" w:right="1080" w:bottom="175" w:gutter="0" w:footer="0" w:header="0"/>
          <w:type w:val="continuous"/>
        </w:sectPr>
      </w:pPr>
    </w:p>
    <w:bookmarkStart w:id="77" w:name="page78"/>
    <w:bookmarkEnd w:id="77"/>
    <w:p>
      <w:pPr>
        <w:ind w:right="160"/>
        <w:spacing w:after="0" w:line="277" w:lineRule="auto"/>
        <w:rPr>
          <w:sz w:val="20"/>
          <w:szCs w:val="20"/>
          <w:color w:val="auto"/>
        </w:rPr>
      </w:pPr>
      <w:r>
        <w:rPr>
          <w:rFonts w:ascii="Times New Roman" w:cs="Times New Roman" w:eastAsia="Times New Roman" w:hAnsi="Times New Roman"/>
          <w:sz w:val="20"/>
          <w:szCs w:val="20"/>
          <w:color w:val="auto"/>
        </w:rPr>
        <w:t>management and advisory agreements progress is measured using the practical expedient under the output method resulting in the recognition of revenue in the amount for which the Company has a right to invoice.</w:t>
      </w:r>
    </w:p>
    <w:p>
      <w:pPr>
        <w:spacing w:after="0" w:line="169"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8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202" w:lineRule="exact"/>
        <w:rPr>
          <w:sz w:val="20"/>
          <w:szCs w:val="20"/>
          <w:color w:val="auto"/>
        </w:rPr>
      </w:pPr>
    </w:p>
    <w:p>
      <w:pPr>
        <w:ind w:right="180" w:firstLine="540"/>
        <w:spacing w:after="0" w:line="252" w:lineRule="auto"/>
        <w:rPr>
          <w:sz w:val="20"/>
          <w:szCs w:val="20"/>
          <w:color w:val="auto"/>
        </w:rPr>
      </w:pPr>
      <w:r>
        <w:rPr>
          <w:rFonts w:ascii="Times New Roman" w:cs="Times New Roman" w:eastAsia="Times New Roman" w:hAnsi="Times New Roman"/>
          <w:sz w:val="20"/>
          <w:szCs w:val="20"/>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94"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Catch-up fees are earned from investors that make commitments to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3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on the Consolidated Balance Sheets. Refer to Note 15 to the Consolidated Financial Statements for further discussion. Forfeitures are recognized as they occur.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Compensation and Benefits</w:t>
      </w:r>
    </w:p>
    <w:p>
      <w:pPr>
        <w:spacing w:after="0" w:line="120"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Accrued compensation and benefits consists of employee salaries, bonuses, benefits, severance, and acquisition-related earnouts (contingent on employment) that has not yet been paid. The estimate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has determined that only the first two EBITDA hurdles are probable of being achieved. Additionally in connection with the acquisition of WTI, certain</w:t>
      </w:r>
    </w:p>
    <w:p>
      <w:pPr>
        <w:sectPr>
          <w:pgSz w:w="12240" w:h="15840" w:orient="portrait"/>
          <w:cols w:equalWidth="0" w:num="1">
            <w:col w:w="10060"/>
          </w:cols>
          <w:pgMar w:left="1080" w:top="1060" w:right="1100" w:bottom="175"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60"/>
          </w:cols>
          <w:pgMar w:left="1080" w:top="1060" w:right="1100" w:bottom="175" w:gutter="0" w:footer="0" w:header="0"/>
          <w:type w:val="continuous"/>
        </w:sectPr>
      </w:pPr>
    </w:p>
    <w:bookmarkStart w:id="78" w:name="page79"/>
    <w:bookmarkEnd w:id="78"/>
    <w:p>
      <w:pPr>
        <w:ind w:right="40"/>
        <w:spacing w:after="0" w:line="249" w:lineRule="auto"/>
        <w:rPr>
          <w:sz w:val="20"/>
          <w:szCs w:val="20"/>
          <w:color w:val="auto"/>
        </w:rPr>
      </w:pPr>
      <w:r>
        <w:rPr>
          <w:rFonts w:ascii="Times New Roman" w:cs="Times New Roman" w:eastAsia="Times New Roman" w:hAnsi="Times New Roman"/>
          <w:sz w:val="20"/>
          <w:szCs w:val="20"/>
          <w:color w:val="auto"/>
        </w:rPr>
        <w:t>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Share and Repurchase Agreement</w:t>
      </w:r>
    </w:p>
    <w:p>
      <w:pPr>
        <w:spacing w:after="0" w:line="12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82"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13 to the Consolidated Financial Statements for further discussion.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Qualitative and Quantitative Disclosures about Market Risk.</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9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97"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Fair value of the financial assets and liabilities of our specialized investment vehicles may fluctuate in response to changes in the value of underlying assets, and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20" w:lineRule="exact"/>
        <w:rPr>
          <w:sz w:val="20"/>
          <w:szCs w:val="20"/>
          <w:color w:val="auto"/>
        </w:rPr>
      </w:pPr>
    </w:p>
    <w:p>
      <w:pPr>
        <w:ind w:right="100" w:firstLine="490"/>
        <w:spacing w:after="0" w:line="254" w:lineRule="auto"/>
        <w:rPr>
          <w:sz w:val="20"/>
          <w:szCs w:val="20"/>
          <w:color w:val="auto"/>
        </w:rPr>
      </w:pPr>
      <w:r>
        <w:rPr>
          <w:rFonts w:ascii="Times New Roman" w:cs="Times New Roman" w:eastAsia="Times New Roman" w:hAnsi="Times New Roman"/>
          <w:sz w:val="20"/>
          <w:szCs w:val="20"/>
          <w:color w:val="auto"/>
        </w:rPr>
        <w:t>As of December 31, 2024, we had $325.0 million in outstanding principal in Term Loans under our Term Loan and $0 under our Revolving Credit Facility. The annual interest rate on the Term Loan is based on SOFR, subject to a floor of</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0.10%, plus 2.50%. On December 31, 2024, the interest rate on these borrowings was 2.6% + SOFR. The Company remains exposed to interest rate risk if there is a shift in the environment. We estimate that a 100-basis point increase in the interest rate would result in an approximately $3.4 million increase in interest expense related to the loan over the next 12 months.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pgSz w:w="12240" w:h="15840" w:orient="portrait"/>
          <w:cols w:equalWidth="0" w:num="1">
            <w:col w:w="10080"/>
          </w:cols>
          <w:pgMar w:left="1080" w:top="1060" w:right="1080" w:bottom="175"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1060" w:right="1080" w:bottom="17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 </w:t>
      </w:r>
    </w:p>
    <w:p>
      <w:pPr>
        <w:sectPr>
          <w:pgSz w:w="12240" w:h="15840" w:orient="portrait"/>
          <w:cols w:equalWidth="0" w:num="1">
            <w:col w:w="9720"/>
          </w:cols>
          <w:pgMar w:left="1080" w:top="105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080" w:top="1056" w:right="1440" w:bottom="175"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74"/>
        </w:trPr>
        <w:tc>
          <w:tcPr>
            <w:tcW w:w="90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980" w:type="dxa"/>
            <w:vAlign w:val="bottom"/>
          </w:tcPr>
          <w:p>
            <w:pPr>
              <w:spacing w:after="0"/>
              <w:rPr>
                <w:sz w:val="23"/>
                <w:szCs w:val="23"/>
                <w:color w:val="auto"/>
              </w:rPr>
            </w:pPr>
          </w:p>
        </w:tc>
      </w:tr>
      <w:tr>
        <w:trPr>
          <w:trHeight w:val="432"/>
        </w:trPr>
        <w:tc>
          <w:tcPr>
            <w:tcW w:w="90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 xml:space="preserve">Report of Independent Registered Public Accounting Firm </w:t>
            </w:r>
            <w:r>
              <w:rPr>
                <w:rFonts w:ascii="Times New Roman" w:cs="Times New Roman" w:eastAsia="Times New Roman" w:hAnsi="Times New Roman"/>
                <w:sz w:val="20"/>
                <w:szCs w:val="20"/>
                <w:color w:val="000000"/>
              </w:rPr>
              <w:t>(Auditor Firm ID: 185)</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0"/>
        </w:trPr>
        <w:tc>
          <w:tcPr>
            <w:tcW w:w="3500" w:type="dxa"/>
            <w:vAlign w:val="bottom"/>
            <w:shd w:val="clear" w:color="auto" w:fill="0D248E"/>
          </w:tcPr>
          <w:p>
            <w:pPr>
              <w:spacing w:after="0" w:line="20" w:lineRule="exact"/>
              <w:rPr>
                <w:sz w:val="1"/>
                <w:szCs w:val="1"/>
                <w:color w:val="auto"/>
              </w:rPr>
            </w:pPr>
          </w:p>
        </w:tc>
        <w:tc>
          <w:tcPr>
            <w:tcW w:w="1180" w:type="dxa"/>
            <w:vAlign w:val="bottom"/>
            <w:shd w:val="clear" w:color="auto" w:fill="0D248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7"/>
        </w:trPr>
        <w:tc>
          <w:tcPr>
            <w:tcW w:w="90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Consolidated Balance Sheets as of December 31,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0"/>
        </w:trPr>
        <w:tc>
          <w:tcPr>
            <w:tcW w:w="3500" w:type="dxa"/>
            <w:vAlign w:val="bottom"/>
            <w:shd w:val="clear" w:color="auto" w:fill="0D248E"/>
          </w:tcPr>
          <w:p>
            <w:pPr>
              <w:spacing w:after="0" w:line="20" w:lineRule="exact"/>
              <w:rPr>
                <w:sz w:val="1"/>
                <w:szCs w:val="1"/>
                <w:color w:val="auto"/>
              </w:rPr>
            </w:pPr>
          </w:p>
        </w:tc>
        <w:tc>
          <w:tcPr>
            <w:tcW w:w="1660" w:type="dxa"/>
            <w:vAlign w:val="bottom"/>
            <w:gridSpan w:val="2"/>
            <w:shd w:val="clear" w:color="auto" w:fill="0D248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7"/>
        </w:trPr>
        <w:tc>
          <w:tcPr>
            <w:tcW w:w="90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Consolidated Statements of Operations for the Years ended December 31, 2024, 2023, and 2022</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0"/>
        </w:trPr>
        <w:tc>
          <w:tcPr>
            <w:tcW w:w="3500" w:type="dxa"/>
            <w:vAlign w:val="bottom"/>
            <w:shd w:val="clear" w:color="auto" w:fill="0D248E"/>
          </w:tcPr>
          <w:p>
            <w:pPr>
              <w:spacing w:after="0" w:line="20" w:lineRule="exact"/>
              <w:rPr>
                <w:sz w:val="1"/>
                <w:szCs w:val="1"/>
                <w:color w:val="auto"/>
              </w:rPr>
            </w:pPr>
          </w:p>
        </w:tc>
        <w:tc>
          <w:tcPr>
            <w:tcW w:w="4200" w:type="dxa"/>
            <w:vAlign w:val="bottom"/>
            <w:gridSpan w:val="3"/>
            <w:shd w:val="clear" w:color="auto" w:fill="0D24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7"/>
        </w:trPr>
        <w:tc>
          <w:tcPr>
            <w:tcW w:w="90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Consolidated Statements of Changes in Equity for the Years ended December 31, 2024, 2023, and 2022</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07"/>
        </w:trPr>
        <w:tc>
          <w:tcPr>
            <w:tcW w:w="7780" w:type="dxa"/>
            <w:vAlign w:val="bottom"/>
            <w:tcBorders>
              <w:top w:val="single" w:sz="8" w:color="0D248E"/>
              <w:bottom w:val="single" w:sz="8" w:color="0D248E"/>
            </w:tcBorders>
            <w:gridSpan w:val="5"/>
          </w:tcPr>
          <w:p>
            <w:pPr>
              <w:spacing w:after="0"/>
              <w:rPr>
                <w:sz w:val="20"/>
                <w:szCs w:val="20"/>
                <w:color w:val="auto"/>
              </w:rPr>
            </w:pPr>
            <w:r>
              <w:rPr>
                <w:rFonts w:ascii="Times New Roman" w:cs="Times New Roman" w:eastAsia="Times New Roman" w:hAnsi="Times New Roman"/>
                <w:sz w:val="20"/>
                <w:szCs w:val="20"/>
                <w:color w:val="0D248E"/>
                <w:w w:val="99"/>
              </w:rPr>
              <w:t>Consolidated Statements of Cash Flows for the Years ended December 31, 2024, 2023, and 2022</w:t>
            </w:r>
          </w:p>
        </w:tc>
        <w:tc>
          <w:tcPr>
            <w:tcW w:w="520" w:type="dxa"/>
            <w:vAlign w:val="bottom"/>
            <w:tcBorders>
              <w:top w:val="single" w:sz="8" w:color="0D248E"/>
            </w:tcBorders>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07"/>
        </w:trPr>
        <w:tc>
          <w:tcPr>
            <w:tcW w:w="3500" w:type="dxa"/>
            <w:vAlign w:val="bottom"/>
            <w:tcBorders>
              <w:bottom w:val="single" w:sz="8" w:color="0D248E"/>
            </w:tcBorders>
          </w:tcPr>
          <w:p>
            <w:pPr>
              <w:spacing w:after="0"/>
              <w:rPr>
                <w:sz w:val="20"/>
                <w:szCs w:val="20"/>
                <w:color w:val="auto"/>
              </w:rPr>
            </w:pPr>
            <w:r>
              <w:rPr>
                <w:rFonts w:ascii="Times New Roman" w:cs="Times New Roman" w:eastAsia="Times New Roman" w:hAnsi="Times New Roman"/>
                <w:sz w:val="20"/>
                <w:szCs w:val="20"/>
                <w:color w:val="0D248E"/>
                <w:w w:val="99"/>
              </w:rPr>
              <w:t>Notes to Consolidated Financial Statements</w:t>
            </w:r>
          </w:p>
        </w:tc>
        <w:tc>
          <w:tcPr>
            <w:tcW w:w="558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bl>
    <w:p>
      <w:pPr>
        <w:spacing w:after="0" w:line="200" w:lineRule="exact"/>
        <w:rPr>
          <w:sz w:val="20"/>
          <w:szCs w:val="20"/>
          <w:color w:val="auto"/>
        </w:rPr>
      </w:pP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60"/>
          </w:cols>
          <w:pgMar w:left="1080" w:top="1056" w:right="1100" w:bottom="175" w:gutter="0" w:footer="0" w:header="0"/>
          <w:type w:val="continuous"/>
        </w:sectPr>
      </w:pPr>
    </w:p>
    <w:bookmarkStart w:id="81" w:name="page82"/>
    <w:bookmarkEnd w:id="81"/>
    <w:p>
      <w:pPr>
        <w:ind w:left="25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P10,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P10, Inc. and subsidiaries (the Company) as of December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2024 and 2023, the related consolidated statements of operations, changes in equity, and cash flows for each of the years</w:t>
      </w:r>
    </w:p>
    <w:p>
      <w:pPr>
        <w:spacing w:after="0"/>
        <w:rPr>
          <w:sz w:val="20"/>
          <w:szCs w:val="20"/>
          <w:color w:val="auto"/>
        </w:rPr>
      </w:pPr>
      <w:r>
        <w:rPr>
          <w:rFonts w:ascii="Times New Roman" w:cs="Times New Roman" w:eastAsia="Times New Roman" w:hAnsi="Times New Roman"/>
          <w:sz w:val="20"/>
          <w:szCs w:val="20"/>
          <w:color w:val="auto"/>
        </w:rPr>
        <w:t>in the three-year period ended December 31, 2024, and the related notes (collectively, the consolidated financial</w:t>
      </w:r>
    </w:p>
    <w:p>
      <w:pPr>
        <w:spacing w:after="0"/>
        <w:rPr>
          <w:sz w:val="20"/>
          <w:szCs w:val="20"/>
          <w:color w:val="auto"/>
        </w:rPr>
      </w:pPr>
      <w:r>
        <w:rPr>
          <w:rFonts w:ascii="Times New Roman" w:cs="Times New Roman" w:eastAsia="Times New Roman" w:hAnsi="Times New Roman"/>
          <w:sz w:val="20"/>
          <w:szCs w:val="20"/>
          <w:color w:val="auto"/>
        </w:rPr>
        <w:t>statements). In our opinion, the consolidated financial statements present fairly, in all material respects, the financial position</w:t>
      </w:r>
    </w:p>
    <w:p>
      <w:pPr>
        <w:spacing w:after="0"/>
        <w:rPr>
          <w:sz w:val="20"/>
          <w:szCs w:val="20"/>
          <w:color w:val="auto"/>
        </w:rPr>
      </w:pPr>
      <w:r>
        <w:rPr>
          <w:rFonts w:ascii="Times New Roman" w:cs="Times New Roman" w:eastAsia="Times New Roman" w:hAnsi="Times New Roman"/>
          <w:sz w:val="20"/>
          <w:szCs w:val="20"/>
          <w:color w:val="auto"/>
        </w:rPr>
        <w:t>of the Company as of December 31, 2024 and 2023, and the results of its operations and its cash flows for each of the years</w:t>
      </w:r>
    </w:p>
    <w:p>
      <w:pPr>
        <w:spacing w:after="0"/>
        <w:rPr>
          <w:sz w:val="20"/>
          <w:szCs w:val="20"/>
          <w:color w:val="auto"/>
        </w:rPr>
      </w:pPr>
      <w:r>
        <w:rPr>
          <w:rFonts w:ascii="Times New Roman" w:cs="Times New Roman" w:eastAsia="Times New Roman" w:hAnsi="Times New Roman"/>
          <w:sz w:val="20"/>
          <w:szCs w:val="20"/>
          <w:color w:val="auto"/>
        </w:rPr>
        <w:t>in the three-year period ended December 31, 2024, in conformity with U.S. generally accepted accounting principles.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60"/>
          </w:cols>
          <w:pgMar w:left="1080" w:top="1056" w:right="1100" w:bottom="175"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98"/>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67,455</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660</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Notes receivable</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7,534</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Due from related parties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Investment in unconsolidated subsidiaries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2,781</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6,760</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3,325</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Contingent payments to customers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10,028</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14,034</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tax assets,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Intangibles, net</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97,589</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123,195</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20"/>
                <w:szCs w:val="20"/>
                <w:color w:val="auto"/>
              </w:rPr>
              <w:t>Goodwill</w:t>
            </w:r>
          </w:p>
        </w:tc>
        <w:tc>
          <w:tcPr>
            <w:tcW w:w="100" w:type="dxa"/>
            <w:vAlign w:val="bottom"/>
            <w:tcBorders>
              <w:bottom w:val="single" w:sz="8" w:color="D4EE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506,038</w:t>
            </w:r>
          </w:p>
        </w:tc>
        <w:tc>
          <w:tcPr>
            <w:tcW w:w="160" w:type="dxa"/>
            <w:vAlign w:val="bottom"/>
            <w:tcBorders>
              <w:bottom w:val="single" w:sz="8" w:color="D4EEF4"/>
            </w:tcBorders>
          </w:tcPr>
          <w:p>
            <w:pPr>
              <w:spacing w:after="0"/>
              <w:rPr>
                <w:sz w:val="21"/>
                <w:szCs w:val="21"/>
                <w:color w:val="auto"/>
              </w:rPr>
            </w:pPr>
          </w:p>
        </w:tc>
        <w:tc>
          <w:tcPr>
            <w:tcW w:w="80" w:type="dxa"/>
            <w:vAlign w:val="bottom"/>
            <w:tcBorders>
              <w:bottom w:val="single" w:sz="8" w:color="D4EE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506,038</w:t>
            </w:r>
          </w:p>
        </w:tc>
        <w:tc>
          <w:tcPr>
            <w:tcW w:w="100" w:type="dxa"/>
            <w:vAlign w:val="bottom"/>
            <w:tcBorders>
              <w:bottom w:val="single" w:sz="8" w:color="D4EEF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shd w:val="clear" w:color="auto" w:fill="D4EEF4"/>
          </w:tcPr>
          <w:p>
            <w:pPr>
              <w:spacing w:after="0"/>
              <w:rPr>
                <w:sz w:val="20"/>
                <w:szCs w:val="20"/>
                <w:color w:val="auto"/>
              </w:rPr>
            </w:pPr>
          </w:p>
        </w:tc>
        <w:tc>
          <w:tcPr>
            <w:tcW w:w="1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869,275</w:t>
            </w:r>
          </w:p>
        </w:tc>
        <w:tc>
          <w:tcPr>
            <w:tcW w:w="160" w:type="dxa"/>
            <w:vAlign w:val="bottom"/>
            <w:shd w:val="clear" w:color="auto" w:fill="D4EEF4"/>
          </w:tcPr>
          <w:p>
            <w:pPr>
              <w:spacing w:after="0"/>
              <w:rPr>
                <w:sz w:val="20"/>
                <w:szCs w:val="20"/>
                <w:color w:val="auto"/>
              </w:rPr>
            </w:pPr>
          </w:p>
        </w:tc>
        <w:tc>
          <w:tcPr>
            <w:tcW w:w="80" w:type="dxa"/>
            <w:vAlign w:val="bottom"/>
            <w:shd w:val="clear" w:color="auto" w:fill="D4EEF4"/>
          </w:tcPr>
          <w:p>
            <w:pPr>
              <w:spacing w:after="0"/>
              <w:rPr>
                <w:sz w:val="20"/>
                <w:szCs w:val="20"/>
                <w:color w:val="auto"/>
              </w:rPr>
            </w:pPr>
          </w:p>
        </w:tc>
        <w:tc>
          <w:tcPr>
            <w:tcW w:w="1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834,074</w:t>
            </w:r>
          </w:p>
        </w:tc>
        <w:tc>
          <w:tcPr>
            <w:tcW w:w="100" w:type="dxa"/>
            <w:vAlign w:val="bottom"/>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30,208</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69,544</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45,081</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Due to related parties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Other liabilities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Accrued contingent liabilities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23,878</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16,222</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20,591</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20,278</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20"/>
                <w:szCs w:val="20"/>
                <w:color w:val="auto"/>
              </w:rPr>
              <w:t>Debt obligations</w:t>
            </w:r>
          </w:p>
        </w:tc>
        <w:tc>
          <w:tcPr>
            <w:tcW w:w="100" w:type="dxa"/>
            <w:vAlign w:val="bottom"/>
            <w:tcBorders>
              <w:bottom w:val="single" w:sz="8" w:color="D4EE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319,783</w:t>
            </w:r>
          </w:p>
        </w:tc>
        <w:tc>
          <w:tcPr>
            <w:tcW w:w="160" w:type="dxa"/>
            <w:vAlign w:val="bottom"/>
            <w:tcBorders>
              <w:bottom w:val="single" w:sz="8" w:color="D4EEF4"/>
            </w:tcBorders>
          </w:tcPr>
          <w:p>
            <w:pPr>
              <w:spacing w:after="0"/>
              <w:rPr>
                <w:sz w:val="21"/>
                <w:szCs w:val="21"/>
                <w:color w:val="auto"/>
              </w:rPr>
            </w:pPr>
          </w:p>
        </w:tc>
        <w:tc>
          <w:tcPr>
            <w:tcW w:w="80" w:type="dxa"/>
            <w:vAlign w:val="bottom"/>
            <w:tcBorders>
              <w:bottom w:val="single" w:sz="8" w:color="D4EE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100" w:type="dxa"/>
            <w:vAlign w:val="bottom"/>
            <w:tcBorders>
              <w:bottom w:val="single" w:sz="8" w:color="D4EEF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00" w:type="dxa"/>
            <w:vAlign w:val="bottom"/>
            <w:shd w:val="clear" w:color="auto" w:fill="D4EEF4"/>
          </w:tcPr>
          <w:p>
            <w:pPr>
              <w:spacing w:after="0"/>
              <w:rPr>
                <w:sz w:val="20"/>
                <w:szCs w:val="20"/>
                <w:color w:val="auto"/>
              </w:rPr>
            </w:pPr>
          </w:p>
        </w:tc>
        <w:tc>
          <w:tcPr>
            <w:tcW w:w="180" w:type="dxa"/>
            <w:vAlign w:val="bottom"/>
            <w:shd w:val="clear" w:color="auto" w:fill="D4EEF4"/>
          </w:tcPr>
          <w:p>
            <w:pPr>
              <w:spacing w:after="0"/>
              <w:rPr>
                <w:sz w:val="20"/>
                <w:szCs w:val="20"/>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482,385</w:t>
            </w:r>
          </w:p>
        </w:tc>
        <w:tc>
          <w:tcPr>
            <w:tcW w:w="160" w:type="dxa"/>
            <w:vAlign w:val="bottom"/>
            <w:shd w:val="clear" w:color="auto" w:fill="D4EEF4"/>
          </w:tcPr>
          <w:p>
            <w:pPr>
              <w:spacing w:after="0"/>
              <w:rPr>
                <w:sz w:val="20"/>
                <w:szCs w:val="20"/>
                <w:color w:val="auto"/>
              </w:rPr>
            </w:pPr>
          </w:p>
        </w:tc>
        <w:tc>
          <w:tcPr>
            <w:tcW w:w="80" w:type="dxa"/>
            <w:vAlign w:val="bottom"/>
            <w:shd w:val="clear" w:color="auto" w:fill="D4EEF4"/>
          </w:tcPr>
          <w:p>
            <w:pPr>
              <w:spacing w:after="0"/>
              <w:rPr>
                <w:sz w:val="20"/>
                <w:szCs w:val="20"/>
                <w:color w:val="auto"/>
              </w:rPr>
            </w:pPr>
          </w:p>
        </w:tc>
        <w:tc>
          <w:tcPr>
            <w:tcW w:w="180" w:type="dxa"/>
            <w:vAlign w:val="bottom"/>
            <w:shd w:val="clear" w:color="auto" w:fill="D4EEF4"/>
          </w:tcPr>
          <w:p>
            <w:pPr>
              <w:spacing w:after="0"/>
              <w:rPr>
                <w:sz w:val="20"/>
                <w:szCs w:val="20"/>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408,912</w:t>
            </w:r>
          </w:p>
        </w:tc>
        <w:tc>
          <w:tcPr>
            <w:tcW w:w="100" w:type="dxa"/>
            <w:vAlign w:val="bottom"/>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Class A common stock, $0.001 par value; 510,000,000 shares authorized;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75,974,076 issued and 67,614,875 outstanding as of December 31, 2024, and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59,340,269 issued and 57,622,895 outstanding as of December 31, 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respectively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D4EEF4"/>
          </w:tcPr>
          <w:p>
            <w:pPr>
              <w:ind w:left="200"/>
              <w:spacing w:after="0" w:line="225" w:lineRule="exact"/>
              <w:rPr>
                <w:sz w:val="20"/>
                <w:szCs w:val="20"/>
                <w:color w:val="auto"/>
              </w:rPr>
            </w:pPr>
            <w:r>
              <w:rPr>
                <w:rFonts w:ascii="Times New Roman" w:cs="Times New Roman" w:eastAsia="Times New Roman" w:hAnsi="Times New Roman"/>
                <w:sz w:val="20"/>
                <w:szCs w:val="20"/>
                <w:color w:val="auto"/>
              </w:rPr>
              <w:t>Class B common stock, $0.001 par value; 180,000,000 shares authorized;</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43,584,893 shares issued and 43,461,442 shares outstanding as of December</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31, 2024, and 58,597,718 shares issued and 58,474,267 shares outstanding as of</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December 31, 2023, respectively</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Treasury stock</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(76,648)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(17,588)</w:t>
            </w: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Additional paid-in-capital</w:t>
            </w: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637,848</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3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636,073</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(214,312)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(233,012)</w:t>
            </w:r>
          </w:p>
        </w:tc>
        <w:tc>
          <w:tcPr>
            <w:tcW w:w="0" w:type="dxa"/>
            <w:vAlign w:val="bottom"/>
          </w:tcPr>
          <w:p>
            <w:pPr>
              <w:spacing w:after="0"/>
              <w:rPr>
                <w:sz w:val="1"/>
                <w:szCs w:val="1"/>
                <w:color w:val="auto"/>
              </w:rPr>
            </w:pPr>
          </w:p>
        </w:tc>
      </w:tr>
      <w:tr>
        <w:trPr>
          <w:trHeight w:val="244"/>
        </w:trPr>
        <w:tc>
          <w:tcPr>
            <w:tcW w:w="66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00" w:type="dxa"/>
            <w:vAlign w:val="bottom"/>
            <w:shd w:val="clear" w:color="auto" w:fill="D4EEF4"/>
          </w:tcPr>
          <w:p>
            <w:pPr>
              <w:spacing w:after="0"/>
              <w:rPr>
                <w:sz w:val="21"/>
                <w:szCs w:val="21"/>
                <w:color w:val="auto"/>
              </w:rPr>
            </w:pPr>
          </w:p>
        </w:tc>
        <w:tc>
          <w:tcPr>
            <w:tcW w:w="180" w:type="dxa"/>
            <w:vAlign w:val="bottom"/>
            <w:tcBorders>
              <w:bottom w:val="single" w:sz="8" w:color="auto"/>
            </w:tcBorders>
            <w:shd w:val="clear" w:color="auto" w:fill="D4EEF4"/>
          </w:tcPr>
          <w:p>
            <w:pPr>
              <w:spacing w:after="0"/>
              <w:rPr>
                <w:sz w:val="21"/>
                <w:szCs w:val="21"/>
                <w:color w:val="auto"/>
              </w:rPr>
            </w:pPr>
          </w:p>
        </w:tc>
        <w:tc>
          <w:tcPr>
            <w:tcW w:w="13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39,891</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80" w:type="dxa"/>
            <w:vAlign w:val="bottom"/>
            <w:tcBorders>
              <w:bottom w:val="single" w:sz="8" w:color="auto"/>
            </w:tcBorders>
            <w:shd w:val="clear" w:color="auto" w:fill="D4EEF4"/>
          </w:tcPr>
          <w:p>
            <w:pPr>
              <w:spacing w:after="0"/>
              <w:rPr>
                <w:sz w:val="21"/>
                <w:szCs w:val="21"/>
                <w:color w:val="auto"/>
              </w:rPr>
            </w:pPr>
          </w:p>
        </w:tc>
        <w:tc>
          <w:tcPr>
            <w:tcW w:w="13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39,573</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80" w:type="dxa"/>
            <w:vAlign w:val="bottom"/>
            <w:tcBorders>
              <w:bottom w:val="single" w:sz="8" w:color="D4EEF4"/>
            </w:tcBorders>
          </w:tcPr>
          <w:p>
            <w:pPr>
              <w:ind w:left="400"/>
              <w:spacing w:after="0"/>
              <w:rPr>
                <w:sz w:val="20"/>
                <w:szCs w:val="20"/>
                <w:color w:val="auto"/>
              </w:rPr>
            </w:pPr>
            <w:r>
              <w:rPr>
                <w:rFonts w:ascii="Times New Roman" w:cs="Times New Roman" w:eastAsia="Times New Roman" w:hAnsi="Times New Roman"/>
                <w:sz w:val="20"/>
                <w:szCs w:val="20"/>
                <w:color w:val="auto"/>
              </w:rPr>
              <w:t>Total equity</w:t>
            </w:r>
          </w:p>
        </w:tc>
        <w:tc>
          <w:tcPr>
            <w:tcW w:w="100" w:type="dxa"/>
            <w:vAlign w:val="bottom"/>
            <w:tcBorders>
              <w:bottom w:val="single" w:sz="8" w:color="D4EE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386,890</w:t>
            </w:r>
          </w:p>
        </w:tc>
        <w:tc>
          <w:tcPr>
            <w:tcW w:w="160" w:type="dxa"/>
            <w:vAlign w:val="bottom"/>
            <w:tcBorders>
              <w:bottom w:val="single" w:sz="8" w:color="D4EEF4"/>
            </w:tcBorders>
          </w:tcPr>
          <w:p>
            <w:pPr>
              <w:spacing w:after="0"/>
              <w:rPr>
                <w:sz w:val="20"/>
                <w:szCs w:val="20"/>
                <w:color w:val="auto"/>
              </w:rPr>
            </w:pPr>
          </w:p>
        </w:tc>
        <w:tc>
          <w:tcPr>
            <w:tcW w:w="80" w:type="dxa"/>
            <w:vAlign w:val="bottom"/>
            <w:tcBorders>
              <w:bottom w:val="single" w:sz="8" w:color="D4EE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425,162</w:t>
            </w:r>
          </w:p>
        </w:tc>
        <w:tc>
          <w:tcPr>
            <w:tcW w:w="100" w:type="dxa"/>
            <w:vAlign w:val="bottom"/>
            <w:tcBorders>
              <w:bottom w:val="single" w:sz="8" w:color="D4EEF4"/>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D4EEF4"/>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0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rPr>
              <w:t>869,275</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rPr>
              <w:t>834,074</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Calibri" w:cs="Calibri" w:eastAsia="Calibri" w:hAnsi="Calibri"/>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74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VIE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As of</w:t>
            </w:r>
          </w:p>
        </w:tc>
      </w:tr>
      <w:tr>
        <w:trPr>
          <w:trHeight w:val="244"/>
        </w:trPr>
        <w:tc>
          <w:tcPr>
            <w:tcW w:w="6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3"/>
        </w:trPr>
        <w:tc>
          <w:tcPr>
            <w:tcW w:w="6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Pr>
          <w:p>
            <w:pPr>
              <w:spacing w:after="0"/>
              <w:rPr>
                <w:sz w:val="22"/>
                <w:szCs w:val="22"/>
                <w:color w:val="auto"/>
              </w:rPr>
            </w:pPr>
          </w:p>
        </w:tc>
      </w:tr>
      <w:tr>
        <w:trPr>
          <w:trHeight w:val="224"/>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67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20,407</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Restricted cash</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Accounts receivable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Notes receivable</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7,478</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5,697</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Due from related parties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20,610</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Investment in unconsolidated subsidiaries</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18,912</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5,700</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16,290</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Contingent payments to customers</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10,029</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14,034</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Intangibles,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77,336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96,404</w:t>
            </w:r>
          </w:p>
        </w:tc>
        <w:tc>
          <w:tcPr>
            <w:tcW w:w="100" w:type="dxa"/>
            <w:vAlign w:val="bottom"/>
          </w:tcPr>
          <w:p>
            <w:pPr>
              <w:spacing w:after="0"/>
              <w:rPr>
                <w:sz w:val="21"/>
                <w:szCs w:val="21"/>
                <w:color w:val="auto"/>
              </w:rPr>
            </w:pPr>
          </w:p>
        </w:tc>
      </w:tr>
      <w:tr>
        <w:trPr>
          <w:trHeight w:val="264"/>
        </w:trPr>
        <w:tc>
          <w:tcPr>
            <w:tcW w:w="6780" w:type="dxa"/>
            <w:vAlign w:val="bottom"/>
            <w:tcBorders>
              <w:bottom w:val="single" w:sz="8" w:color="D4EEF4"/>
            </w:tcBorders>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Goodwill</w:t>
            </w:r>
          </w:p>
        </w:tc>
        <w:tc>
          <w:tcPr>
            <w:tcW w:w="20" w:type="dxa"/>
            <w:vAlign w:val="bottom"/>
            <w:tcBorders>
              <w:bottom w:val="single" w:sz="8" w:color="D4EEF4"/>
            </w:tcBorders>
            <w:shd w:val="clear" w:color="auto" w:fill="D4EEF4"/>
          </w:tcPr>
          <w:p>
            <w:pPr>
              <w:spacing w:after="0"/>
              <w:rPr>
                <w:sz w:val="22"/>
                <w:szCs w:val="22"/>
                <w:color w:val="auto"/>
              </w:rPr>
            </w:pPr>
          </w:p>
        </w:tc>
        <w:tc>
          <w:tcPr>
            <w:tcW w:w="100" w:type="dxa"/>
            <w:vAlign w:val="bottom"/>
            <w:tcBorders>
              <w:bottom w:val="single" w:sz="8" w:color="auto"/>
            </w:tcBorders>
            <w:shd w:val="clear" w:color="auto" w:fill="D4EEF4"/>
          </w:tcPr>
          <w:p>
            <w:pPr>
              <w:spacing w:after="0"/>
              <w:rPr>
                <w:sz w:val="22"/>
                <w:szCs w:val="22"/>
                <w:color w:val="auto"/>
              </w:rPr>
            </w:pPr>
          </w:p>
        </w:tc>
        <w:tc>
          <w:tcPr>
            <w:tcW w:w="13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382,844</w:t>
            </w:r>
          </w:p>
        </w:tc>
        <w:tc>
          <w:tcPr>
            <w:tcW w:w="260" w:type="dxa"/>
            <w:vAlign w:val="bottom"/>
            <w:tcBorders>
              <w:bottom w:val="single" w:sz="8" w:color="D4EEF4"/>
            </w:tcBorders>
            <w:shd w:val="clear" w:color="auto" w:fill="D4EEF4"/>
          </w:tcPr>
          <w:p>
            <w:pPr>
              <w:spacing w:after="0"/>
              <w:rPr>
                <w:sz w:val="22"/>
                <w:szCs w:val="22"/>
                <w:color w:val="auto"/>
              </w:rPr>
            </w:pPr>
          </w:p>
        </w:tc>
        <w:tc>
          <w:tcPr>
            <w:tcW w:w="120" w:type="dxa"/>
            <w:vAlign w:val="bottom"/>
            <w:tcBorders>
              <w:bottom w:val="single" w:sz="8" w:color="auto"/>
            </w:tcBorders>
            <w:shd w:val="clear" w:color="auto" w:fill="D4EEF4"/>
          </w:tcPr>
          <w:p>
            <w:pPr>
              <w:spacing w:after="0"/>
              <w:rPr>
                <w:sz w:val="22"/>
                <w:szCs w:val="22"/>
                <w:color w:val="auto"/>
              </w:rPr>
            </w:pPr>
          </w:p>
        </w:tc>
        <w:tc>
          <w:tcPr>
            <w:tcW w:w="13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382,844</w:t>
            </w:r>
          </w:p>
        </w:tc>
        <w:tc>
          <w:tcPr>
            <w:tcW w:w="100" w:type="dxa"/>
            <w:vAlign w:val="bottom"/>
            <w:tcBorders>
              <w:bottom w:val="single" w:sz="8" w:color="D4EEF4"/>
            </w:tcBorders>
            <w:shd w:val="clear" w:color="auto" w:fill="D4EEF4"/>
          </w:tcPr>
          <w:p>
            <w:pPr>
              <w:spacing w:after="0"/>
              <w:rPr>
                <w:sz w:val="22"/>
                <w:szCs w:val="22"/>
                <w:color w:val="auto"/>
              </w:rPr>
            </w:pPr>
          </w:p>
        </w:tc>
      </w:tr>
      <w:tr>
        <w:trPr>
          <w:trHeight w:val="244"/>
        </w:trPr>
        <w:tc>
          <w:tcPr>
            <w:tcW w:w="6780" w:type="dxa"/>
            <w:vAlign w:val="bottom"/>
            <w:tcBorders>
              <w:bottom w:val="single" w:sz="8" w:color="D4EEF4"/>
            </w:tcBorders>
          </w:tcPr>
          <w:p>
            <w:pPr>
              <w:ind w:left="200"/>
              <w:spacing w:after="0" w:line="204"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bottom w:val="single" w:sz="8" w:color="D4EEF4"/>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587,932</w:t>
            </w:r>
          </w:p>
        </w:tc>
        <w:tc>
          <w:tcPr>
            <w:tcW w:w="260" w:type="dxa"/>
            <w:vAlign w:val="bottom"/>
            <w:tcBorders>
              <w:bottom w:val="single" w:sz="8" w:color="D4EEF4"/>
            </w:tcBorders>
          </w:tcPr>
          <w:p>
            <w:pPr>
              <w:spacing w:after="0"/>
              <w:rPr>
                <w:sz w:val="21"/>
                <w:szCs w:val="21"/>
                <w:color w:val="auto"/>
              </w:rPr>
            </w:pPr>
          </w:p>
        </w:tc>
        <w:tc>
          <w:tcPr>
            <w:tcW w:w="1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579,387</w:t>
            </w:r>
          </w:p>
        </w:tc>
        <w:tc>
          <w:tcPr>
            <w:tcW w:w="100" w:type="dxa"/>
            <w:vAlign w:val="bottom"/>
            <w:tcBorders>
              <w:bottom w:val="single" w:sz="8" w:color="D4EEF4"/>
            </w:tcBorders>
          </w:tcPr>
          <w:p>
            <w:pPr>
              <w:spacing w:after="0"/>
              <w:rPr>
                <w:sz w:val="21"/>
                <w:szCs w:val="21"/>
                <w:color w:val="auto"/>
              </w:rPr>
            </w:pPr>
          </w:p>
        </w:tc>
      </w:tr>
      <w:tr>
        <w:trPr>
          <w:trHeight w:val="215"/>
        </w:trPr>
        <w:tc>
          <w:tcPr>
            <w:tcW w:w="6780" w:type="dxa"/>
            <w:vAlign w:val="bottom"/>
            <w:shd w:val="clear" w:color="auto" w:fill="D4EEF4"/>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2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34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120" w:type="dxa"/>
            <w:vAlign w:val="bottom"/>
            <w:shd w:val="clear" w:color="auto" w:fill="D4EEF4"/>
          </w:tcPr>
          <w:p>
            <w:pPr>
              <w:spacing w:after="0"/>
              <w:rPr>
                <w:sz w:val="18"/>
                <w:szCs w:val="18"/>
                <w:color w:val="auto"/>
              </w:rPr>
            </w:pPr>
          </w:p>
        </w:tc>
        <w:tc>
          <w:tcPr>
            <w:tcW w:w="13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10,709</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65,583</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43,614</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2,214</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contingent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16,222</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Deferred revenues</w:t>
            </w:r>
          </w:p>
        </w:tc>
        <w:tc>
          <w:tcPr>
            <w:tcW w:w="2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11,473</w:t>
            </w:r>
          </w:p>
        </w:tc>
        <w:tc>
          <w:tcPr>
            <w:tcW w:w="26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11,848</w:t>
            </w:r>
          </w:p>
        </w:tc>
        <w:tc>
          <w:tcPr>
            <w:tcW w:w="100" w:type="dxa"/>
            <w:vAlign w:val="bottom"/>
            <w:shd w:val="clear" w:color="auto" w:fill="D4EEF4"/>
          </w:tcPr>
          <w:p>
            <w:pPr>
              <w:spacing w:after="0"/>
              <w:rPr>
                <w:sz w:val="21"/>
                <w:szCs w:val="21"/>
                <w:color w:val="auto"/>
              </w:rPr>
            </w:pPr>
          </w:p>
        </w:tc>
      </w:tr>
      <w:tr>
        <w:trPr>
          <w:trHeight w:val="244"/>
        </w:trPr>
        <w:tc>
          <w:tcPr>
            <w:tcW w:w="6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Lease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18,663</w:t>
            </w:r>
          </w:p>
        </w:tc>
        <w:tc>
          <w:tcPr>
            <w:tcW w:w="100" w:type="dxa"/>
            <w:vAlign w:val="bottom"/>
          </w:tcPr>
          <w:p>
            <w:pPr>
              <w:spacing w:after="0"/>
              <w:rPr>
                <w:sz w:val="21"/>
                <w:szCs w:val="21"/>
                <w:color w:val="auto"/>
              </w:rPr>
            </w:pPr>
          </w:p>
        </w:tc>
      </w:tr>
      <w:tr>
        <w:trPr>
          <w:trHeight w:val="244"/>
        </w:trPr>
        <w:tc>
          <w:tcPr>
            <w:tcW w:w="67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Debt obligations</w:t>
            </w:r>
          </w:p>
        </w:tc>
        <w:tc>
          <w:tcPr>
            <w:tcW w:w="20" w:type="dxa"/>
            <w:vAlign w:val="bottom"/>
            <w:shd w:val="clear" w:color="auto" w:fill="D4EEF4"/>
          </w:tcPr>
          <w:p>
            <w:pPr>
              <w:spacing w:after="0"/>
              <w:rPr>
                <w:sz w:val="21"/>
                <w:szCs w:val="21"/>
                <w:color w:val="auto"/>
              </w:rPr>
            </w:pPr>
          </w:p>
        </w:tc>
        <w:tc>
          <w:tcPr>
            <w:tcW w:w="100" w:type="dxa"/>
            <w:vAlign w:val="bottom"/>
            <w:tcBorders>
              <w:bottom w:val="single" w:sz="8" w:color="auto"/>
            </w:tcBorders>
            <w:shd w:val="clear" w:color="auto" w:fill="D4EEF4"/>
          </w:tcPr>
          <w:p>
            <w:pPr>
              <w:spacing w:after="0"/>
              <w:rPr>
                <w:sz w:val="21"/>
                <w:szCs w:val="21"/>
                <w:color w:val="auto"/>
              </w:rPr>
            </w:pPr>
          </w:p>
        </w:tc>
        <w:tc>
          <w:tcPr>
            <w:tcW w:w="13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319,783</w:t>
            </w:r>
          </w:p>
        </w:tc>
        <w:tc>
          <w:tcPr>
            <w:tcW w:w="260" w:type="dxa"/>
            <w:vAlign w:val="bottom"/>
            <w:shd w:val="clear" w:color="auto" w:fill="D4EEF4"/>
          </w:tcPr>
          <w:p>
            <w:pPr>
              <w:spacing w:after="0"/>
              <w:rPr>
                <w:sz w:val="21"/>
                <w:szCs w:val="21"/>
                <w:color w:val="auto"/>
              </w:rPr>
            </w:pPr>
          </w:p>
        </w:tc>
        <w:tc>
          <w:tcPr>
            <w:tcW w:w="120" w:type="dxa"/>
            <w:vAlign w:val="bottom"/>
            <w:tcBorders>
              <w:bottom w:val="single" w:sz="8" w:color="auto"/>
            </w:tcBorders>
            <w:shd w:val="clear" w:color="auto" w:fill="D4EEF4"/>
          </w:tcPr>
          <w:p>
            <w:pPr>
              <w:spacing w:after="0"/>
              <w:rPr>
                <w:sz w:val="21"/>
                <w:szCs w:val="21"/>
                <w:color w:val="auto"/>
              </w:rPr>
            </w:pPr>
          </w:p>
        </w:tc>
        <w:tc>
          <w:tcPr>
            <w:tcW w:w="13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100" w:type="dxa"/>
            <w:vAlign w:val="bottom"/>
            <w:shd w:val="clear" w:color="auto" w:fill="D4EEF4"/>
          </w:tcPr>
          <w:p>
            <w:pPr>
              <w:spacing w:after="0"/>
              <w:rPr>
                <w:sz w:val="21"/>
                <w:szCs w:val="21"/>
                <w:color w:val="auto"/>
              </w:rPr>
            </w:pPr>
          </w:p>
        </w:tc>
      </w:tr>
      <w:tr>
        <w:trPr>
          <w:trHeight w:val="234"/>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463,301</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397,612</w:t>
            </w:r>
          </w:p>
        </w:tc>
        <w:tc>
          <w:tcPr>
            <w:tcW w:w="10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75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6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7"/>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6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6200" w:type="dxa"/>
            <w:vAlign w:val="bottom"/>
            <w:tcBorders>
              <w:bottom w:val="single" w:sz="8" w:color="D4EEF4"/>
            </w:tcBorders>
          </w:tcPr>
          <w:p>
            <w:pPr>
              <w:spacing w:after="0"/>
              <w:rPr>
                <w:sz w:val="16"/>
                <w:szCs w:val="16"/>
                <w:color w:val="auto"/>
              </w:rPr>
            </w:pPr>
          </w:p>
        </w:tc>
        <w:tc>
          <w:tcPr>
            <w:tcW w:w="460" w:type="dxa"/>
            <w:vAlign w:val="bottom"/>
            <w:tcBorders>
              <w:bottom w:val="single" w:sz="8" w:color="D4EEF4"/>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4EEF4"/>
            </w:tcBorders>
          </w:tcPr>
          <w:p>
            <w:pPr>
              <w:spacing w:after="0"/>
              <w:rPr>
                <w:sz w:val="16"/>
                <w:szCs w:val="16"/>
                <w:color w:val="auto"/>
              </w:rPr>
            </w:pPr>
          </w:p>
        </w:tc>
        <w:tc>
          <w:tcPr>
            <w:tcW w:w="220" w:type="dxa"/>
            <w:vAlign w:val="bottom"/>
            <w:tcBorders>
              <w:bottom w:val="single" w:sz="8" w:color="D4EE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4EEF4"/>
            </w:tcBorders>
          </w:tcPr>
          <w:p>
            <w:pPr>
              <w:spacing w:after="0"/>
              <w:rPr>
                <w:sz w:val="16"/>
                <w:szCs w:val="16"/>
                <w:color w:val="auto"/>
              </w:rPr>
            </w:pPr>
          </w:p>
        </w:tc>
        <w:tc>
          <w:tcPr>
            <w:tcW w:w="120" w:type="dxa"/>
            <w:vAlign w:val="bottom"/>
            <w:tcBorders>
              <w:bottom w:val="single" w:sz="8" w:color="D4EEF4"/>
            </w:tcBorders>
          </w:tcPr>
          <w:p>
            <w:pPr>
              <w:spacing w:after="0"/>
              <w:rPr>
                <w:sz w:val="16"/>
                <w:szCs w:val="16"/>
                <w:color w:val="auto"/>
              </w:rPr>
            </w:pPr>
          </w:p>
        </w:tc>
        <w:tc>
          <w:tcPr>
            <w:tcW w:w="60" w:type="dxa"/>
            <w:vAlign w:val="bottom"/>
            <w:tcBorders>
              <w:bottom w:val="single" w:sz="8" w:color="D4EE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6"/>
                <w:szCs w:val="16"/>
                <w:color w:val="auto"/>
              </w:rPr>
            </w:pPr>
          </w:p>
        </w:tc>
      </w:tr>
      <w:tr>
        <w:trPr>
          <w:trHeight w:val="257"/>
        </w:trPr>
        <w:tc>
          <w:tcPr>
            <w:tcW w:w="62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460" w:type="dxa"/>
            <w:vAlign w:val="bottom"/>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78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700" w:type="dxa"/>
            <w:vAlign w:val="bottom"/>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6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700" w:type="dxa"/>
            <w:vAlign w:val="bottom"/>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Management and advisory fees</w:t>
            </w:r>
          </w:p>
        </w:tc>
        <w:tc>
          <w:tcPr>
            <w:tcW w:w="4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290,218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196,546</w:t>
            </w:r>
          </w:p>
        </w:tc>
        <w:tc>
          <w:tcPr>
            <w:tcW w:w="100" w:type="dxa"/>
            <w:vAlign w:val="bottom"/>
          </w:tcPr>
          <w:p>
            <w:pPr>
              <w:spacing w:after="0"/>
              <w:rPr>
                <w:sz w:val="21"/>
                <w:szCs w:val="21"/>
                <w:color w:val="auto"/>
              </w:rPr>
            </w:pPr>
          </w:p>
        </w:tc>
      </w:tr>
      <w:tr>
        <w:trPr>
          <w:trHeight w:val="24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Other revenue</w:t>
            </w:r>
          </w:p>
        </w:tc>
        <w:tc>
          <w:tcPr>
            <w:tcW w:w="460" w:type="dxa"/>
            <w:vAlign w:val="bottom"/>
            <w:shd w:val="clear" w:color="auto" w:fill="D4EEF4"/>
          </w:tcPr>
          <w:p>
            <w:pPr>
              <w:spacing w:after="0"/>
              <w:rPr>
                <w:sz w:val="21"/>
                <w:szCs w:val="21"/>
                <w:color w:val="auto"/>
              </w:rPr>
            </w:pPr>
          </w:p>
        </w:tc>
        <w:tc>
          <w:tcPr>
            <w:tcW w:w="220" w:type="dxa"/>
            <w:vAlign w:val="bottom"/>
            <w:tcBorders>
              <w:bottom w:val="single" w:sz="8" w:color="auto"/>
            </w:tcBorders>
            <w:shd w:val="clear" w:color="auto" w:fill="D4EEF4"/>
          </w:tcPr>
          <w:p>
            <w:pPr>
              <w:spacing w:after="0"/>
              <w:rPr>
                <w:sz w:val="21"/>
                <w:szCs w:val="21"/>
                <w:color w:val="auto"/>
              </w:rPr>
            </w:pPr>
          </w:p>
        </w:tc>
        <w:tc>
          <w:tcPr>
            <w:tcW w:w="7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6,230</w:t>
            </w:r>
          </w:p>
        </w:tc>
        <w:tc>
          <w:tcPr>
            <w:tcW w:w="1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40" w:type="dxa"/>
            <w:vAlign w:val="bottom"/>
            <w:tcBorders>
              <w:bottom w:val="single" w:sz="8" w:color="auto"/>
            </w:tcBorders>
            <w:shd w:val="clear" w:color="auto" w:fill="D4EEF4"/>
          </w:tcPr>
          <w:p>
            <w:pPr>
              <w:spacing w:after="0"/>
              <w:rPr>
                <w:sz w:val="21"/>
                <w:szCs w:val="21"/>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3,005</w:t>
            </w:r>
          </w:p>
        </w:tc>
        <w:tc>
          <w:tcPr>
            <w:tcW w:w="1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tcBorders>
              <w:bottom w:val="single" w:sz="8" w:color="auto"/>
            </w:tcBorders>
            <w:shd w:val="clear" w:color="auto" w:fill="D4EEF4"/>
          </w:tcPr>
          <w:p>
            <w:pPr>
              <w:spacing w:after="0"/>
              <w:rPr>
                <w:sz w:val="21"/>
                <w:szCs w:val="21"/>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100" w:type="dxa"/>
            <w:vAlign w:val="bottom"/>
            <w:shd w:val="clear" w:color="auto" w:fill="D4EEF4"/>
          </w:tcPr>
          <w:p>
            <w:pPr>
              <w:spacing w:after="0"/>
              <w:rPr>
                <w:sz w:val="21"/>
                <w:szCs w:val="21"/>
                <w:color w:val="auto"/>
              </w:rPr>
            </w:pPr>
          </w:p>
        </w:tc>
      </w:tr>
      <w:tr>
        <w:trPr>
          <w:trHeight w:val="234"/>
        </w:trPr>
        <w:tc>
          <w:tcPr>
            <w:tcW w:w="6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296,448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198,360</w:t>
            </w:r>
          </w:p>
        </w:tc>
        <w:tc>
          <w:tcPr>
            <w:tcW w:w="100" w:type="dxa"/>
            <w:vAlign w:val="bottom"/>
          </w:tcPr>
          <w:p>
            <w:pPr>
              <w:spacing w:after="0"/>
              <w:rPr>
                <w:sz w:val="20"/>
                <w:szCs w:val="20"/>
                <w:color w:val="auto"/>
              </w:rPr>
            </w:pPr>
          </w:p>
        </w:tc>
      </w:tr>
      <w:tr>
        <w:trPr>
          <w:trHeight w:val="244"/>
        </w:trPr>
        <w:tc>
          <w:tcPr>
            <w:tcW w:w="62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4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78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155,316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94,297</w:t>
            </w:r>
          </w:p>
        </w:tc>
        <w:tc>
          <w:tcPr>
            <w:tcW w:w="100" w:type="dxa"/>
            <w:vAlign w:val="bottom"/>
          </w:tcPr>
          <w:p>
            <w:pPr>
              <w:spacing w:after="0"/>
              <w:rPr>
                <w:sz w:val="21"/>
                <w:szCs w:val="21"/>
                <w:color w:val="auto"/>
              </w:rPr>
            </w:pPr>
          </w:p>
        </w:tc>
      </w:tr>
      <w:tr>
        <w:trPr>
          <w:trHeight w:val="24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Professional fees</w:t>
            </w:r>
          </w:p>
        </w:tc>
        <w:tc>
          <w:tcPr>
            <w:tcW w:w="4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21,464</w:t>
            </w:r>
          </w:p>
        </w:tc>
        <w:tc>
          <w:tcPr>
            <w:tcW w:w="1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12,668</w:t>
            </w:r>
          </w:p>
        </w:tc>
        <w:tc>
          <w:tcPr>
            <w:tcW w:w="1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12,856</w:t>
            </w:r>
          </w:p>
        </w:tc>
        <w:tc>
          <w:tcPr>
            <w:tcW w:w="100" w:type="dxa"/>
            <w:vAlign w:val="bottom"/>
            <w:shd w:val="clear" w:color="auto" w:fill="D4EEF4"/>
          </w:tcPr>
          <w:p>
            <w:pPr>
              <w:spacing w:after="0"/>
              <w:rPr>
                <w:sz w:val="21"/>
                <w:szCs w:val="2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28,780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18,522</w:t>
            </w:r>
          </w:p>
        </w:tc>
        <w:tc>
          <w:tcPr>
            <w:tcW w:w="100" w:type="dxa"/>
            <w:vAlign w:val="bottom"/>
          </w:tcPr>
          <w:p>
            <w:pPr>
              <w:spacing w:after="0"/>
              <w:rPr>
                <w:sz w:val="21"/>
                <w:szCs w:val="21"/>
                <w:color w:val="auto"/>
              </w:rPr>
            </w:pPr>
          </w:p>
        </w:tc>
      </w:tr>
      <w:tr>
        <w:trPr>
          <w:trHeight w:val="24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Contingent consideration expense</w:t>
            </w:r>
          </w:p>
        </w:tc>
        <w:tc>
          <w:tcPr>
            <w:tcW w:w="4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100" w:type="dxa"/>
            <w:vAlign w:val="bottom"/>
            <w:shd w:val="clear" w:color="auto" w:fill="D4EEF4"/>
          </w:tcPr>
          <w:p>
            <w:pPr>
              <w:spacing w:after="0"/>
              <w:rPr>
                <w:sz w:val="21"/>
                <w:szCs w:val="2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26,867</w:t>
            </w:r>
          </w:p>
        </w:tc>
        <w:tc>
          <w:tcPr>
            <w:tcW w:w="100" w:type="dxa"/>
            <w:vAlign w:val="bottom"/>
          </w:tcPr>
          <w:p>
            <w:pPr>
              <w:spacing w:after="0"/>
              <w:rPr>
                <w:sz w:val="21"/>
                <w:szCs w:val="21"/>
                <w:color w:val="auto"/>
              </w:rPr>
            </w:pPr>
          </w:p>
        </w:tc>
      </w:tr>
      <w:tr>
        <w:trPr>
          <w:trHeight w:val="264"/>
        </w:trPr>
        <w:tc>
          <w:tcPr>
            <w:tcW w:w="6200" w:type="dxa"/>
            <w:vAlign w:val="bottom"/>
            <w:tcBorders>
              <w:bottom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Strategic alliance expense</w:t>
            </w:r>
          </w:p>
        </w:tc>
        <w:tc>
          <w:tcPr>
            <w:tcW w:w="460" w:type="dxa"/>
            <w:vAlign w:val="bottom"/>
            <w:tcBorders>
              <w:bottom w:val="single" w:sz="8" w:color="D4EEF4"/>
            </w:tcBorders>
            <w:shd w:val="clear" w:color="auto" w:fill="D4EEF4"/>
          </w:tcPr>
          <w:p>
            <w:pPr>
              <w:spacing w:after="0"/>
              <w:rPr>
                <w:sz w:val="22"/>
                <w:szCs w:val="22"/>
                <w:color w:val="auto"/>
              </w:rPr>
            </w:pPr>
          </w:p>
        </w:tc>
        <w:tc>
          <w:tcPr>
            <w:tcW w:w="220" w:type="dxa"/>
            <w:vAlign w:val="bottom"/>
            <w:tcBorders>
              <w:bottom w:val="single" w:sz="8" w:color="auto"/>
            </w:tcBorders>
            <w:shd w:val="clear" w:color="auto" w:fill="D4EEF4"/>
          </w:tcPr>
          <w:p>
            <w:pPr>
              <w:spacing w:after="0"/>
              <w:rPr>
                <w:sz w:val="22"/>
                <w:szCs w:val="22"/>
                <w:color w:val="auto"/>
              </w:rPr>
            </w:pPr>
          </w:p>
        </w:tc>
        <w:tc>
          <w:tcPr>
            <w:tcW w:w="7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4,496</w:t>
            </w:r>
          </w:p>
        </w:tc>
        <w:tc>
          <w:tcPr>
            <w:tcW w:w="140" w:type="dxa"/>
            <w:vAlign w:val="bottom"/>
            <w:tcBorders>
              <w:bottom w:val="single" w:sz="8" w:color="D4EEF4"/>
            </w:tcBorders>
            <w:shd w:val="clear" w:color="auto" w:fill="D4EEF4"/>
          </w:tcPr>
          <w:p>
            <w:pPr>
              <w:spacing w:after="0"/>
              <w:rPr>
                <w:sz w:val="22"/>
                <w:szCs w:val="22"/>
                <w:color w:val="auto"/>
              </w:rPr>
            </w:pPr>
          </w:p>
        </w:tc>
        <w:tc>
          <w:tcPr>
            <w:tcW w:w="220" w:type="dxa"/>
            <w:vAlign w:val="bottom"/>
            <w:tcBorders>
              <w:bottom w:val="single" w:sz="8" w:color="D4EEF4"/>
            </w:tcBorders>
            <w:shd w:val="clear" w:color="auto" w:fill="D4EEF4"/>
          </w:tcPr>
          <w:p>
            <w:pPr>
              <w:spacing w:after="0"/>
              <w:rPr>
                <w:sz w:val="22"/>
                <w:szCs w:val="22"/>
                <w:color w:val="auto"/>
              </w:rPr>
            </w:pPr>
          </w:p>
        </w:tc>
        <w:tc>
          <w:tcPr>
            <w:tcW w:w="140" w:type="dxa"/>
            <w:vAlign w:val="bottom"/>
            <w:tcBorders>
              <w:bottom w:val="single" w:sz="8" w:color="auto"/>
            </w:tcBorders>
            <w:shd w:val="clear" w:color="auto" w:fill="D4EEF4"/>
          </w:tcPr>
          <w:p>
            <w:pPr>
              <w:spacing w:after="0"/>
              <w:rPr>
                <w:sz w:val="22"/>
                <w:szCs w:val="22"/>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1,494</w:t>
            </w:r>
          </w:p>
        </w:tc>
        <w:tc>
          <w:tcPr>
            <w:tcW w:w="100" w:type="dxa"/>
            <w:vAlign w:val="bottom"/>
            <w:tcBorders>
              <w:bottom w:val="single" w:sz="8" w:color="D4EEF4"/>
            </w:tcBorders>
            <w:shd w:val="clear" w:color="auto" w:fill="D4EEF4"/>
          </w:tcPr>
          <w:p>
            <w:pPr>
              <w:spacing w:after="0"/>
              <w:rPr>
                <w:sz w:val="22"/>
                <w:szCs w:val="22"/>
                <w:color w:val="auto"/>
              </w:rPr>
            </w:pPr>
          </w:p>
        </w:tc>
        <w:tc>
          <w:tcPr>
            <w:tcW w:w="120" w:type="dxa"/>
            <w:vAlign w:val="bottom"/>
            <w:tcBorders>
              <w:bottom w:val="single" w:sz="8" w:color="D4EEF4"/>
            </w:tcBorders>
            <w:shd w:val="clear" w:color="auto" w:fill="D4EEF4"/>
          </w:tcPr>
          <w:p>
            <w:pPr>
              <w:spacing w:after="0"/>
              <w:rPr>
                <w:sz w:val="22"/>
                <w:szCs w:val="22"/>
                <w:color w:val="auto"/>
              </w:rPr>
            </w:pPr>
          </w:p>
        </w:tc>
        <w:tc>
          <w:tcPr>
            <w:tcW w:w="60" w:type="dxa"/>
            <w:vAlign w:val="bottom"/>
            <w:tcBorders>
              <w:bottom w:val="single" w:sz="8" w:color="D4EEF4"/>
            </w:tcBorders>
            <w:shd w:val="clear" w:color="auto" w:fill="D4EEF4"/>
          </w:tcPr>
          <w:p>
            <w:pPr>
              <w:spacing w:after="0"/>
              <w:rPr>
                <w:sz w:val="22"/>
                <w:szCs w:val="22"/>
                <w:color w:val="auto"/>
              </w:rPr>
            </w:pPr>
          </w:p>
        </w:tc>
        <w:tc>
          <w:tcPr>
            <w:tcW w:w="140" w:type="dxa"/>
            <w:vAlign w:val="bottom"/>
            <w:tcBorders>
              <w:bottom w:val="single" w:sz="8" w:color="auto"/>
            </w:tcBorders>
            <w:shd w:val="clear" w:color="auto" w:fill="D4EEF4"/>
          </w:tcPr>
          <w:p>
            <w:pPr>
              <w:spacing w:after="0"/>
              <w:rPr>
                <w:sz w:val="22"/>
                <w:szCs w:val="22"/>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100" w:type="dxa"/>
            <w:vAlign w:val="bottom"/>
            <w:tcBorders>
              <w:bottom w:val="single" w:sz="8" w:color="D4EEF4"/>
            </w:tcBorders>
            <w:shd w:val="clear" w:color="auto" w:fill="D4EEF4"/>
          </w:tcPr>
          <w:p>
            <w:pPr>
              <w:spacing w:after="0"/>
              <w:rPr>
                <w:sz w:val="22"/>
                <w:szCs w:val="22"/>
                <w:color w:val="auto"/>
              </w:rPr>
            </w:pPr>
          </w:p>
        </w:tc>
      </w:tr>
      <w:tr>
        <w:trPr>
          <w:trHeight w:val="214"/>
        </w:trPr>
        <w:tc>
          <w:tcPr>
            <w:tcW w:w="6200" w:type="dxa"/>
            <w:vAlign w:val="bottom"/>
            <w:tcBorders>
              <w:bottom w:val="single" w:sz="8" w:color="D4EEF4"/>
            </w:tcBorders>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460" w:type="dxa"/>
            <w:vAlign w:val="bottom"/>
            <w:tcBorders>
              <w:bottom w:val="single" w:sz="8" w:color="D4EE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235,828</w:t>
            </w:r>
          </w:p>
        </w:tc>
        <w:tc>
          <w:tcPr>
            <w:tcW w:w="140" w:type="dxa"/>
            <w:vAlign w:val="bottom"/>
            <w:tcBorders>
              <w:bottom w:val="single" w:sz="8" w:color="D4EEF4"/>
            </w:tcBorders>
          </w:tcPr>
          <w:p>
            <w:pPr>
              <w:spacing w:after="0"/>
              <w:rPr>
                <w:sz w:val="18"/>
                <w:szCs w:val="18"/>
                <w:color w:val="auto"/>
              </w:rPr>
            </w:pPr>
          </w:p>
        </w:tc>
        <w:tc>
          <w:tcPr>
            <w:tcW w:w="220" w:type="dxa"/>
            <w:vAlign w:val="bottom"/>
            <w:tcBorders>
              <w:bottom w:val="single" w:sz="8" w:color="D4EE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220,813</w:t>
            </w:r>
          </w:p>
        </w:tc>
        <w:tc>
          <w:tcPr>
            <w:tcW w:w="100" w:type="dxa"/>
            <w:vAlign w:val="bottom"/>
            <w:tcBorders>
              <w:bottom w:val="single" w:sz="8" w:color="D4EEF4"/>
            </w:tcBorders>
          </w:tcPr>
          <w:p>
            <w:pPr>
              <w:spacing w:after="0"/>
              <w:rPr>
                <w:sz w:val="18"/>
                <w:szCs w:val="18"/>
                <w:color w:val="auto"/>
              </w:rPr>
            </w:pPr>
          </w:p>
        </w:tc>
        <w:tc>
          <w:tcPr>
            <w:tcW w:w="120" w:type="dxa"/>
            <w:vAlign w:val="bottom"/>
            <w:tcBorders>
              <w:bottom w:val="single" w:sz="8" w:color="D4EEF4"/>
            </w:tcBorders>
          </w:tcPr>
          <w:p>
            <w:pPr>
              <w:spacing w:after="0"/>
              <w:rPr>
                <w:sz w:val="18"/>
                <w:szCs w:val="18"/>
                <w:color w:val="auto"/>
              </w:rPr>
            </w:pPr>
          </w:p>
        </w:tc>
        <w:tc>
          <w:tcPr>
            <w:tcW w:w="60" w:type="dxa"/>
            <w:vAlign w:val="bottom"/>
            <w:tcBorders>
              <w:bottom w:val="single" w:sz="8" w:color="D4EE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154,937</w:t>
            </w:r>
          </w:p>
        </w:tc>
        <w:tc>
          <w:tcPr>
            <w:tcW w:w="100" w:type="dxa"/>
            <w:vAlign w:val="bottom"/>
            <w:tcBorders>
              <w:bottom w:val="single" w:sz="8" w:color="D4EEF4"/>
            </w:tcBorders>
          </w:tcPr>
          <w:p>
            <w:pPr>
              <w:spacing w:after="0"/>
              <w:rPr>
                <w:sz w:val="18"/>
                <w:szCs w:val="18"/>
                <w:color w:val="auto"/>
              </w:rPr>
            </w:pPr>
          </w:p>
        </w:tc>
      </w:tr>
      <w:tr>
        <w:trPr>
          <w:trHeight w:val="234"/>
        </w:trPr>
        <w:tc>
          <w:tcPr>
            <w:tcW w:w="62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INCOME FROM OPERATIONS</w:t>
            </w:r>
          </w:p>
        </w:tc>
        <w:tc>
          <w:tcPr>
            <w:tcW w:w="460" w:type="dxa"/>
            <w:vAlign w:val="bottom"/>
            <w:shd w:val="clear" w:color="auto" w:fill="D4EEF4"/>
          </w:tcPr>
          <w:p>
            <w:pPr>
              <w:spacing w:after="0"/>
              <w:rPr>
                <w:sz w:val="20"/>
                <w:szCs w:val="20"/>
                <w:color w:val="auto"/>
              </w:rPr>
            </w:pPr>
          </w:p>
        </w:tc>
        <w:tc>
          <w:tcPr>
            <w:tcW w:w="220" w:type="dxa"/>
            <w:vAlign w:val="bottom"/>
            <w:shd w:val="clear" w:color="auto" w:fill="D4EEF4"/>
          </w:tcPr>
          <w:p>
            <w:pPr>
              <w:spacing w:after="0"/>
              <w:rPr>
                <w:sz w:val="20"/>
                <w:szCs w:val="20"/>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60,620</w:t>
            </w:r>
          </w:p>
        </w:tc>
        <w:tc>
          <w:tcPr>
            <w:tcW w:w="140" w:type="dxa"/>
            <w:vAlign w:val="bottom"/>
            <w:shd w:val="clear" w:color="auto" w:fill="D4EEF4"/>
          </w:tcPr>
          <w:p>
            <w:pPr>
              <w:spacing w:after="0"/>
              <w:rPr>
                <w:sz w:val="20"/>
                <w:szCs w:val="20"/>
                <w:color w:val="auto"/>
              </w:rPr>
            </w:pPr>
          </w:p>
        </w:tc>
        <w:tc>
          <w:tcPr>
            <w:tcW w:w="220" w:type="dxa"/>
            <w:vAlign w:val="bottom"/>
            <w:shd w:val="clear" w:color="auto" w:fill="D4EEF4"/>
          </w:tcPr>
          <w:p>
            <w:pPr>
              <w:spacing w:after="0"/>
              <w:rPr>
                <w:sz w:val="20"/>
                <w:szCs w:val="20"/>
                <w:color w:val="auto"/>
              </w:rPr>
            </w:pPr>
          </w:p>
        </w:tc>
        <w:tc>
          <w:tcPr>
            <w:tcW w:w="140" w:type="dxa"/>
            <w:vAlign w:val="bottom"/>
            <w:shd w:val="clear" w:color="auto" w:fill="D4EEF4"/>
          </w:tcPr>
          <w:p>
            <w:pPr>
              <w:spacing w:after="0"/>
              <w:rPr>
                <w:sz w:val="20"/>
                <w:szCs w:val="20"/>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20,921</w:t>
            </w:r>
          </w:p>
        </w:tc>
        <w:tc>
          <w:tcPr>
            <w:tcW w:w="100" w:type="dxa"/>
            <w:vAlign w:val="bottom"/>
            <w:shd w:val="clear" w:color="auto" w:fill="D4EEF4"/>
          </w:tcPr>
          <w:p>
            <w:pPr>
              <w:spacing w:after="0"/>
              <w:rPr>
                <w:sz w:val="20"/>
                <w:szCs w:val="20"/>
                <w:color w:val="auto"/>
              </w:rPr>
            </w:pPr>
          </w:p>
        </w:tc>
        <w:tc>
          <w:tcPr>
            <w:tcW w:w="120" w:type="dxa"/>
            <w:vAlign w:val="bottom"/>
            <w:shd w:val="clear" w:color="auto" w:fill="D4EEF4"/>
          </w:tcPr>
          <w:p>
            <w:pPr>
              <w:spacing w:after="0"/>
              <w:rPr>
                <w:sz w:val="20"/>
                <w:szCs w:val="20"/>
                <w:color w:val="auto"/>
              </w:rPr>
            </w:pPr>
          </w:p>
        </w:tc>
        <w:tc>
          <w:tcPr>
            <w:tcW w:w="60" w:type="dxa"/>
            <w:vAlign w:val="bottom"/>
            <w:shd w:val="clear" w:color="auto" w:fill="D4EEF4"/>
          </w:tcPr>
          <w:p>
            <w:pPr>
              <w:spacing w:after="0"/>
              <w:rPr>
                <w:sz w:val="20"/>
                <w:szCs w:val="20"/>
                <w:color w:val="auto"/>
              </w:rPr>
            </w:pPr>
          </w:p>
        </w:tc>
        <w:tc>
          <w:tcPr>
            <w:tcW w:w="140" w:type="dxa"/>
            <w:vAlign w:val="bottom"/>
            <w:shd w:val="clear" w:color="auto" w:fill="D4EEF4"/>
          </w:tcPr>
          <w:p>
            <w:pPr>
              <w:spacing w:after="0"/>
              <w:rPr>
                <w:sz w:val="20"/>
                <w:szCs w:val="20"/>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43,423</w:t>
            </w:r>
          </w:p>
        </w:tc>
        <w:tc>
          <w:tcPr>
            <w:tcW w:w="100" w:type="dxa"/>
            <w:vAlign w:val="bottom"/>
            <w:shd w:val="clear" w:color="auto" w:fill="D4EEF4"/>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(EXPENSE)/ INCOME</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4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9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(25,510)</w:t>
            </w: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(21,872)</w:t>
            </w: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(9,505)</w:t>
            </w: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(losses)/income</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(6,747)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100" w:type="dxa"/>
            <w:vAlign w:val="bottom"/>
          </w:tcPr>
          <w:p>
            <w:pPr>
              <w:spacing w:after="0"/>
              <w:rPr>
                <w:sz w:val="21"/>
                <w:szCs w:val="21"/>
                <w:color w:val="auto"/>
              </w:rPr>
            </w:pPr>
          </w:p>
        </w:tc>
      </w:tr>
      <w:tr>
        <w:trPr>
          <w:trHeight w:val="254"/>
        </w:trPr>
        <w:tc>
          <w:tcPr>
            <w:tcW w:w="6200" w:type="dxa"/>
            <w:vAlign w:val="bottom"/>
            <w:tcBorders>
              <w:top w:val="single" w:sz="8" w:color="D4EEF4"/>
              <w:bottom w:val="single" w:sz="8" w:color="D4EEF4"/>
            </w:tcBorders>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Total other (expense)</w:t>
            </w:r>
          </w:p>
        </w:tc>
        <w:tc>
          <w:tcPr>
            <w:tcW w:w="460" w:type="dxa"/>
            <w:vAlign w:val="bottom"/>
            <w:tcBorders>
              <w:top w:val="single" w:sz="8" w:color="D4EEF4"/>
              <w:bottom w:val="single" w:sz="8" w:color="D4EEF4"/>
            </w:tcBorders>
            <w:shd w:val="clear" w:color="auto" w:fill="D4EEF4"/>
          </w:tcPr>
          <w:p>
            <w:pPr>
              <w:spacing w:after="0"/>
              <w:rPr>
                <w:sz w:val="22"/>
                <w:szCs w:val="22"/>
                <w:color w:val="auto"/>
              </w:rPr>
            </w:pPr>
          </w:p>
        </w:tc>
        <w:tc>
          <w:tcPr>
            <w:tcW w:w="220" w:type="dxa"/>
            <w:vAlign w:val="bottom"/>
            <w:tcBorders>
              <w:top w:val="single" w:sz="8" w:color="auto"/>
              <w:bottom w:val="single" w:sz="8" w:color="auto"/>
            </w:tcBorders>
            <w:shd w:val="clear" w:color="auto" w:fill="D4EEF4"/>
          </w:tcPr>
          <w:p>
            <w:pPr>
              <w:spacing w:after="0"/>
              <w:rPr>
                <w:sz w:val="22"/>
                <w:szCs w:val="22"/>
                <w:color w:val="auto"/>
              </w:rPr>
            </w:pP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(32,257)</w:t>
            </w:r>
          </w:p>
        </w:tc>
        <w:tc>
          <w:tcPr>
            <w:tcW w:w="140" w:type="dxa"/>
            <w:vAlign w:val="bottom"/>
            <w:tcBorders>
              <w:top w:val="single" w:sz="8" w:color="D4EEF4"/>
              <w:bottom w:val="single" w:sz="8" w:color="D4EEF4"/>
            </w:tcBorders>
            <w:shd w:val="clear" w:color="auto" w:fill="D4EEF4"/>
          </w:tcPr>
          <w:p>
            <w:pPr>
              <w:spacing w:after="0"/>
              <w:rPr>
                <w:sz w:val="22"/>
                <w:szCs w:val="22"/>
                <w:color w:val="auto"/>
              </w:rPr>
            </w:pPr>
          </w:p>
        </w:tc>
        <w:tc>
          <w:tcPr>
            <w:tcW w:w="220" w:type="dxa"/>
            <w:vAlign w:val="bottom"/>
            <w:tcBorders>
              <w:top w:val="single" w:sz="8" w:color="D4EEF4"/>
              <w:bottom w:val="single" w:sz="8" w:color="D4EEF4"/>
            </w:tcBorders>
            <w:shd w:val="clear" w:color="auto" w:fill="D4EEF4"/>
          </w:tcPr>
          <w:p>
            <w:pPr>
              <w:spacing w:after="0"/>
              <w:rPr>
                <w:sz w:val="22"/>
                <w:szCs w:val="22"/>
                <w:color w:val="auto"/>
              </w:rPr>
            </w:pPr>
          </w:p>
        </w:tc>
        <w:tc>
          <w:tcPr>
            <w:tcW w:w="140" w:type="dxa"/>
            <w:vAlign w:val="bottom"/>
            <w:tcBorders>
              <w:top w:val="single" w:sz="8" w:color="auto"/>
              <w:bottom w:val="single" w:sz="8" w:color="auto"/>
            </w:tcBorders>
            <w:shd w:val="clear" w:color="auto" w:fill="D4EEF4"/>
          </w:tcPr>
          <w:p>
            <w:pPr>
              <w:spacing w:after="0"/>
              <w:rPr>
                <w:sz w:val="22"/>
                <w:szCs w:val="22"/>
                <w:color w:val="auto"/>
              </w:rPr>
            </w:pPr>
          </w:p>
        </w:tc>
        <w:tc>
          <w:tcPr>
            <w:tcW w:w="70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99"/>
              </w:rPr>
              <w:t>(24,061)</w:t>
            </w:r>
          </w:p>
        </w:tc>
        <w:tc>
          <w:tcPr>
            <w:tcW w:w="100" w:type="dxa"/>
            <w:vAlign w:val="bottom"/>
            <w:tcBorders>
              <w:top w:val="single" w:sz="8" w:color="D4EEF4"/>
              <w:bottom w:val="single" w:sz="8" w:color="D4EEF4"/>
            </w:tcBorders>
            <w:shd w:val="clear" w:color="auto" w:fill="D4EEF4"/>
          </w:tcPr>
          <w:p>
            <w:pPr>
              <w:spacing w:after="0"/>
              <w:rPr>
                <w:sz w:val="22"/>
                <w:szCs w:val="22"/>
                <w:color w:val="auto"/>
              </w:rPr>
            </w:pPr>
          </w:p>
        </w:tc>
        <w:tc>
          <w:tcPr>
            <w:tcW w:w="120" w:type="dxa"/>
            <w:vAlign w:val="bottom"/>
            <w:tcBorders>
              <w:top w:val="single" w:sz="8" w:color="D4EEF4"/>
              <w:bottom w:val="single" w:sz="8" w:color="D4EEF4"/>
            </w:tcBorders>
            <w:shd w:val="clear" w:color="auto" w:fill="D4EEF4"/>
          </w:tcPr>
          <w:p>
            <w:pPr>
              <w:spacing w:after="0"/>
              <w:rPr>
                <w:sz w:val="22"/>
                <w:szCs w:val="22"/>
                <w:color w:val="auto"/>
              </w:rPr>
            </w:pPr>
          </w:p>
        </w:tc>
        <w:tc>
          <w:tcPr>
            <w:tcW w:w="60" w:type="dxa"/>
            <w:vAlign w:val="bottom"/>
            <w:tcBorders>
              <w:top w:val="single" w:sz="8" w:color="D4EEF4"/>
              <w:bottom w:val="single" w:sz="8" w:color="D4EEF4"/>
            </w:tcBorders>
            <w:shd w:val="clear" w:color="auto" w:fill="D4EEF4"/>
          </w:tcPr>
          <w:p>
            <w:pPr>
              <w:spacing w:after="0"/>
              <w:rPr>
                <w:sz w:val="22"/>
                <w:szCs w:val="22"/>
                <w:color w:val="auto"/>
              </w:rPr>
            </w:pPr>
          </w:p>
        </w:tc>
        <w:tc>
          <w:tcPr>
            <w:tcW w:w="140" w:type="dxa"/>
            <w:vAlign w:val="bottom"/>
            <w:tcBorders>
              <w:top w:val="single" w:sz="8" w:color="auto"/>
              <w:bottom w:val="single" w:sz="8" w:color="auto"/>
            </w:tcBorders>
            <w:shd w:val="clear" w:color="auto" w:fill="D4EEF4"/>
          </w:tcPr>
          <w:p>
            <w:pPr>
              <w:spacing w:after="0"/>
              <w:rPr>
                <w:sz w:val="22"/>
                <w:szCs w:val="22"/>
                <w:color w:val="auto"/>
              </w:rPr>
            </w:pPr>
          </w:p>
        </w:tc>
        <w:tc>
          <w:tcPr>
            <w:tcW w:w="70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(7,960)</w:t>
            </w:r>
          </w:p>
        </w:tc>
        <w:tc>
          <w:tcPr>
            <w:tcW w:w="100" w:type="dxa"/>
            <w:vAlign w:val="bottom"/>
            <w:tcBorders>
              <w:top w:val="single" w:sz="8" w:color="D4EEF4"/>
              <w:bottom w:val="single" w:sz="8" w:color="D4EEF4"/>
            </w:tcBorders>
            <w:shd w:val="clear" w:color="auto" w:fill="D4EEF4"/>
          </w:tcPr>
          <w:p>
            <w:pPr>
              <w:spacing w:after="0"/>
              <w:rPr>
                <w:sz w:val="22"/>
                <w:szCs w:val="22"/>
                <w:color w:val="auto"/>
              </w:rPr>
            </w:pPr>
          </w:p>
        </w:tc>
      </w:tr>
      <w:tr>
        <w:trPr>
          <w:trHeight w:val="214"/>
        </w:trPr>
        <w:tc>
          <w:tcPr>
            <w:tcW w:w="6200" w:type="dxa"/>
            <w:vAlign w:val="bottom"/>
          </w:tcPr>
          <w:p>
            <w:pPr>
              <w:ind w:left="200"/>
              <w:spacing w:after="0" w:line="214" w:lineRule="exact"/>
              <w:rPr>
                <w:sz w:val="20"/>
                <w:szCs w:val="20"/>
                <w:color w:val="auto"/>
              </w:rPr>
            </w:pPr>
            <w:r>
              <w:rPr>
                <w:rFonts w:ascii="Times New Roman" w:cs="Times New Roman" w:eastAsia="Times New Roman" w:hAnsi="Times New Roman"/>
                <w:sz w:val="20"/>
                <w:szCs w:val="20"/>
                <w:color w:val="auto"/>
              </w:rPr>
              <w:t>Net income/(loss) before income taxes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28,363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35,463</w:t>
            </w:r>
          </w:p>
        </w:tc>
        <w:tc>
          <w:tcPr>
            <w:tcW w:w="100" w:type="dxa"/>
            <w:vAlign w:val="bottom"/>
          </w:tcPr>
          <w:p>
            <w:pPr>
              <w:spacing w:after="0"/>
              <w:rPr>
                <w:sz w:val="18"/>
                <w:szCs w:val="18"/>
                <w:color w:val="auto"/>
              </w:rPr>
            </w:pPr>
          </w:p>
        </w:tc>
      </w:tr>
      <w:tr>
        <w:trPr>
          <w:trHeight w:val="26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460" w:type="dxa"/>
            <w:vAlign w:val="bottom"/>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9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(8,696)</w:t>
            </w:r>
          </w:p>
        </w:tc>
        <w:tc>
          <w:tcPr>
            <w:tcW w:w="22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(4,632)</w:t>
            </w:r>
          </w:p>
        </w:tc>
        <w:tc>
          <w:tcPr>
            <w:tcW w:w="120" w:type="dxa"/>
            <w:vAlign w:val="bottom"/>
            <w:shd w:val="clear" w:color="auto" w:fill="D4EEF4"/>
          </w:tcPr>
          <w:p>
            <w:pPr>
              <w:spacing w:after="0"/>
              <w:rPr>
                <w:sz w:val="22"/>
                <w:szCs w:val="22"/>
                <w:color w:val="auto"/>
              </w:rPr>
            </w:pPr>
          </w:p>
        </w:tc>
        <w:tc>
          <w:tcPr>
            <w:tcW w:w="6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(6,064)</w:t>
            </w:r>
          </w:p>
        </w:tc>
      </w:tr>
      <w:tr>
        <w:trPr>
          <w:trHeight w:val="214"/>
        </w:trPr>
        <w:tc>
          <w:tcPr>
            <w:tcW w:w="6200" w:type="dxa"/>
            <w:vAlign w:val="bottom"/>
            <w:tcBorders>
              <w:top w:val="single" w:sz="8" w:color="D4EEF4"/>
            </w:tcBorders>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NET INCOME/(LOSS)</w:t>
            </w:r>
          </w:p>
        </w:tc>
        <w:tc>
          <w:tcPr>
            <w:tcW w:w="460" w:type="dxa"/>
            <w:vAlign w:val="bottom"/>
            <w:tcBorders>
              <w:top w:val="single" w:sz="8" w:color="D4EEF4"/>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19,667</w:t>
            </w:r>
          </w:p>
        </w:tc>
        <w:tc>
          <w:tcPr>
            <w:tcW w:w="140" w:type="dxa"/>
            <w:vAlign w:val="bottom"/>
            <w:tcBorders>
              <w:top w:val="single" w:sz="8" w:color="D4EEF4"/>
            </w:tcBorders>
          </w:tcPr>
          <w:p>
            <w:pPr>
              <w:spacing w:after="0"/>
              <w:rPr>
                <w:sz w:val="18"/>
                <w:szCs w:val="18"/>
                <w:color w:val="auto"/>
              </w:rPr>
            </w:pPr>
          </w:p>
        </w:tc>
        <w:tc>
          <w:tcPr>
            <w:tcW w:w="220" w:type="dxa"/>
            <w:vAlign w:val="bottom"/>
            <w:tcBorders>
              <w:top w:val="single" w:sz="8" w:color="D4EEF4"/>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(7,772</w:t>
            </w:r>
          </w:p>
        </w:tc>
        <w:tc>
          <w:tcPr>
            <w:tcW w:w="100" w:type="dxa"/>
            <w:vAlign w:val="bottom"/>
            <w:tcBorders>
              <w:top w:val="single" w:sz="8" w:color="D4EE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D4EEF4"/>
            </w:tcBorders>
          </w:tcPr>
          <w:p>
            <w:pPr>
              <w:spacing w:after="0"/>
              <w:rPr>
                <w:sz w:val="18"/>
                <w:szCs w:val="18"/>
                <w:color w:val="auto"/>
              </w:rPr>
            </w:pPr>
          </w:p>
        </w:tc>
        <w:tc>
          <w:tcPr>
            <w:tcW w:w="60" w:type="dxa"/>
            <w:vAlign w:val="bottom"/>
            <w:tcBorders>
              <w:top w:val="single" w:sz="8" w:color="D4EEF4"/>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29,399</w:t>
            </w:r>
          </w:p>
        </w:tc>
        <w:tc>
          <w:tcPr>
            <w:tcW w:w="100" w:type="dxa"/>
            <w:vAlign w:val="bottom"/>
            <w:tcBorders>
              <w:top w:val="single" w:sz="8" w:color="D4EEF4"/>
            </w:tcBorders>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6200" w:type="dxa"/>
            <w:vAlign w:val="bottom"/>
            <w:shd w:val="clear" w:color="auto" w:fill="D4EEF4"/>
          </w:tcPr>
          <w:p>
            <w:pPr>
              <w:ind w:left="200"/>
              <w:spacing w:after="0" w:line="225" w:lineRule="exact"/>
              <w:rPr>
                <w:sz w:val="20"/>
                <w:szCs w:val="20"/>
                <w:color w:val="auto"/>
              </w:rPr>
            </w:pPr>
            <w:r>
              <w:rPr>
                <w:rFonts w:ascii="Times New Roman" w:cs="Times New Roman" w:eastAsia="Times New Roman" w:hAnsi="Times New Roman"/>
                <w:sz w:val="20"/>
                <w:szCs w:val="20"/>
                <w:color w:val="auto"/>
              </w:rPr>
              <w:t>Less: net (income)/loss attributable to noncontrolling interests in P10</w:t>
            </w:r>
          </w:p>
        </w:tc>
        <w:tc>
          <w:tcPr>
            <w:tcW w:w="4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78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69"/>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Intermediate</w:t>
            </w:r>
          </w:p>
        </w:tc>
        <w:tc>
          <w:tcPr>
            <w:tcW w:w="460" w:type="dxa"/>
            <w:vAlign w:val="bottom"/>
            <w:shd w:val="clear" w:color="auto" w:fill="D4EEF4"/>
          </w:tcPr>
          <w:p>
            <w:pPr>
              <w:spacing w:after="0"/>
              <w:rPr>
                <w:sz w:val="23"/>
                <w:szCs w:val="23"/>
                <w:color w:val="auto"/>
              </w:rPr>
            </w:pPr>
          </w:p>
        </w:tc>
        <w:tc>
          <w:tcPr>
            <w:tcW w:w="220" w:type="dxa"/>
            <w:vAlign w:val="bottom"/>
            <w:shd w:val="clear" w:color="auto" w:fill="D4EEF4"/>
          </w:tcPr>
          <w:p>
            <w:pPr>
              <w:spacing w:after="0"/>
              <w:rPr>
                <w:sz w:val="23"/>
                <w:szCs w:val="23"/>
                <w:color w:val="auto"/>
              </w:rPr>
            </w:pPr>
          </w:p>
        </w:tc>
        <w:tc>
          <w:tcPr>
            <w:tcW w:w="9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(967)</w:t>
            </w:r>
          </w:p>
        </w:tc>
        <w:tc>
          <w:tcPr>
            <w:tcW w:w="22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10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6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(193)</w:t>
            </w:r>
          </w:p>
        </w:tc>
      </w:tr>
      <w:tr>
        <w:trPr>
          <w:trHeight w:val="214"/>
        </w:trPr>
        <w:tc>
          <w:tcPr>
            <w:tcW w:w="6200" w:type="dxa"/>
            <w:vAlign w:val="bottom"/>
            <w:tcBorders>
              <w:top w:val="single" w:sz="8" w:color="D4EEF4"/>
            </w:tcBorders>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NET INCOME/(LOSS) ATTRIBUTABLE TO P10</w:t>
            </w:r>
          </w:p>
        </w:tc>
        <w:tc>
          <w:tcPr>
            <w:tcW w:w="460" w:type="dxa"/>
            <w:vAlign w:val="bottom"/>
            <w:tcBorders>
              <w:top w:val="single" w:sz="8" w:color="D4EEF4"/>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18,700</w:t>
            </w:r>
          </w:p>
        </w:tc>
        <w:tc>
          <w:tcPr>
            <w:tcW w:w="140" w:type="dxa"/>
            <w:vAlign w:val="bottom"/>
            <w:tcBorders>
              <w:top w:val="single" w:sz="8" w:color="D4EEF4"/>
            </w:tcBorders>
          </w:tcPr>
          <w:p>
            <w:pPr>
              <w:spacing w:after="0"/>
              <w:rPr>
                <w:sz w:val="18"/>
                <w:szCs w:val="18"/>
                <w:color w:val="auto"/>
              </w:rPr>
            </w:pPr>
          </w:p>
        </w:tc>
        <w:tc>
          <w:tcPr>
            <w:tcW w:w="220" w:type="dxa"/>
            <w:vAlign w:val="bottom"/>
            <w:tcBorders>
              <w:top w:val="single" w:sz="8" w:color="D4EEF4"/>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(7,133</w:t>
            </w:r>
          </w:p>
        </w:tc>
        <w:tc>
          <w:tcPr>
            <w:tcW w:w="100" w:type="dxa"/>
            <w:vAlign w:val="bottom"/>
            <w:tcBorders>
              <w:top w:val="single" w:sz="8" w:color="D4EE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D4EEF4"/>
            </w:tcBorders>
          </w:tcPr>
          <w:p>
            <w:pPr>
              <w:spacing w:after="0"/>
              <w:rPr>
                <w:sz w:val="18"/>
                <w:szCs w:val="18"/>
                <w:color w:val="auto"/>
              </w:rPr>
            </w:pPr>
          </w:p>
        </w:tc>
        <w:tc>
          <w:tcPr>
            <w:tcW w:w="60" w:type="dxa"/>
            <w:vAlign w:val="bottom"/>
            <w:tcBorders>
              <w:top w:val="single" w:sz="8" w:color="D4EEF4"/>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29,206</w:t>
            </w:r>
          </w:p>
        </w:tc>
        <w:tc>
          <w:tcPr>
            <w:tcW w:w="100" w:type="dxa"/>
            <w:vAlign w:val="bottom"/>
            <w:tcBorders>
              <w:top w:val="single" w:sz="8" w:color="D4EEF4"/>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62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Earnings/(loss) per share</w:t>
            </w:r>
          </w:p>
        </w:tc>
        <w:tc>
          <w:tcPr>
            <w:tcW w:w="4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78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earnings/(loss) per share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1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00" w:type="dxa"/>
            <w:vAlign w:val="bottom"/>
          </w:tcPr>
          <w:p>
            <w:pPr>
              <w:spacing w:after="0"/>
              <w:rPr>
                <w:sz w:val="21"/>
                <w:szCs w:val="21"/>
                <w:color w:val="auto"/>
              </w:rPr>
            </w:pPr>
          </w:p>
        </w:tc>
      </w:tr>
      <w:tr>
        <w:trPr>
          <w:trHeight w:val="244"/>
        </w:trPr>
        <w:tc>
          <w:tcPr>
            <w:tcW w:w="62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Diluted earnings/(loss) per share</w:t>
            </w:r>
          </w:p>
        </w:tc>
        <w:tc>
          <w:tcPr>
            <w:tcW w:w="68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40" w:type="dxa"/>
            <w:vAlign w:val="bottom"/>
            <w:shd w:val="clear" w:color="auto" w:fill="D4EEF4"/>
          </w:tcPr>
          <w:p>
            <w:pPr>
              <w:spacing w:after="0"/>
              <w:rPr>
                <w:sz w:val="21"/>
                <w:szCs w:val="21"/>
                <w:color w:val="auto"/>
              </w:rPr>
            </w:pPr>
          </w:p>
        </w:tc>
        <w:tc>
          <w:tcPr>
            <w:tcW w:w="3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shd w:val="clear" w:color="auto" w:fill="D4EEF4"/>
          </w:tcPr>
          <w:p>
            <w:pPr>
              <w:spacing w:after="0"/>
              <w:rPr>
                <w:sz w:val="21"/>
                <w:szCs w:val="21"/>
                <w:color w:val="auto"/>
              </w:rPr>
            </w:pPr>
          </w:p>
        </w:tc>
        <w:tc>
          <w:tcPr>
            <w:tcW w:w="2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100" w:type="dxa"/>
            <w:vAlign w:val="bottom"/>
            <w:shd w:val="clear" w:color="auto" w:fill="D4EEF4"/>
          </w:tcPr>
          <w:p>
            <w:pPr>
              <w:spacing w:after="0"/>
              <w:rPr>
                <w:sz w:val="21"/>
                <w:szCs w:val="21"/>
                <w:color w:val="auto"/>
              </w:rPr>
            </w:pPr>
          </w:p>
        </w:tc>
      </w:tr>
      <w:tr>
        <w:trPr>
          <w:trHeight w:val="26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 basic</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112,549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116,751</w:t>
            </w:r>
          </w:p>
        </w:tc>
        <w:tc>
          <w:tcPr>
            <w:tcW w:w="100" w:type="dxa"/>
            <w:vAlign w:val="bottom"/>
          </w:tcPr>
          <w:p>
            <w:pPr>
              <w:spacing w:after="0"/>
              <w:rPr>
                <w:sz w:val="23"/>
                <w:szCs w:val="23"/>
                <w:color w:val="auto"/>
              </w:rPr>
            </w:pPr>
          </w:p>
        </w:tc>
      </w:tr>
      <w:tr>
        <w:trPr>
          <w:trHeight w:val="267"/>
        </w:trPr>
        <w:tc>
          <w:tcPr>
            <w:tcW w:w="62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Weighted average shares outstanding, diluted</w:t>
            </w:r>
          </w:p>
        </w:tc>
        <w:tc>
          <w:tcPr>
            <w:tcW w:w="460" w:type="dxa"/>
            <w:vAlign w:val="bottom"/>
            <w:shd w:val="clear" w:color="auto" w:fill="D4EEF4"/>
          </w:tcPr>
          <w:p>
            <w:pPr>
              <w:spacing w:after="0"/>
              <w:rPr>
                <w:sz w:val="23"/>
                <w:szCs w:val="23"/>
                <w:color w:val="auto"/>
              </w:rPr>
            </w:pPr>
          </w:p>
        </w:tc>
        <w:tc>
          <w:tcPr>
            <w:tcW w:w="220" w:type="dxa"/>
            <w:vAlign w:val="bottom"/>
            <w:shd w:val="clear" w:color="auto" w:fill="D4EEF4"/>
          </w:tcPr>
          <w:p>
            <w:pPr>
              <w:spacing w:after="0"/>
              <w:rPr>
                <w:sz w:val="23"/>
                <w:szCs w:val="23"/>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120,375</w:t>
            </w:r>
          </w:p>
        </w:tc>
        <w:tc>
          <w:tcPr>
            <w:tcW w:w="140" w:type="dxa"/>
            <w:vAlign w:val="bottom"/>
            <w:shd w:val="clear" w:color="auto" w:fill="D4EEF4"/>
          </w:tcPr>
          <w:p>
            <w:pPr>
              <w:spacing w:after="0"/>
              <w:rPr>
                <w:sz w:val="23"/>
                <w:szCs w:val="23"/>
                <w:color w:val="auto"/>
              </w:rPr>
            </w:pPr>
          </w:p>
        </w:tc>
        <w:tc>
          <w:tcPr>
            <w:tcW w:w="22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10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6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121,655</w:t>
            </w:r>
          </w:p>
        </w:tc>
        <w:tc>
          <w:tcPr>
            <w:tcW w:w="100" w:type="dxa"/>
            <w:vAlign w:val="bottom"/>
            <w:shd w:val="clear" w:color="auto" w:fill="D4EEF4"/>
          </w:tcPr>
          <w:p>
            <w:pPr>
              <w:spacing w:after="0"/>
              <w:rPr>
                <w:sz w:val="23"/>
                <w:szCs w:val="23"/>
                <w:color w:val="auto"/>
              </w:rPr>
            </w:pPr>
          </w:p>
        </w:tc>
      </w:tr>
      <w:tr>
        <w:trPr>
          <w:trHeight w:val="266"/>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76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Changes in Equity</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Pr>
          <w:p>
            <w:pPr>
              <w:spacing w:after="0"/>
              <w:rPr>
                <w:sz w:val="14"/>
                <w:szCs w:val="14"/>
                <w:color w:val="auto"/>
              </w:rPr>
            </w:pPr>
          </w:p>
        </w:tc>
        <w:tc>
          <w:tcPr>
            <w:tcW w:w="2360" w:type="dxa"/>
            <w:vAlign w:val="bottom"/>
            <w:gridSpan w:val="7"/>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 - Class A</w:t>
            </w:r>
          </w:p>
        </w:tc>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 - Class B</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Non Controlling</w:t>
            </w:r>
          </w:p>
        </w:tc>
        <w:tc>
          <w:tcPr>
            <w:tcW w:w="16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0"/>
        </w:trPr>
        <w:tc>
          <w:tcPr>
            <w:tcW w:w="2380" w:type="dxa"/>
            <w:vAlign w:val="bottom"/>
          </w:tcPr>
          <w:p>
            <w:pPr>
              <w:spacing w:after="0"/>
              <w:rPr>
                <w:sz w:val="13"/>
                <w:szCs w:val="13"/>
                <w:color w:val="auto"/>
              </w:rPr>
            </w:pPr>
          </w:p>
        </w:tc>
        <w:tc>
          <w:tcPr>
            <w:tcW w:w="122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00" w:type="dxa"/>
            <w:vAlign w:val="bottom"/>
            <w:gridSpan w:val="2"/>
          </w:tcPr>
          <w:p>
            <w:pPr>
              <w:spacing w:after="0"/>
              <w:rPr>
                <w:sz w:val="13"/>
                <w:szCs w:val="13"/>
                <w:color w:val="auto"/>
              </w:rPr>
            </w:pPr>
          </w:p>
        </w:tc>
        <w:tc>
          <w:tcPr>
            <w:tcW w:w="122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gridSpan w:val="2"/>
          </w:tcPr>
          <w:p>
            <w:pPr>
              <w:spacing w:after="0"/>
              <w:rPr>
                <w:sz w:val="13"/>
                <w:szCs w:val="13"/>
                <w:color w:val="auto"/>
              </w:rPr>
            </w:pPr>
          </w:p>
        </w:tc>
        <w:tc>
          <w:tcPr>
            <w:tcW w:w="92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7"/>
              </w:rPr>
              <w:t>Paid-in-capital</w:t>
            </w: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0"/>
        </w:trPr>
        <w:tc>
          <w:tcPr>
            <w:tcW w:w="2380" w:type="dxa"/>
            <w:vAlign w:val="bottom"/>
            <w:tcBorders>
              <w:top w:val="single" w:sz="8" w:color="D4EEF4"/>
              <w:bottom w:val="single" w:sz="8" w:color="D4EEF4"/>
              <w:right w:val="single" w:sz="8" w:color="D4EEF4"/>
            </w:tcBorders>
            <w:shd w:val="clear" w:color="auto" w:fill="D4EEF4"/>
          </w:tcPr>
          <w:p>
            <w:pPr>
              <w:spacing w:after="0"/>
              <w:rPr>
                <w:sz w:val="20"/>
                <w:szCs w:val="20"/>
                <w:color w:val="auto"/>
              </w:rPr>
            </w:pPr>
            <w:r>
              <w:rPr>
                <w:rFonts w:ascii="Calibri" w:cs="Calibri" w:eastAsia="Calibri" w:hAnsi="Calibri"/>
                <w:sz w:val="12"/>
                <w:szCs w:val="12"/>
                <w:b w:val="1"/>
                <w:bCs w:val="1"/>
                <w:color w:val="auto"/>
              </w:rPr>
              <w:t>Balance at December 31, 2021</w:t>
            </w:r>
          </w:p>
        </w:tc>
        <w:tc>
          <w:tcPr>
            <w:tcW w:w="9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34,464</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bottom w:val="single" w:sz="8" w:color="auto"/>
            </w:tcBorders>
            <w:shd w:val="clear" w:color="auto" w:fill="D4EEF4"/>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34</w:t>
            </w: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94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82,727</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bottom w:val="single" w:sz="8" w:color="auto"/>
            </w:tcBorders>
            <w:shd w:val="clear" w:color="auto" w:fill="D4EEF4"/>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83</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92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123</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220" w:type="dxa"/>
            <w:vAlign w:val="bottom"/>
            <w:tcBorders>
              <w:top w:val="single" w:sz="8" w:color="auto"/>
              <w:left w:val="single" w:sz="8" w:color="D4EEF4"/>
              <w:bottom w:val="single" w:sz="8" w:color="auto"/>
            </w:tcBorders>
            <w:shd w:val="clear" w:color="auto" w:fill="D4EEF4"/>
          </w:tcPr>
          <w:p>
            <w:pPr>
              <w:jc w:val="right"/>
              <w:ind w:right="155"/>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(273)</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 w:type="dxa"/>
            <w:vAlign w:val="bottom"/>
            <w:tcBorders>
              <w:top w:val="single" w:sz="8" w:color="auto"/>
              <w:left w:val="single" w:sz="8" w:color="D4EEF4"/>
              <w:bottom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86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650,405</w:t>
            </w:r>
          </w:p>
        </w:tc>
        <w:tc>
          <w:tcPr>
            <w:tcW w:w="20" w:type="dxa"/>
            <w:vAlign w:val="bottom"/>
          </w:tcPr>
          <w:p>
            <w:pPr>
              <w:spacing w:after="0"/>
              <w:rPr>
                <w:sz w:val="18"/>
                <w:szCs w:val="18"/>
                <w:color w:val="auto"/>
              </w:rPr>
            </w:pPr>
          </w:p>
        </w:tc>
        <w:tc>
          <w:tcPr>
            <w:tcW w:w="12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1"/>
                <w:szCs w:val="11"/>
                <w:color w:val="auto"/>
                <w:w w:val="70"/>
              </w:rPr>
              <w:t>$</w:t>
            </w:r>
          </w:p>
        </w:tc>
        <w:tc>
          <w:tcPr>
            <w:tcW w:w="84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(255,085)</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bottom w:val="single" w:sz="8" w:color="auto"/>
            </w:tcBorders>
            <w:shd w:val="clear" w:color="auto" w:fill="D4EEF4"/>
          </w:tcPr>
          <w:p>
            <w:pPr>
              <w:jc w:val="right"/>
              <w:ind w:right="46"/>
              <w:spacing w:after="0"/>
              <w:rPr>
                <w:sz w:val="20"/>
                <w:szCs w:val="20"/>
                <w:color w:val="auto"/>
              </w:rPr>
            </w:pPr>
            <w:r>
              <w:rPr>
                <w:rFonts w:ascii="Calibri" w:cs="Calibri" w:eastAsia="Calibri" w:hAnsi="Calibri"/>
                <w:sz w:val="5"/>
                <w:szCs w:val="5"/>
                <w:color w:val="auto"/>
                <w:w w:val="76"/>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auto"/>
              <w:bottom w:val="single" w:sz="8" w:color="auto"/>
            </w:tcBorders>
            <w:shd w:val="clear" w:color="auto" w:fill="D4EEF4"/>
          </w:tcPr>
          <w:p>
            <w:pPr>
              <w:jc w:val="right"/>
              <w:ind w:right="95"/>
              <w:spacing w:after="0"/>
              <w:rPr>
                <w:sz w:val="20"/>
                <w:szCs w:val="20"/>
                <w:color w:val="auto"/>
              </w:rPr>
            </w:pPr>
            <w:r>
              <w:rPr>
                <w:rFonts w:ascii="Calibri" w:cs="Calibri" w:eastAsia="Calibri" w:hAnsi="Calibri"/>
                <w:sz w:val="5"/>
                <w:szCs w:val="5"/>
                <w:color w:val="auto"/>
                <w:w w:val="76"/>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12"/>
                <w:szCs w:val="12"/>
                <w:color w:val="auto"/>
              </w:rPr>
              <w:t>395,164</w:t>
            </w:r>
          </w:p>
        </w:tc>
        <w:tc>
          <w:tcPr>
            <w:tcW w:w="140" w:type="dxa"/>
            <w:vAlign w:val="bottom"/>
            <w:tcBorders>
              <w:top w:val="single" w:sz="8" w:color="D4EEF4"/>
              <w:bottom w:val="single" w:sz="8" w:color="D4EEF4"/>
            </w:tcBorders>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380" w:type="dxa"/>
            <w:vAlign w:val="bottom"/>
            <w:tcBorders>
              <w:right w:val="single" w:sz="8" w:color="E8E5E2"/>
            </w:tcBorders>
          </w:tcPr>
          <w:p>
            <w:pPr>
              <w:ind w:left="200"/>
              <w:spacing w:after="0" w:line="107" w:lineRule="exact"/>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0"/>
                <w:szCs w:val="10"/>
                <w:color w:val="auto"/>
              </w:rPr>
            </w:pPr>
          </w:p>
        </w:tc>
        <w:tc>
          <w:tcPr>
            <w:tcW w:w="140" w:type="dxa"/>
            <w:vAlign w:val="bottom"/>
            <w:tcBorders>
              <w:right w:val="single" w:sz="8" w:color="E8E5E2"/>
            </w:tcBorders>
          </w:tcPr>
          <w:p>
            <w:pPr>
              <w:spacing w:after="0"/>
              <w:rPr>
                <w:sz w:val="10"/>
                <w:szCs w:val="10"/>
                <w:color w:val="auto"/>
              </w:rPr>
            </w:pPr>
          </w:p>
        </w:tc>
        <w:tc>
          <w:tcPr>
            <w:tcW w:w="120" w:type="dxa"/>
            <w:vAlign w:val="bottom"/>
            <w:tcBorders>
              <w:left w:val="single" w:sz="8" w:color="E8E5E2"/>
            </w:tcBorders>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8E5E2"/>
            </w:tcBorders>
          </w:tcPr>
          <w:p>
            <w:pPr>
              <w:spacing w:after="0"/>
              <w:rPr>
                <w:sz w:val="10"/>
                <w:szCs w:val="10"/>
                <w:color w:val="auto"/>
              </w:rPr>
            </w:pPr>
          </w:p>
        </w:tc>
        <w:tc>
          <w:tcPr>
            <w:tcW w:w="160" w:type="dxa"/>
            <w:vAlign w:val="bottom"/>
            <w:tcBorders>
              <w:right w:val="single" w:sz="8" w:color="E8E5E2"/>
            </w:tcBorders>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0"/>
                <w:szCs w:val="10"/>
                <w:color w:val="auto"/>
              </w:rPr>
            </w:pPr>
          </w:p>
        </w:tc>
        <w:tc>
          <w:tcPr>
            <w:tcW w:w="120" w:type="dxa"/>
            <w:vAlign w:val="bottom"/>
            <w:tcBorders>
              <w:right w:val="single" w:sz="8" w:color="E8E5E2"/>
            </w:tcBorders>
          </w:tcPr>
          <w:p>
            <w:pPr>
              <w:spacing w:after="0"/>
              <w:rPr>
                <w:sz w:val="10"/>
                <w:szCs w:val="10"/>
                <w:color w:val="auto"/>
              </w:rPr>
            </w:pPr>
          </w:p>
        </w:tc>
        <w:tc>
          <w:tcPr>
            <w:tcW w:w="120" w:type="dxa"/>
            <w:vAlign w:val="bottom"/>
            <w:tcBorders>
              <w:left w:val="single" w:sz="8" w:color="E8E5E2"/>
            </w:tcBorders>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0"/>
                <w:szCs w:val="10"/>
                <w:color w:val="auto"/>
              </w:rPr>
            </w:pPr>
          </w:p>
        </w:tc>
        <w:tc>
          <w:tcPr>
            <w:tcW w:w="160" w:type="dxa"/>
            <w:vAlign w:val="bottom"/>
            <w:tcBorders>
              <w:right w:val="single" w:sz="8" w:color="E8E5E2"/>
            </w:tcBorders>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0"/>
                <w:szCs w:val="10"/>
                <w:color w:val="auto"/>
              </w:rPr>
            </w:pPr>
          </w:p>
        </w:tc>
        <w:tc>
          <w:tcPr>
            <w:tcW w:w="140" w:type="dxa"/>
            <w:vAlign w:val="bottom"/>
            <w:tcBorders>
              <w:right w:val="single" w:sz="8" w:color="E8E5E2"/>
            </w:tcBorders>
          </w:tcPr>
          <w:p>
            <w:pPr>
              <w:spacing w:after="0"/>
              <w:rPr>
                <w:sz w:val="10"/>
                <w:szCs w:val="10"/>
                <w:color w:val="auto"/>
              </w:rPr>
            </w:pPr>
          </w:p>
        </w:tc>
        <w:tc>
          <w:tcPr>
            <w:tcW w:w="220" w:type="dxa"/>
            <w:vAlign w:val="bottom"/>
            <w:tcBorders>
              <w:left w:val="single" w:sz="8" w:color="E8E5E2"/>
            </w:tcBorders>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0"/>
                <w:szCs w:val="10"/>
                <w:color w:val="auto"/>
              </w:rPr>
            </w:pPr>
          </w:p>
        </w:tc>
        <w:tc>
          <w:tcPr>
            <w:tcW w:w="60" w:type="dxa"/>
            <w:vAlign w:val="bottom"/>
            <w:tcBorders>
              <w:left w:val="single" w:sz="8" w:color="E8E5E2"/>
            </w:tcBorders>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8E5E2"/>
            </w:tcBorders>
            <w:gridSpan w:val="2"/>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29,206</w:t>
            </w:r>
          </w:p>
        </w:tc>
        <w:tc>
          <w:tcPr>
            <w:tcW w:w="160" w:type="dxa"/>
            <w:vAlign w:val="bottom"/>
            <w:tcBorders>
              <w:right w:val="single" w:sz="8" w:color="E8E5E2"/>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193</w:t>
            </w:r>
          </w:p>
        </w:tc>
        <w:tc>
          <w:tcPr>
            <w:tcW w:w="160" w:type="dxa"/>
            <w:vAlign w:val="bottom"/>
            <w:tcBorders>
              <w:right w:val="single" w:sz="8" w:color="E8E5E2"/>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29,399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10,361</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3"/>
                <w:szCs w:val="13"/>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3"/>
                <w:szCs w:val="13"/>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10,361</w:t>
            </w:r>
          </w:p>
        </w:tc>
        <w:tc>
          <w:tcPr>
            <w:tcW w:w="14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Deferred offering costs</w:t>
            </w:r>
          </w:p>
        </w:tc>
        <w:tc>
          <w:tcPr>
            <w:tcW w:w="108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(80)</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3"/>
                <w:szCs w:val="13"/>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Issuance of restricted stock units</w:t>
            </w: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405</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3,833</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3,833</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Exchange of Class B common stock for</w:t>
            </w:r>
          </w:p>
        </w:tc>
        <w:tc>
          <w:tcPr>
            <w:tcW w:w="9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9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9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8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shd w:val="clear" w:color="auto" w:fill="D4EEF4"/>
          </w:tcPr>
          <w:p>
            <w:pPr>
              <w:spacing w:after="0"/>
              <w:rPr>
                <w:sz w:val="10"/>
                <w:szCs w:val="10"/>
                <w:color w:val="auto"/>
              </w:rPr>
            </w:pPr>
          </w:p>
        </w:tc>
        <w:tc>
          <w:tcPr>
            <w:tcW w:w="7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60" w:type="dxa"/>
            <w:vAlign w:val="bottom"/>
            <w:shd w:val="clear" w:color="auto" w:fill="D4EEF4"/>
          </w:tcPr>
          <w:p>
            <w:pPr>
              <w:spacing w:after="0"/>
              <w:rPr>
                <w:sz w:val="10"/>
                <w:szCs w:val="10"/>
                <w:color w:val="auto"/>
              </w:rPr>
            </w:pPr>
          </w:p>
        </w:tc>
        <w:tc>
          <w:tcPr>
            <w:tcW w:w="7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Class A common stock</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8,422</w:t>
            </w:r>
          </w:p>
        </w:tc>
        <w:tc>
          <w:tcPr>
            <w:tcW w:w="160" w:type="dxa"/>
            <w:vAlign w:val="bottom"/>
            <w:tcBorders>
              <w:right w:val="single" w:sz="8" w:color="D4EEF4"/>
            </w:tcBorders>
            <w:shd w:val="clear" w:color="auto" w:fill="D4EEF4"/>
          </w:tcPr>
          <w:p>
            <w:pPr>
              <w:spacing w:after="0"/>
              <w:rPr>
                <w:sz w:val="14"/>
                <w:szCs w:val="14"/>
                <w:color w:val="auto"/>
              </w:rPr>
            </w:pPr>
          </w:p>
        </w:tc>
        <w:tc>
          <w:tcPr>
            <w:tcW w:w="140" w:type="dxa"/>
            <w:vAlign w:val="bottom"/>
            <w:tcBorders>
              <w:right w:val="single" w:sz="8" w:color="D4EEF4"/>
            </w:tcBorders>
            <w:shd w:val="clear" w:color="auto" w:fill="D4EEF4"/>
          </w:tcPr>
          <w:p>
            <w:pPr>
              <w:spacing w:after="0"/>
              <w:rPr>
                <w:sz w:val="14"/>
                <w:szCs w:val="14"/>
                <w:color w:val="auto"/>
              </w:rPr>
            </w:pPr>
          </w:p>
        </w:tc>
        <w:tc>
          <w:tcPr>
            <w:tcW w:w="120" w:type="dxa"/>
            <w:vAlign w:val="bottom"/>
            <w:tcBorders>
              <w:left w:val="single" w:sz="8" w:color="D4EEF4"/>
            </w:tcBorders>
            <w:shd w:val="clear" w:color="auto" w:fill="D4EEF4"/>
          </w:tcPr>
          <w:p>
            <w:pPr>
              <w:spacing w:after="0"/>
              <w:rPr>
                <w:sz w:val="14"/>
                <w:szCs w:val="14"/>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right w:val="single" w:sz="8" w:color="D4EEF4"/>
            </w:tcBorders>
            <w:shd w:val="clear" w:color="auto" w:fill="D4EEF4"/>
          </w:tcPr>
          <w:p>
            <w:pPr>
              <w:spacing w:after="0"/>
              <w:rPr>
                <w:sz w:val="14"/>
                <w:szCs w:val="14"/>
                <w:color w:val="auto"/>
              </w:rPr>
            </w:pPr>
          </w:p>
        </w:tc>
        <w:tc>
          <w:tcPr>
            <w:tcW w:w="160" w:type="dxa"/>
            <w:vAlign w:val="bottom"/>
            <w:tcBorders>
              <w:right w:val="single" w:sz="8" w:color="D4EEF4"/>
            </w:tcBorders>
            <w:shd w:val="clear" w:color="auto" w:fill="D4EEF4"/>
          </w:tcPr>
          <w:p>
            <w:pPr>
              <w:spacing w:after="0"/>
              <w:rPr>
                <w:sz w:val="14"/>
                <w:szCs w:val="14"/>
                <w:color w:val="auto"/>
              </w:rPr>
            </w:pPr>
          </w:p>
        </w:tc>
        <w:tc>
          <w:tcPr>
            <w:tcW w:w="110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(8,422)</w:t>
            </w:r>
          </w:p>
        </w:tc>
        <w:tc>
          <w:tcPr>
            <w:tcW w:w="120" w:type="dxa"/>
            <w:vAlign w:val="bottom"/>
            <w:tcBorders>
              <w:right w:val="single" w:sz="8" w:color="D4EEF4"/>
            </w:tcBorders>
            <w:shd w:val="clear" w:color="auto" w:fill="D4EEF4"/>
          </w:tcPr>
          <w:p>
            <w:pPr>
              <w:spacing w:after="0"/>
              <w:rPr>
                <w:sz w:val="14"/>
                <w:szCs w:val="14"/>
                <w:color w:val="auto"/>
              </w:rPr>
            </w:pPr>
          </w:p>
        </w:tc>
        <w:tc>
          <w:tcPr>
            <w:tcW w:w="120" w:type="dxa"/>
            <w:vAlign w:val="bottom"/>
            <w:tcBorders>
              <w:left w:val="single" w:sz="8" w:color="D4EEF4"/>
            </w:tcBorders>
            <w:shd w:val="clear" w:color="auto" w:fill="D4EEF4"/>
          </w:tcPr>
          <w:p>
            <w:pPr>
              <w:spacing w:after="0"/>
              <w:rPr>
                <w:sz w:val="14"/>
                <w:szCs w:val="14"/>
                <w:color w:val="auto"/>
              </w:rPr>
            </w:pPr>
          </w:p>
        </w:tc>
        <w:tc>
          <w:tcPr>
            <w:tcW w:w="88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Borders>
              <w:right w:val="single" w:sz="8" w:color="D4EEF4"/>
            </w:tcBorders>
            <w:shd w:val="clear" w:color="auto" w:fill="D4EEF4"/>
          </w:tcPr>
          <w:p>
            <w:pPr>
              <w:spacing w:after="0"/>
              <w:rPr>
                <w:sz w:val="14"/>
                <w:szCs w:val="14"/>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4"/>
                <w:szCs w:val="14"/>
                <w:color w:val="auto"/>
              </w:rPr>
            </w:pPr>
          </w:p>
        </w:tc>
        <w:tc>
          <w:tcPr>
            <w:tcW w:w="140" w:type="dxa"/>
            <w:vAlign w:val="bottom"/>
            <w:tcBorders>
              <w:right w:val="single" w:sz="8" w:color="D4EEF4"/>
            </w:tcBorders>
            <w:shd w:val="clear" w:color="auto" w:fill="D4EEF4"/>
          </w:tcPr>
          <w:p>
            <w:pPr>
              <w:spacing w:after="0"/>
              <w:rPr>
                <w:sz w:val="14"/>
                <w:szCs w:val="14"/>
                <w:color w:val="auto"/>
              </w:rPr>
            </w:pPr>
          </w:p>
        </w:tc>
        <w:tc>
          <w:tcPr>
            <w:tcW w:w="220" w:type="dxa"/>
            <w:vAlign w:val="bottom"/>
            <w:tcBorders>
              <w:left w:val="single" w:sz="8" w:color="D4EEF4"/>
            </w:tcBorders>
            <w:shd w:val="clear" w:color="auto" w:fill="D4EEF4"/>
          </w:tcPr>
          <w:p>
            <w:pPr>
              <w:spacing w:after="0"/>
              <w:rPr>
                <w:sz w:val="14"/>
                <w:szCs w:val="14"/>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4"/>
                <w:szCs w:val="14"/>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20" w:type="dxa"/>
            <w:vAlign w:val="bottom"/>
            <w:tcBorders>
              <w:right w:val="single" w:sz="8" w:color="D4EEF4"/>
            </w:tcBorders>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4"/>
                <w:szCs w:val="14"/>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4"/>
                <w:szCs w:val="14"/>
                <w:color w:val="auto"/>
              </w:rPr>
            </w:pPr>
          </w:p>
        </w:tc>
        <w:tc>
          <w:tcPr>
            <w:tcW w:w="92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Exercise of stock options (net of tax)</w:t>
            </w: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14</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Repurchase of common stock for employee</w:t>
            </w:r>
          </w:p>
        </w:tc>
        <w:tc>
          <w:tcPr>
            <w:tcW w:w="9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9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9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8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shd w:val="clear" w:color="auto" w:fill="D4EEF4"/>
          </w:tcPr>
          <w:p>
            <w:pPr>
              <w:spacing w:after="0"/>
              <w:rPr>
                <w:sz w:val="10"/>
                <w:szCs w:val="10"/>
                <w:color w:val="auto"/>
              </w:rPr>
            </w:pPr>
          </w:p>
        </w:tc>
        <w:tc>
          <w:tcPr>
            <w:tcW w:w="7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60" w:type="dxa"/>
            <w:vAlign w:val="bottom"/>
            <w:shd w:val="clear" w:color="auto" w:fill="D4EEF4"/>
          </w:tcPr>
          <w:p>
            <w:pPr>
              <w:spacing w:after="0"/>
              <w:rPr>
                <w:sz w:val="10"/>
                <w:szCs w:val="10"/>
                <w:color w:val="auto"/>
              </w:rPr>
            </w:pPr>
          </w:p>
        </w:tc>
        <w:tc>
          <w:tcPr>
            <w:tcW w:w="7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tax withholding</w:t>
            </w:r>
          </w:p>
        </w:tc>
        <w:tc>
          <w:tcPr>
            <w:tcW w:w="108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c>
          <w:tcPr>
            <w:tcW w:w="140" w:type="dxa"/>
            <w:vAlign w:val="bottom"/>
            <w:tcBorders>
              <w:right w:val="single" w:sz="8" w:color="D4EEF4"/>
            </w:tcBorders>
            <w:shd w:val="clear" w:color="auto" w:fill="D4EEF4"/>
          </w:tcPr>
          <w:p>
            <w:pPr>
              <w:spacing w:after="0"/>
              <w:rPr>
                <w:sz w:val="14"/>
                <w:szCs w:val="14"/>
                <w:color w:val="auto"/>
              </w:rPr>
            </w:pPr>
          </w:p>
        </w:tc>
        <w:tc>
          <w:tcPr>
            <w:tcW w:w="120" w:type="dxa"/>
            <w:vAlign w:val="bottom"/>
            <w:tcBorders>
              <w:left w:val="single" w:sz="8" w:color="D4EEF4"/>
            </w:tcBorders>
            <w:shd w:val="clear" w:color="auto" w:fill="D4EEF4"/>
          </w:tcPr>
          <w:p>
            <w:pPr>
              <w:spacing w:after="0"/>
              <w:rPr>
                <w:sz w:val="14"/>
                <w:szCs w:val="14"/>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4"/>
                <w:szCs w:val="14"/>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4"/>
                <w:szCs w:val="14"/>
                <w:color w:val="auto"/>
              </w:rPr>
            </w:pPr>
          </w:p>
        </w:tc>
        <w:tc>
          <w:tcPr>
            <w:tcW w:w="140" w:type="dxa"/>
            <w:vAlign w:val="bottom"/>
            <w:tcBorders>
              <w:right w:val="single" w:sz="8" w:color="D4EEF4"/>
            </w:tcBorders>
            <w:shd w:val="clear" w:color="auto" w:fill="D4EEF4"/>
          </w:tcPr>
          <w:p>
            <w:pPr>
              <w:spacing w:after="0"/>
              <w:rPr>
                <w:sz w:val="14"/>
                <w:szCs w:val="14"/>
                <w:color w:val="auto"/>
              </w:rPr>
            </w:pPr>
          </w:p>
        </w:tc>
        <w:tc>
          <w:tcPr>
            <w:tcW w:w="220" w:type="dxa"/>
            <w:vAlign w:val="bottom"/>
            <w:tcBorders>
              <w:left w:val="single" w:sz="8" w:color="D4EEF4"/>
            </w:tcBorders>
            <w:shd w:val="clear" w:color="auto" w:fill="D4EEF4"/>
          </w:tcPr>
          <w:p>
            <w:pPr>
              <w:spacing w:after="0"/>
              <w:rPr>
                <w:sz w:val="14"/>
                <w:szCs w:val="14"/>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4"/>
                <w:szCs w:val="14"/>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20" w:type="dxa"/>
            <w:vAlign w:val="bottom"/>
          </w:tcPr>
          <w:p>
            <w:pPr>
              <w:spacing w:after="0"/>
              <w:rPr>
                <w:sz w:val="14"/>
                <w:szCs w:val="14"/>
                <w:color w:val="auto"/>
              </w:rPr>
            </w:pPr>
          </w:p>
        </w:tc>
        <w:tc>
          <w:tcPr>
            <w:tcW w:w="120" w:type="dxa"/>
            <w:vAlign w:val="bottom"/>
            <w:tcBorders>
              <w:right w:val="single" w:sz="8" w:color="D4EEF4"/>
            </w:tcBorders>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4"/>
                <w:szCs w:val="14"/>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4"/>
                <w:szCs w:val="14"/>
                <w:color w:val="auto"/>
              </w:rPr>
            </w:pPr>
          </w:p>
        </w:tc>
        <w:tc>
          <w:tcPr>
            <w:tcW w:w="9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(454)</w:t>
            </w: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Stock repurchase</w:t>
            </w:r>
          </w:p>
        </w:tc>
        <w:tc>
          <w:tcPr>
            <w:tcW w:w="108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(938)</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(1,297)</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938</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(9,653)</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(12,248)</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(21,903)</w:t>
            </w: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Settlement of stock options</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(12,466)</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3"/>
                <w:szCs w:val="13"/>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(12,466)</w:t>
            </w:r>
          </w:p>
        </w:tc>
        <w:tc>
          <w:tcPr>
            <w:tcW w:w="0" w:type="dxa"/>
            <w:vAlign w:val="bottom"/>
          </w:tcPr>
          <w:p>
            <w:pPr>
              <w:spacing w:after="0"/>
              <w:rPr>
                <w:sz w:val="1"/>
                <w:szCs w:val="1"/>
                <w:color w:val="auto"/>
              </w:rPr>
            </w:pPr>
          </w:p>
        </w:tc>
      </w:tr>
      <w:tr>
        <w:trPr>
          <w:trHeight w:val="106"/>
        </w:trPr>
        <w:tc>
          <w:tcPr>
            <w:tcW w:w="2380" w:type="dxa"/>
            <w:vAlign w:val="bottom"/>
            <w:tcBorders>
              <w:top w:val="single" w:sz="8" w:color="D4EEF4"/>
              <w:right w:val="single" w:sz="8" w:color="E8E5E2"/>
            </w:tcBorders>
          </w:tcPr>
          <w:p>
            <w:pPr>
              <w:ind w:left="200"/>
              <w:spacing w:after="0" w:line="106" w:lineRule="exact"/>
              <w:rPr>
                <w:sz w:val="20"/>
                <w:szCs w:val="20"/>
                <w:color w:val="auto"/>
              </w:rPr>
            </w:pPr>
            <w:r>
              <w:rPr>
                <w:rFonts w:ascii="Times New Roman" w:cs="Times New Roman" w:eastAsia="Times New Roman" w:hAnsi="Times New Roman"/>
                <w:sz w:val="12"/>
                <w:szCs w:val="12"/>
                <w:color w:val="auto"/>
              </w:rPr>
              <w:t>Capital contributions from non-controlling</w:t>
            </w:r>
          </w:p>
        </w:tc>
        <w:tc>
          <w:tcPr>
            <w:tcW w:w="92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left w:val="single" w:sz="8" w:color="E8E5E2"/>
            </w:tcBorders>
          </w:tcPr>
          <w:p>
            <w:pPr>
              <w:spacing w:after="0"/>
              <w:rPr>
                <w:sz w:val="9"/>
                <w:szCs w:val="9"/>
                <w:color w:val="auto"/>
              </w:rPr>
            </w:pPr>
          </w:p>
        </w:tc>
        <w:tc>
          <w:tcPr>
            <w:tcW w:w="720" w:type="dxa"/>
            <w:vAlign w:val="bottom"/>
            <w:tcBorders>
              <w:top w:val="single" w:sz="8" w:color="D4EEF4"/>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94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left w:val="single" w:sz="8" w:color="E8E5E2"/>
            </w:tcBorders>
          </w:tcPr>
          <w:p>
            <w:pPr>
              <w:spacing w:after="0"/>
              <w:rPr>
                <w:sz w:val="9"/>
                <w:szCs w:val="9"/>
                <w:color w:val="auto"/>
              </w:rPr>
            </w:pPr>
          </w:p>
        </w:tc>
        <w:tc>
          <w:tcPr>
            <w:tcW w:w="72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92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220" w:type="dxa"/>
            <w:vAlign w:val="bottom"/>
            <w:tcBorders>
              <w:top w:val="single" w:sz="8" w:color="D4EEF4"/>
              <w:left w:val="single" w:sz="8" w:color="E8E5E2"/>
            </w:tcBorders>
          </w:tcPr>
          <w:p>
            <w:pPr>
              <w:spacing w:after="0"/>
              <w:rPr>
                <w:sz w:val="9"/>
                <w:szCs w:val="9"/>
                <w:color w:val="auto"/>
              </w:rPr>
            </w:pPr>
          </w:p>
        </w:tc>
        <w:tc>
          <w:tcPr>
            <w:tcW w:w="68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60" w:type="dxa"/>
            <w:vAlign w:val="bottom"/>
            <w:tcBorders>
              <w:top w:val="single" w:sz="8" w:color="D4EEF4"/>
              <w:left w:val="single" w:sz="8" w:color="E8E5E2"/>
            </w:tcBorders>
          </w:tcPr>
          <w:p>
            <w:pPr>
              <w:spacing w:after="0"/>
              <w:rPr>
                <w:sz w:val="9"/>
                <w:szCs w:val="9"/>
                <w:color w:val="auto"/>
              </w:rPr>
            </w:pPr>
          </w:p>
        </w:tc>
        <w:tc>
          <w:tcPr>
            <w:tcW w:w="860" w:type="dxa"/>
            <w:vAlign w:val="bottom"/>
            <w:tcBorders>
              <w:top w:val="single" w:sz="8" w:color="D4EEF4"/>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D4EEF4"/>
              <w:right w:val="single" w:sz="8" w:color="E8E5E2"/>
            </w:tcBorders>
          </w:tcPr>
          <w:p>
            <w:pPr>
              <w:spacing w:after="0"/>
              <w:rPr>
                <w:sz w:val="9"/>
                <w:szCs w:val="9"/>
                <w:color w:val="auto"/>
              </w:rPr>
            </w:pPr>
          </w:p>
        </w:tc>
        <w:tc>
          <w:tcPr>
            <w:tcW w:w="80" w:type="dxa"/>
            <w:vAlign w:val="bottom"/>
            <w:tcBorders>
              <w:top w:val="single" w:sz="8" w:color="D4EEF4"/>
            </w:tcBorders>
          </w:tcPr>
          <w:p>
            <w:pPr>
              <w:spacing w:after="0"/>
              <w:rPr>
                <w:sz w:val="9"/>
                <w:szCs w:val="9"/>
                <w:color w:val="auto"/>
              </w:rPr>
            </w:pPr>
          </w:p>
        </w:tc>
        <w:tc>
          <w:tcPr>
            <w:tcW w:w="84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tcBorders>
          </w:tcPr>
          <w:p>
            <w:pPr>
              <w:spacing w:after="0"/>
              <w:rPr>
                <w:sz w:val="9"/>
                <w:szCs w:val="9"/>
                <w:color w:val="auto"/>
              </w:rPr>
            </w:pPr>
          </w:p>
        </w:tc>
        <w:tc>
          <w:tcPr>
            <w:tcW w:w="78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tcBorders>
          </w:tcPr>
          <w:p>
            <w:pPr>
              <w:spacing w:after="0"/>
              <w:rPr>
                <w:sz w:val="9"/>
                <w:szCs w:val="9"/>
                <w:color w:val="auto"/>
              </w:rPr>
            </w:pPr>
          </w:p>
        </w:tc>
        <w:tc>
          <w:tcPr>
            <w:tcW w:w="780" w:type="dxa"/>
            <w:vAlign w:val="bottom"/>
            <w:tcBorders>
              <w:top w:val="single" w:sz="8" w:color="D4EEF4"/>
            </w:tcBorders>
          </w:tcPr>
          <w:p>
            <w:pPr>
              <w:spacing w:after="0"/>
              <w:rPr>
                <w:sz w:val="9"/>
                <w:szCs w:val="9"/>
                <w:color w:val="auto"/>
              </w:rPr>
            </w:pPr>
          </w:p>
        </w:tc>
        <w:tc>
          <w:tcPr>
            <w:tcW w:w="140" w:type="dxa"/>
            <w:vAlign w:val="bottom"/>
            <w:tcBorders>
              <w:top w:val="single" w:sz="8" w:color="D4EEF4"/>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380" w:type="dxa"/>
            <w:vAlign w:val="bottom"/>
            <w:tcBorders>
              <w:right w:val="single" w:sz="8" w:color="E8E5E2"/>
            </w:tcBorders>
          </w:tcPr>
          <w:p>
            <w:pPr>
              <w:ind w:left="200"/>
              <w:spacing w:after="0"/>
              <w:rPr>
                <w:sz w:val="20"/>
                <w:szCs w:val="20"/>
                <w:color w:val="auto"/>
              </w:rPr>
            </w:pPr>
            <w:r>
              <w:rPr>
                <w:rFonts w:ascii="Times New Roman" w:cs="Times New Roman" w:eastAsia="Times New Roman" w:hAnsi="Times New Roman"/>
                <w:sz w:val="12"/>
                <w:szCs w:val="12"/>
                <w:color w:val="auto"/>
              </w:rPr>
              <w:t>interests</w:t>
            </w:r>
          </w:p>
        </w:tc>
        <w:tc>
          <w:tcPr>
            <w:tcW w:w="108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8E5E2"/>
            </w:tcBorders>
          </w:tcPr>
          <w:p>
            <w:pPr>
              <w:spacing w:after="0"/>
              <w:rPr>
                <w:sz w:val="14"/>
                <w:szCs w:val="14"/>
                <w:color w:val="auto"/>
              </w:rPr>
            </w:pPr>
          </w:p>
        </w:tc>
        <w:tc>
          <w:tcPr>
            <w:tcW w:w="120" w:type="dxa"/>
            <w:vAlign w:val="bottom"/>
            <w:tcBorders>
              <w:left w:val="single" w:sz="8" w:color="E8E5E2"/>
            </w:tcBorders>
          </w:tcPr>
          <w:p>
            <w:pPr>
              <w:spacing w:after="0"/>
              <w:rPr>
                <w:sz w:val="14"/>
                <w:szCs w:val="14"/>
                <w:color w:val="auto"/>
              </w:rPr>
            </w:pPr>
          </w:p>
        </w:tc>
        <w:tc>
          <w:tcPr>
            <w:tcW w:w="8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4"/>
                <w:szCs w:val="14"/>
                <w:color w:val="auto"/>
              </w:rPr>
            </w:pPr>
          </w:p>
        </w:tc>
        <w:tc>
          <w:tcPr>
            <w:tcW w:w="1100" w:type="dxa"/>
            <w:vAlign w:val="bottom"/>
            <w:tcBorders>
              <w:right w:val="single" w:sz="8" w:color="E8E5E2"/>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8E5E2"/>
            </w:tcBorders>
          </w:tcPr>
          <w:p>
            <w:pPr>
              <w:spacing w:after="0"/>
              <w:rPr>
                <w:sz w:val="14"/>
                <w:szCs w:val="14"/>
                <w:color w:val="auto"/>
              </w:rPr>
            </w:pPr>
          </w:p>
        </w:tc>
        <w:tc>
          <w:tcPr>
            <w:tcW w:w="120" w:type="dxa"/>
            <w:vAlign w:val="bottom"/>
            <w:tcBorders>
              <w:left w:val="single" w:sz="8" w:color="E8E5E2"/>
            </w:tcBorders>
          </w:tcPr>
          <w:p>
            <w:pPr>
              <w:spacing w:after="0"/>
              <w:rPr>
                <w:sz w:val="14"/>
                <w:szCs w:val="14"/>
                <w:color w:val="auto"/>
              </w:rPr>
            </w:pPr>
          </w:p>
        </w:tc>
        <w:tc>
          <w:tcPr>
            <w:tcW w:w="880" w:type="dxa"/>
            <w:vAlign w:val="bottom"/>
            <w:tcBorders>
              <w:right w:val="single" w:sz="8" w:color="E8E5E2"/>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4"/>
                <w:szCs w:val="14"/>
                <w:color w:val="auto"/>
              </w:rPr>
            </w:pPr>
          </w:p>
        </w:tc>
        <w:tc>
          <w:tcPr>
            <w:tcW w:w="140" w:type="dxa"/>
            <w:vAlign w:val="bottom"/>
            <w:tcBorders>
              <w:right w:val="single" w:sz="8" w:color="E8E5E2"/>
            </w:tcBorders>
          </w:tcPr>
          <w:p>
            <w:pPr>
              <w:spacing w:after="0"/>
              <w:rPr>
                <w:sz w:val="14"/>
                <w:szCs w:val="14"/>
                <w:color w:val="auto"/>
              </w:rPr>
            </w:pPr>
          </w:p>
        </w:tc>
        <w:tc>
          <w:tcPr>
            <w:tcW w:w="220" w:type="dxa"/>
            <w:vAlign w:val="bottom"/>
            <w:tcBorders>
              <w:left w:val="single" w:sz="8" w:color="E8E5E2"/>
            </w:tcBorders>
          </w:tcPr>
          <w:p>
            <w:pPr>
              <w:spacing w:after="0"/>
              <w:rPr>
                <w:sz w:val="14"/>
                <w:szCs w:val="14"/>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E8E5E2"/>
            </w:tcBorders>
          </w:tcPr>
          <w:p>
            <w:pPr>
              <w:spacing w:after="0"/>
              <w:rPr>
                <w:sz w:val="14"/>
                <w:szCs w:val="14"/>
                <w:color w:val="auto"/>
              </w:rPr>
            </w:pPr>
          </w:p>
        </w:tc>
        <w:tc>
          <w:tcPr>
            <w:tcW w:w="100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0" w:type="dxa"/>
            <w:vAlign w:val="bottom"/>
            <w:tcBorders>
              <w:right w:val="single" w:sz="8" w:color="E8E5E2"/>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40,733</w:t>
            </w:r>
          </w:p>
        </w:tc>
        <w:tc>
          <w:tcPr>
            <w:tcW w:w="160" w:type="dxa"/>
            <w:vAlign w:val="bottom"/>
            <w:tcBorders>
              <w:right w:val="single" w:sz="8" w:color="E8E5E2"/>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80" w:type="dxa"/>
            <w:vAlign w:val="bottom"/>
            <w:tcBorders>
              <w:bottom w:val="single" w:sz="8" w:color="D4EEF4"/>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80" w:type="dxa"/>
            <w:vAlign w:val="bottom"/>
            <w:tcBorders>
              <w:bottom w:val="single" w:sz="8" w:color="D4EEF4"/>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D4EEF4"/>
              <w:right w:val="single" w:sz="8" w:color="D4EEF4"/>
            </w:tcBorders>
            <w:shd w:val="clear" w:color="auto" w:fill="D4EEF4"/>
          </w:tcPr>
          <w:p>
            <w:pPr>
              <w:spacing w:after="0"/>
              <w:rPr>
                <w:sz w:val="13"/>
                <w:szCs w:val="13"/>
                <w:color w:val="auto"/>
              </w:rPr>
            </w:pPr>
          </w:p>
        </w:tc>
        <w:tc>
          <w:tcPr>
            <w:tcW w:w="120" w:type="dxa"/>
            <w:vAlign w:val="bottom"/>
            <w:tcBorders>
              <w:left w:val="single" w:sz="8" w:color="D4EEF4"/>
              <w:bottom w:val="single" w:sz="8" w:color="D4EEF4"/>
            </w:tcBorders>
            <w:shd w:val="clear" w:color="auto" w:fill="D4EEF4"/>
          </w:tcPr>
          <w:p>
            <w:pPr>
              <w:spacing w:after="0"/>
              <w:rPr>
                <w:sz w:val="13"/>
                <w:szCs w:val="13"/>
                <w:color w:val="auto"/>
              </w:rPr>
            </w:pPr>
          </w:p>
        </w:tc>
        <w:tc>
          <w:tcPr>
            <w:tcW w:w="860" w:type="dxa"/>
            <w:vAlign w:val="bottom"/>
            <w:tcBorders>
              <w:bottom w:val="single" w:sz="8" w:color="D4EEF4"/>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D4EEF4"/>
              <w:right w:val="single" w:sz="8" w:color="D4EEF4"/>
            </w:tcBorders>
            <w:shd w:val="clear" w:color="auto" w:fill="D4EEF4"/>
          </w:tcPr>
          <w:p>
            <w:pPr>
              <w:spacing w:after="0"/>
              <w:rPr>
                <w:sz w:val="13"/>
                <w:szCs w:val="13"/>
                <w:color w:val="auto"/>
              </w:rPr>
            </w:pPr>
          </w:p>
        </w:tc>
        <w:tc>
          <w:tcPr>
            <w:tcW w:w="1220" w:type="dxa"/>
            <w:vAlign w:val="bottom"/>
            <w:tcBorders>
              <w:bottom w:val="single" w:sz="8" w:color="D4EEF4"/>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bottom w:val="single" w:sz="8" w:color="D4EEF4"/>
            </w:tcBorders>
            <w:shd w:val="clear" w:color="auto" w:fill="D4EEF4"/>
          </w:tcPr>
          <w:p>
            <w:pPr>
              <w:spacing w:after="0"/>
              <w:rPr>
                <w:sz w:val="13"/>
                <w:szCs w:val="13"/>
                <w:color w:val="auto"/>
              </w:rPr>
            </w:pPr>
          </w:p>
        </w:tc>
        <w:tc>
          <w:tcPr>
            <w:tcW w:w="880" w:type="dxa"/>
            <w:vAlign w:val="bottom"/>
            <w:tcBorders>
              <w:bottom w:val="single" w:sz="8" w:color="D4EEF4"/>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D4EEF4"/>
              <w:right w:val="single" w:sz="8" w:color="D4EEF4"/>
            </w:tcBorders>
            <w:shd w:val="clear" w:color="auto" w:fill="D4EEF4"/>
          </w:tcPr>
          <w:p>
            <w:pPr>
              <w:spacing w:after="0"/>
              <w:rPr>
                <w:sz w:val="13"/>
                <w:szCs w:val="13"/>
                <w:color w:val="auto"/>
              </w:rPr>
            </w:pPr>
          </w:p>
        </w:tc>
        <w:tc>
          <w:tcPr>
            <w:tcW w:w="920" w:type="dxa"/>
            <w:vAlign w:val="bottom"/>
            <w:tcBorders>
              <w:bottom w:val="single" w:sz="8" w:color="D4EEF4"/>
            </w:tcBorders>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D4EEF4"/>
              <w:right w:val="single" w:sz="8" w:color="D4EEF4"/>
            </w:tcBorders>
            <w:shd w:val="clear" w:color="auto" w:fill="D4EEF4"/>
          </w:tcPr>
          <w:p>
            <w:pPr>
              <w:spacing w:after="0"/>
              <w:rPr>
                <w:sz w:val="13"/>
                <w:szCs w:val="13"/>
                <w:color w:val="auto"/>
              </w:rPr>
            </w:pPr>
          </w:p>
        </w:tc>
        <w:tc>
          <w:tcPr>
            <w:tcW w:w="140" w:type="dxa"/>
            <w:vAlign w:val="bottom"/>
            <w:tcBorders>
              <w:bottom w:val="single" w:sz="8" w:color="D4EEF4"/>
              <w:right w:val="single" w:sz="8" w:color="D4EEF4"/>
            </w:tcBorders>
            <w:shd w:val="clear" w:color="auto" w:fill="D4EEF4"/>
          </w:tcPr>
          <w:p>
            <w:pPr>
              <w:spacing w:after="0"/>
              <w:rPr>
                <w:sz w:val="13"/>
                <w:szCs w:val="13"/>
                <w:color w:val="auto"/>
              </w:rPr>
            </w:pPr>
          </w:p>
        </w:tc>
        <w:tc>
          <w:tcPr>
            <w:tcW w:w="220" w:type="dxa"/>
            <w:vAlign w:val="bottom"/>
            <w:tcBorders>
              <w:left w:val="single" w:sz="8" w:color="D4EEF4"/>
              <w:bottom w:val="single" w:sz="8" w:color="D4EEF4"/>
            </w:tcBorders>
            <w:shd w:val="clear" w:color="auto" w:fill="D4EEF4"/>
          </w:tcPr>
          <w:p>
            <w:pPr>
              <w:spacing w:after="0"/>
              <w:rPr>
                <w:sz w:val="13"/>
                <w:szCs w:val="13"/>
                <w:color w:val="auto"/>
              </w:rPr>
            </w:pPr>
          </w:p>
        </w:tc>
        <w:tc>
          <w:tcPr>
            <w:tcW w:w="840" w:type="dxa"/>
            <w:vAlign w:val="bottom"/>
            <w:tcBorders>
              <w:bottom w:val="single" w:sz="8" w:color="D4EEF4"/>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bottom w:val="single" w:sz="8" w:color="D4EEF4"/>
            </w:tcBorders>
            <w:shd w:val="clear" w:color="auto" w:fill="D4EEF4"/>
          </w:tcPr>
          <w:p>
            <w:pPr>
              <w:spacing w:after="0"/>
              <w:rPr>
                <w:sz w:val="13"/>
                <w:szCs w:val="13"/>
                <w:color w:val="auto"/>
              </w:rPr>
            </w:pPr>
          </w:p>
        </w:tc>
        <w:tc>
          <w:tcPr>
            <w:tcW w:w="860" w:type="dxa"/>
            <w:vAlign w:val="bottom"/>
            <w:tcBorders>
              <w:bottom w:val="single" w:sz="8" w:color="D4EEF4"/>
            </w:tcBorders>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Borders>
              <w:bottom w:val="single" w:sz="8" w:color="D4EEF4"/>
              <w:right w:val="single" w:sz="8" w:color="D4EEF4"/>
            </w:tcBorders>
            <w:shd w:val="clear" w:color="auto" w:fill="D4EEF4"/>
          </w:tcPr>
          <w:p>
            <w:pPr>
              <w:spacing w:after="0"/>
              <w:rPr>
                <w:sz w:val="13"/>
                <w:szCs w:val="13"/>
                <w:color w:val="auto"/>
              </w:rPr>
            </w:pPr>
          </w:p>
        </w:tc>
        <w:tc>
          <w:tcPr>
            <w:tcW w:w="80" w:type="dxa"/>
            <w:vAlign w:val="bottom"/>
            <w:tcBorders>
              <w:bottom w:val="single" w:sz="8" w:color="D4EEF4"/>
            </w:tcBorders>
            <w:shd w:val="clear" w:color="auto" w:fill="D4EEF4"/>
          </w:tcPr>
          <w:p>
            <w:pPr>
              <w:spacing w:after="0"/>
              <w:rPr>
                <w:sz w:val="13"/>
                <w:szCs w:val="13"/>
                <w:color w:val="auto"/>
              </w:rPr>
            </w:pPr>
          </w:p>
        </w:tc>
        <w:tc>
          <w:tcPr>
            <w:tcW w:w="1000" w:type="dxa"/>
            <w:vAlign w:val="bottom"/>
            <w:tcBorders>
              <w:bottom w:val="single" w:sz="8" w:color="D4EEF4"/>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D4EEF4"/>
            </w:tcBorders>
            <w:shd w:val="clear" w:color="auto" w:fill="D4EEF4"/>
          </w:tcPr>
          <w:p>
            <w:pPr>
              <w:spacing w:after="0"/>
              <w:rPr>
                <w:sz w:val="13"/>
                <w:szCs w:val="13"/>
                <w:color w:val="auto"/>
              </w:rPr>
            </w:pPr>
          </w:p>
        </w:tc>
        <w:tc>
          <w:tcPr>
            <w:tcW w:w="940" w:type="dxa"/>
            <w:vAlign w:val="bottom"/>
            <w:tcBorders>
              <w:bottom w:val="single" w:sz="8" w:color="D4EEF4"/>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(181)</w:t>
            </w:r>
          </w:p>
        </w:tc>
        <w:tc>
          <w:tcPr>
            <w:tcW w:w="160" w:type="dxa"/>
            <w:vAlign w:val="bottom"/>
            <w:tcBorders>
              <w:bottom w:val="single" w:sz="8" w:color="D4EEF4"/>
            </w:tcBorders>
            <w:shd w:val="clear" w:color="auto" w:fill="D4EEF4"/>
          </w:tcPr>
          <w:p>
            <w:pPr>
              <w:spacing w:after="0"/>
              <w:rPr>
                <w:sz w:val="13"/>
                <w:szCs w:val="13"/>
                <w:color w:val="auto"/>
              </w:rPr>
            </w:pPr>
          </w:p>
        </w:tc>
        <w:tc>
          <w:tcPr>
            <w:tcW w:w="920" w:type="dxa"/>
            <w:vAlign w:val="bottom"/>
            <w:tcBorders>
              <w:bottom w:val="single" w:sz="8" w:color="D4EEF4"/>
            </w:tcBorders>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32"/>
        </w:trPr>
        <w:tc>
          <w:tcPr>
            <w:tcW w:w="2380" w:type="dxa"/>
            <w:vAlign w:val="bottom"/>
            <w:tcBorders>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Dividends declared</w:t>
            </w:r>
          </w:p>
        </w:tc>
        <w:tc>
          <w:tcPr>
            <w:tcW w:w="1080" w:type="dxa"/>
            <w:vAlign w:val="bottom"/>
            <w:tcBorders>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8E5E2"/>
            </w:tcBorders>
          </w:tcPr>
          <w:p>
            <w:pPr>
              <w:spacing w:after="0"/>
              <w:rPr>
                <w:sz w:val="11"/>
                <w:szCs w:val="11"/>
                <w:color w:val="auto"/>
              </w:rPr>
            </w:pPr>
          </w:p>
        </w:tc>
        <w:tc>
          <w:tcPr>
            <w:tcW w:w="120" w:type="dxa"/>
            <w:vAlign w:val="bottom"/>
            <w:tcBorders>
              <w:left w:val="single" w:sz="8" w:color="E8E5E2"/>
            </w:tcBorders>
          </w:tcPr>
          <w:p>
            <w:pPr>
              <w:spacing w:after="0"/>
              <w:rPr>
                <w:sz w:val="11"/>
                <w:szCs w:val="11"/>
                <w:color w:val="auto"/>
              </w:rPr>
            </w:pPr>
          </w:p>
        </w:tc>
        <w:tc>
          <w:tcPr>
            <w:tcW w:w="860" w:type="dxa"/>
            <w:vAlign w:val="bottom"/>
            <w:tcBorders>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1"/>
                <w:szCs w:val="11"/>
                <w:color w:val="auto"/>
              </w:rPr>
            </w:pPr>
          </w:p>
        </w:tc>
        <w:tc>
          <w:tcPr>
            <w:tcW w:w="1100" w:type="dxa"/>
            <w:vAlign w:val="bottom"/>
            <w:tcBorders>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8E5E2"/>
            </w:tcBorders>
          </w:tcPr>
          <w:p>
            <w:pPr>
              <w:spacing w:after="0"/>
              <w:rPr>
                <w:sz w:val="11"/>
                <w:szCs w:val="11"/>
                <w:color w:val="auto"/>
              </w:rPr>
            </w:pPr>
          </w:p>
        </w:tc>
        <w:tc>
          <w:tcPr>
            <w:tcW w:w="120" w:type="dxa"/>
            <w:vAlign w:val="bottom"/>
            <w:tcBorders>
              <w:left w:val="single" w:sz="8" w:color="E8E5E2"/>
            </w:tcBorders>
          </w:tcPr>
          <w:p>
            <w:pPr>
              <w:spacing w:after="0"/>
              <w:rPr>
                <w:sz w:val="11"/>
                <w:szCs w:val="11"/>
                <w:color w:val="auto"/>
              </w:rPr>
            </w:pPr>
          </w:p>
        </w:tc>
        <w:tc>
          <w:tcPr>
            <w:tcW w:w="880" w:type="dxa"/>
            <w:vAlign w:val="bottom"/>
            <w:tcBorders>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1"/>
                <w:szCs w:val="11"/>
                <w:color w:val="auto"/>
              </w:rPr>
            </w:pPr>
          </w:p>
        </w:tc>
        <w:tc>
          <w:tcPr>
            <w:tcW w:w="140" w:type="dxa"/>
            <w:vAlign w:val="bottom"/>
            <w:tcBorders>
              <w:right w:val="single" w:sz="8" w:color="E8E5E2"/>
            </w:tcBorders>
          </w:tcPr>
          <w:p>
            <w:pPr>
              <w:spacing w:after="0"/>
              <w:rPr>
                <w:sz w:val="11"/>
                <w:szCs w:val="11"/>
                <w:color w:val="auto"/>
              </w:rPr>
            </w:pPr>
          </w:p>
        </w:tc>
        <w:tc>
          <w:tcPr>
            <w:tcW w:w="220" w:type="dxa"/>
            <w:vAlign w:val="bottom"/>
            <w:tcBorders>
              <w:left w:val="single" w:sz="8" w:color="E8E5E2"/>
            </w:tcBorders>
          </w:tcPr>
          <w:p>
            <w:pPr>
              <w:spacing w:after="0"/>
              <w:rPr>
                <w:sz w:val="11"/>
                <w:szCs w:val="11"/>
                <w:color w:val="auto"/>
              </w:rPr>
            </w:pPr>
          </w:p>
        </w:tc>
        <w:tc>
          <w:tcPr>
            <w:tcW w:w="840" w:type="dxa"/>
            <w:vAlign w:val="bottom"/>
            <w:tcBorders>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E8E5E2"/>
            </w:tcBorders>
          </w:tcPr>
          <w:p>
            <w:pPr>
              <w:spacing w:after="0"/>
              <w:rPr>
                <w:sz w:val="11"/>
                <w:szCs w:val="11"/>
                <w:color w:val="auto"/>
              </w:rPr>
            </w:pPr>
          </w:p>
        </w:tc>
        <w:tc>
          <w:tcPr>
            <w:tcW w:w="1000" w:type="dxa"/>
            <w:vAlign w:val="bottom"/>
            <w:tcBorders>
              <w:right w:val="single" w:sz="8" w:color="E8E5E2"/>
            </w:tcBorders>
            <w:gridSpan w:val="3"/>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000" w:type="dxa"/>
            <w:vAlign w:val="bottom"/>
            <w:tcBorders>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940" w:type="dxa"/>
            <w:vAlign w:val="bottom"/>
            <w:tcBorders>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9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Dividends paid per share $0.09</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D4EEF4"/>
            </w:tcBorders>
            <w:gridSpan w:val="2"/>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D4EEF4"/>
            </w:tcBorders>
            <w:gridSpan w:val="2"/>
            <w:shd w:val="clear" w:color="auto" w:fill="D4EEF4"/>
          </w:tcPr>
          <w:p>
            <w:pPr>
              <w:spacing w:after="0"/>
              <w:rPr>
                <w:sz w:val="13"/>
                <w:szCs w:val="13"/>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D4EEF4"/>
            </w:tcBorders>
            <w:gridSpan w:val="2"/>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right w:val="single" w:sz="8" w:color="D4EEF4"/>
            </w:tcBorders>
            <w:gridSpan w:val="2"/>
            <w:shd w:val="clear" w:color="auto" w:fill="D4EEF4"/>
          </w:tcPr>
          <w:p>
            <w:pPr>
              <w:spacing w:after="0"/>
              <w:rPr>
                <w:sz w:val="13"/>
                <w:szCs w:val="13"/>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(10,522)</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8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(10,522)</w:t>
            </w:r>
          </w:p>
        </w:tc>
        <w:tc>
          <w:tcPr>
            <w:tcW w:w="0" w:type="dxa"/>
            <w:vAlign w:val="bottom"/>
          </w:tcPr>
          <w:p>
            <w:pPr>
              <w:spacing w:after="0"/>
              <w:rPr>
                <w:sz w:val="1"/>
                <w:szCs w:val="1"/>
                <w:color w:val="auto"/>
              </w:rPr>
            </w:pPr>
          </w:p>
        </w:tc>
      </w:tr>
      <w:tr>
        <w:trPr>
          <w:trHeight w:val="20"/>
        </w:trPr>
        <w:tc>
          <w:tcPr>
            <w:tcW w:w="23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80" w:type="dxa"/>
            <w:vAlign w:val="bottom"/>
          </w:tcPr>
          <w:p>
            <w:pPr>
              <w:spacing w:after="0"/>
              <w:rPr>
                <w:sz w:val="20"/>
                <w:szCs w:val="20"/>
                <w:color w:val="auto"/>
              </w:rPr>
            </w:pPr>
            <w:r>
              <w:rPr>
                <w:rFonts w:ascii="Calibri" w:cs="Calibri" w:eastAsia="Calibri" w:hAnsi="Calibri"/>
                <w:sz w:val="12"/>
                <w:szCs w:val="12"/>
                <w:b w:val="1"/>
                <w:bCs w:val="1"/>
                <w:color w:val="auto"/>
              </w:rPr>
              <w:t>Balance at December 31, 2022</w:t>
            </w:r>
          </w:p>
        </w:tc>
        <w:tc>
          <w:tcPr>
            <w:tcW w:w="920" w:type="dxa"/>
            <w:vAlign w:val="bottom"/>
          </w:tcPr>
          <w:p>
            <w:pPr>
              <w:jc w:val="right"/>
              <w:spacing w:after="0"/>
              <w:rPr>
                <w:sz w:val="20"/>
                <w:szCs w:val="20"/>
                <w:color w:val="auto"/>
              </w:rPr>
            </w:pPr>
            <w:r>
              <w:rPr>
                <w:rFonts w:ascii="Calibri" w:cs="Calibri" w:eastAsia="Calibri" w:hAnsi="Calibri"/>
                <w:sz w:val="12"/>
                <w:szCs w:val="12"/>
                <w:color w:val="auto"/>
              </w:rPr>
              <w:t>42,365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Pr>
          <w:p>
            <w:pPr>
              <w:jc w:val="right"/>
              <w:spacing w:after="0"/>
              <w:rPr>
                <w:sz w:val="20"/>
                <w:szCs w:val="20"/>
                <w:color w:val="auto"/>
              </w:rPr>
            </w:pPr>
            <w:r>
              <w:rPr>
                <w:rFonts w:ascii="Calibri" w:cs="Calibri" w:eastAsia="Calibri" w:hAnsi="Calibri"/>
                <w:sz w:val="12"/>
                <w:szCs w:val="12"/>
                <w:color w:val="auto"/>
              </w:rPr>
              <w:t>42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73,008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Pr>
          <w:p>
            <w:pPr>
              <w:jc w:val="right"/>
              <w:spacing w:after="0"/>
              <w:rPr>
                <w:sz w:val="20"/>
                <w:szCs w:val="20"/>
                <w:color w:val="auto"/>
              </w:rPr>
            </w:pPr>
            <w:r>
              <w:rPr>
                <w:rFonts w:ascii="Calibri" w:cs="Calibri" w:eastAsia="Calibri" w:hAnsi="Calibri"/>
                <w:sz w:val="12"/>
                <w:szCs w:val="12"/>
                <w:color w:val="auto"/>
              </w:rPr>
              <w:t>73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1,061</w:t>
            </w:r>
          </w:p>
        </w:tc>
        <w:tc>
          <w:tcPr>
            <w:tcW w:w="520" w:type="dxa"/>
            <w:vAlign w:val="bottom"/>
            <w:gridSpan w:val="3"/>
          </w:tcPr>
          <w:p>
            <w:pPr>
              <w:jc w:val="right"/>
              <w:ind w:right="155"/>
              <w:spacing w:after="0"/>
              <w:rPr>
                <w:sz w:val="20"/>
                <w:szCs w:val="20"/>
                <w:color w:val="auto"/>
              </w:rPr>
            </w:pPr>
            <w:r>
              <w:rPr>
                <w:rFonts w:ascii="Calibri" w:cs="Calibri" w:eastAsia="Calibri" w:hAnsi="Calibri"/>
                <w:sz w:val="12"/>
                <w:szCs w:val="12"/>
                <w:color w:val="auto"/>
              </w:rPr>
              <w:t>$</w:t>
            </w:r>
          </w:p>
        </w:tc>
        <w:tc>
          <w:tcPr>
            <w:tcW w:w="840" w:type="dxa"/>
            <w:vAlign w:val="bottom"/>
            <w:gridSpan w:val="2"/>
          </w:tcPr>
          <w:p>
            <w:pPr>
              <w:jc w:val="right"/>
              <w:ind w:right="120"/>
              <w:spacing w:after="0"/>
              <w:rPr>
                <w:sz w:val="20"/>
                <w:szCs w:val="20"/>
                <w:color w:val="auto"/>
              </w:rPr>
            </w:pPr>
            <w:r>
              <w:rPr>
                <w:rFonts w:ascii="Calibri" w:cs="Calibri" w:eastAsia="Calibri" w:hAnsi="Calibri"/>
                <w:sz w:val="12"/>
                <w:szCs w:val="12"/>
                <w:color w:val="auto"/>
              </w:rPr>
              <w:t>(9,926)</w:t>
            </w:r>
          </w:p>
        </w:tc>
        <w:tc>
          <w:tcPr>
            <w:tcW w:w="60" w:type="dxa"/>
            <w:vAlign w:val="bottom"/>
          </w:tcPr>
          <w:p>
            <w:pPr>
              <w:jc w:val="right"/>
              <w:spacing w:after="0"/>
              <w:rPr>
                <w:sz w:val="20"/>
                <w:szCs w:val="20"/>
                <w:color w:val="auto"/>
              </w:rPr>
            </w:pPr>
            <w:r>
              <w:rPr>
                <w:rFonts w:ascii="Calibri" w:cs="Calibri" w:eastAsia="Calibri" w:hAnsi="Calibri"/>
                <w:sz w:val="5"/>
                <w:szCs w:val="5"/>
                <w:color w:val="auto"/>
                <w:w w:val="76"/>
              </w:rPr>
              <w:t>$</w:t>
            </w:r>
          </w:p>
        </w:tc>
        <w:tc>
          <w:tcPr>
            <w:tcW w:w="860" w:type="dxa"/>
            <w:vAlign w:val="bottom"/>
          </w:tcPr>
          <w:p>
            <w:pPr>
              <w:jc w:val="right"/>
              <w:spacing w:after="0"/>
              <w:rPr>
                <w:sz w:val="20"/>
                <w:szCs w:val="20"/>
                <w:color w:val="auto"/>
              </w:rPr>
            </w:pPr>
            <w:r>
              <w:rPr>
                <w:rFonts w:ascii="Calibri" w:cs="Calibri" w:eastAsia="Calibri" w:hAnsi="Calibri"/>
                <w:sz w:val="12"/>
                <w:szCs w:val="12"/>
                <w:color w:val="auto"/>
              </w:rPr>
              <w:t>628,828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2"/>
                <w:szCs w:val="12"/>
                <w:color w:val="auto"/>
              </w:rPr>
              <w:t>(225,879)</w:t>
            </w:r>
          </w:p>
        </w:tc>
        <w:tc>
          <w:tcPr>
            <w:tcW w:w="120" w:type="dxa"/>
            <w:vAlign w:val="bottom"/>
          </w:tcPr>
          <w:p>
            <w:pPr>
              <w:jc w:val="right"/>
              <w:ind w:right="46"/>
              <w:spacing w:after="0"/>
              <w:rPr>
                <w:sz w:val="20"/>
                <w:szCs w:val="20"/>
                <w:color w:val="auto"/>
              </w:rPr>
            </w:pPr>
            <w:r>
              <w:rPr>
                <w:rFonts w:ascii="Calibri" w:cs="Calibri" w:eastAsia="Calibri" w:hAnsi="Calibri"/>
                <w:sz w:val="5"/>
                <w:szCs w:val="5"/>
                <w:color w:val="auto"/>
                <w:w w:val="76"/>
              </w:rPr>
              <w:t>$</w:t>
            </w:r>
          </w:p>
        </w:tc>
        <w:tc>
          <w:tcPr>
            <w:tcW w:w="780" w:type="dxa"/>
            <w:vAlign w:val="bottom"/>
          </w:tcPr>
          <w:p>
            <w:pPr>
              <w:jc w:val="right"/>
              <w:spacing w:after="0"/>
              <w:rPr>
                <w:sz w:val="20"/>
                <w:szCs w:val="20"/>
                <w:color w:val="auto"/>
              </w:rPr>
            </w:pPr>
            <w:r>
              <w:rPr>
                <w:rFonts w:ascii="Calibri" w:cs="Calibri" w:eastAsia="Calibri" w:hAnsi="Calibri"/>
                <w:sz w:val="12"/>
                <w:szCs w:val="12"/>
                <w:color w:val="auto"/>
              </w:rPr>
              <w:t>40,745</w:t>
            </w:r>
          </w:p>
        </w:tc>
        <w:tc>
          <w:tcPr>
            <w:tcW w:w="160" w:type="dxa"/>
            <w:vAlign w:val="bottom"/>
          </w:tcPr>
          <w:p>
            <w:pPr>
              <w:spacing w:after="0"/>
              <w:rPr>
                <w:sz w:val="16"/>
                <w:szCs w:val="16"/>
                <w:color w:val="auto"/>
              </w:rPr>
            </w:pPr>
          </w:p>
        </w:tc>
        <w:tc>
          <w:tcPr>
            <w:tcW w:w="160" w:type="dxa"/>
            <w:vAlign w:val="bottom"/>
          </w:tcPr>
          <w:p>
            <w:pPr>
              <w:jc w:val="right"/>
              <w:ind w:right="95"/>
              <w:spacing w:after="0"/>
              <w:rPr>
                <w:sz w:val="20"/>
                <w:szCs w:val="20"/>
                <w:color w:val="auto"/>
              </w:rPr>
            </w:pPr>
            <w:r>
              <w:rPr>
                <w:rFonts w:ascii="Calibri" w:cs="Calibri" w:eastAsia="Calibri" w:hAnsi="Calibri"/>
                <w:sz w:val="5"/>
                <w:szCs w:val="5"/>
                <w:color w:val="auto"/>
                <w:w w:val="76"/>
              </w:rPr>
              <w:t>$</w:t>
            </w:r>
          </w:p>
        </w:tc>
        <w:tc>
          <w:tcPr>
            <w:tcW w:w="780" w:type="dxa"/>
            <w:vAlign w:val="bottom"/>
          </w:tcPr>
          <w:p>
            <w:pPr>
              <w:jc w:val="right"/>
              <w:spacing w:after="0"/>
              <w:rPr>
                <w:sz w:val="20"/>
                <w:szCs w:val="20"/>
                <w:color w:val="auto"/>
              </w:rPr>
            </w:pPr>
            <w:r>
              <w:rPr>
                <w:rFonts w:ascii="Calibri" w:cs="Calibri" w:eastAsia="Calibri" w:hAnsi="Calibri"/>
                <w:sz w:val="12"/>
                <w:szCs w:val="12"/>
                <w:color w:val="auto"/>
              </w:rPr>
              <w:t>433,883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380" w:type="dxa"/>
            <w:vAlign w:val="bottom"/>
            <w:tcBorders>
              <w:top w:val="single" w:sz="8" w:color="D4EEF4"/>
              <w:right w:val="single" w:sz="8" w:color="D4EEF4"/>
            </w:tcBorders>
            <w:shd w:val="clear" w:color="auto" w:fill="D4EEF4"/>
          </w:tcPr>
          <w:p>
            <w:pPr>
              <w:ind w:left="200"/>
              <w:spacing w:after="0" w:line="113" w:lineRule="exact"/>
              <w:rPr>
                <w:sz w:val="20"/>
                <w:szCs w:val="20"/>
                <w:color w:val="auto"/>
              </w:rPr>
            </w:pPr>
            <w:r>
              <w:rPr>
                <w:rFonts w:ascii="Times New Roman" w:cs="Times New Roman" w:eastAsia="Times New Roman" w:hAnsi="Times New Roman"/>
                <w:sz w:val="12"/>
                <w:szCs w:val="12"/>
                <w:color w:val="auto"/>
              </w:rPr>
              <w:t>Net loss</w:t>
            </w:r>
          </w:p>
        </w:tc>
        <w:tc>
          <w:tcPr>
            <w:tcW w:w="9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120" w:type="dxa"/>
            <w:vAlign w:val="bottom"/>
            <w:tcBorders>
              <w:top w:val="single" w:sz="8" w:color="auto"/>
              <w:left w:val="single" w:sz="8" w:color="D4EEF4"/>
            </w:tcBorders>
            <w:shd w:val="clear" w:color="auto" w:fill="D4EEF4"/>
          </w:tcPr>
          <w:p>
            <w:pPr>
              <w:spacing w:after="0"/>
              <w:rPr>
                <w:sz w:val="10"/>
                <w:szCs w:val="10"/>
                <w:color w:val="auto"/>
              </w:rPr>
            </w:pPr>
          </w:p>
        </w:tc>
        <w:tc>
          <w:tcPr>
            <w:tcW w:w="7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94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120" w:type="dxa"/>
            <w:vAlign w:val="bottom"/>
            <w:tcBorders>
              <w:top w:val="single" w:sz="8" w:color="auto"/>
              <w:left w:val="single" w:sz="8" w:color="D4EEF4"/>
            </w:tcBorders>
            <w:shd w:val="clear" w:color="auto" w:fill="D4EEF4"/>
          </w:tcPr>
          <w:p>
            <w:pPr>
              <w:spacing w:after="0"/>
              <w:rPr>
                <w:sz w:val="10"/>
                <w:szCs w:val="10"/>
                <w:color w:val="auto"/>
              </w:rPr>
            </w:pPr>
          </w:p>
        </w:tc>
        <w:tc>
          <w:tcPr>
            <w:tcW w:w="7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9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40" w:type="dxa"/>
            <w:vAlign w:val="bottom"/>
            <w:tcBorders>
              <w:top w:val="single" w:sz="8" w:color="D4EEF4"/>
              <w:right w:val="single" w:sz="8" w:color="D4EEF4"/>
            </w:tcBorders>
            <w:shd w:val="clear" w:color="auto" w:fill="D4EEF4"/>
          </w:tcPr>
          <w:p>
            <w:pPr>
              <w:spacing w:after="0"/>
              <w:rPr>
                <w:sz w:val="10"/>
                <w:szCs w:val="10"/>
                <w:color w:val="auto"/>
              </w:rPr>
            </w:pPr>
          </w:p>
        </w:tc>
        <w:tc>
          <w:tcPr>
            <w:tcW w:w="220" w:type="dxa"/>
            <w:vAlign w:val="bottom"/>
            <w:tcBorders>
              <w:top w:val="single" w:sz="8" w:color="auto"/>
              <w:left w:val="single" w:sz="8" w:color="D4EEF4"/>
            </w:tcBorders>
            <w:shd w:val="clear" w:color="auto" w:fill="D4EEF4"/>
          </w:tcPr>
          <w:p>
            <w:pPr>
              <w:spacing w:after="0"/>
              <w:rPr>
                <w:sz w:val="10"/>
                <w:szCs w:val="10"/>
                <w:color w:val="auto"/>
              </w:rPr>
            </w:pPr>
          </w:p>
        </w:tc>
        <w:tc>
          <w:tcPr>
            <w:tcW w:w="6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60" w:type="dxa"/>
            <w:vAlign w:val="bottom"/>
            <w:tcBorders>
              <w:top w:val="single" w:sz="8" w:color="auto"/>
              <w:left w:val="single" w:sz="8" w:color="D4EEF4"/>
            </w:tcBorders>
            <w:shd w:val="clear" w:color="auto" w:fill="D4EEF4"/>
          </w:tcPr>
          <w:p>
            <w:pPr>
              <w:spacing w:after="0"/>
              <w:rPr>
                <w:sz w:val="10"/>
                <w:szCs w:val="10"/>
                <w:color w:val="auto"/>
              </w:rPr>
            </w:pPr>
          </w:p>
        </w:tc>
        <w:tc>
          <w:tcPr>
            <w:tcW w:w="86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Borders>
              <w:top w:val="single" w:sz="8" w:color="D4EEF4"/>
              <w:right w:val="single" w:sz="8" w:color="D4EEF4"/>
            </w:tcBorders>
            <w:shd w:val="clear" w:color="auto" w:fill="D4EEF4"/>
          </w:tcPr>
          <w:p>
            <w:pPr>
              <w:spacing w:after="0"/>
              <w:rPr>
                <w:sz w:val="10"/>
                <w:szCs w:val="10"/>
                <w:color w:val="auto"/>
              </w:rPr>
            </w:pPr>
          </w:p>
        </w:tc>
        <w:tc>
          <w:tcPr>
            <w:tcW w:w="80" w:type="dxa"/>
            <w:vAlign w:val="bottom"/>
            <w:tcBorders>
              <w:top w:val="single" w:sz="8" w:color="auto"/>
            </w:tcBorders>
            <w:shd w:val="clear" w:color="auto" w:fill="D4EEF4"/>
          </w:tcPr>
          <w:p>
            <w:pPr>
              <w:spacing w:after="0"/>
              <w:rPr>
                <w:sz w:val="10"/>
                <w:szCs w:val="10"/>
                <w:color w:val="auto"/>
              </w:rPr>
            </w:pPr>
          </w:p>
        </w:tc>
        <w:tc>
          <w:tcPr>
            <w:tcW w:w="84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(7,133)</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20" w:type="dxa"/>
            <w:vAlign w:val="bottom"/>
            <w:tcBorders>
              <w:top w:val="single" w:sz="8" w:color="auto"/>
            </w:tcBorders>
            <w:shd w:val="clear" w:color="auto" w:fill="D4EEF4"/>
          </w:tcPr>
          <w:p>
            <w:pPr>
              <w:spacing w:after="0"/>
              <w:rPr>
                <w:sz w:val="10"/>
                <w:szCs w:val="10"/>
                <w:color w:val="auto"/>
              </w:rPr>
            </w:pPr>
          </w:p>
        </w:tc>
        <w:tc>
          <w:tcPr>
            <w:tcW w:w="7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(639)</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60" w:type="dxa"/>
            <w:vAlign w:val="bottom"/>
            <w:tcBorders>
              <w:top w:val="single" w:sz="8" w:color="auto"/>
            </w:tcBorders>
            <w:shd w:val="clear" w:color="auto" w:fill="D4EEF4"/>
          </w:tcPr>
          <w:p>
            <w:pPr>
              <w:spacing w:after="0"/>
              <w:rPr>
                <w:sz w:val="10"/>
                <w:szCs w:val="10"/>
                <w:color w:val="auto"/>
              </w:rPr>
            </w:pPr>
          </w:p>
        </w:tc>
        <w:tc>
          <w:tcPr>
            <w:tcW w:w="7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(7,772)</w:t>
            </w:r>
          </w:p>
        </w:tc>
        <w:tc>
          <w:tcPr>
            <w:tcW w:w="140" w:type="dxa"/>
            <w:vAlign w:val="bottom"/>
            <w:tcBorders>
              <w:top w:val="single" w:sz="8" w:color="D4EEF4"/>
            </w:tcBorders>
            <w:shd w:val="clear" w:color="auto" w:fill="D4EEF4"/>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Stock-based compensation</w:t>
            </w:r>
          </w:p>
        </w:tc>
        <w:tc>
          <w:tcPr>
            <w:tcW w:w="108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20,988</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20,988</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3"/>
                <w:szCs w:val="13"/>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Issuance of restricted stock units</w:t>
            </w: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1,265</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7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12,085</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12,086</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Exchange of Class B common stock for</w:t>
            </w: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14,354</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100" w:type="dxa"/>
            <w:vAlign w:val="bottom"/>
            <w:tcBorders>
              <w:right w:val="single" w:sz="8" w:color="D4EEF4"/>
            </w:tcBorders>
            <w:gridSpan w:val="2"/>
            <w:vMerge w:val="restart"/>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(14,354)</w:t>
            </w:r>
          </w:p>
        </w:tc>
        <w:tc>
          <w:tcPr>
            <w:tcW w:w="12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880" w:type="dxa"/>
            <w:vAlign w:val="bottom"/>
            <w:tcBorders>
              <w:right w:val="single" w:sz="8" w:color="D4EEF4"/>
            </w:tcBorders>
            <w:gridSpan w:val="2"/>
            <w:vMerge w:val="restart"/>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tcBorders>
              <w:right w:val="single" w:sz="8" w:color="D4EEF4"/>
            </w:tcBorders>
            <w:shd w:val="clear" w:color="auto" w:fill="D4EEF4"/>
          </w:tcPr>
          <w:p>
            <w:pPr>
              <w:spacing w:after="0"/>
              <w:rPr>
                <w:sz w:val="10"/>
                <w:szCs w:val="10"/>
                <w:color w:val="auto"/>
              </w:rPr>
            </w:pP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8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1000" w:type="dxa"/>
            <w:vAlign w:val="bottom"/>
            <w:tcBorders>
              <w:right w:val="single" w:sz="8" w:color="D4EEF4"/>
            </w:tcBorders>
            <w:gridSpan w:val="2"/>
            <w:vMerge w:val="restart"/>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0"/>
                <w:szCs w:val="10"/>
                <w:color w:val="auto"/>
              </w:rPr>
            </w:pPr>
          </w:p>
        </w:tc>
        <w:tc>
          <w:tcPr>
            <w:tcW w:w="9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0"/>
                <w:szCs w:val="10"/>
                <w:color w:val="auto"/>
              </w:rPr>
            </w:pPr>
          </w:p>
        </w:tc>
        <w:tc>
          <w:tcPr>
            <w:tcW w:w="920" w:type="dxa"/>
            <w:vAlign w:val="bottom"/>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5"/>
        </w:trPr>
        <w:tc>
          <w:tcPr>
            <w:tcW w:w="2380" w:type="dxa"/>
            <w:vAlign w:val="bottom"/>
            <w:tcBorders>
              <w:right w:val="single" w:sz="8" w:color="D4EEF4"/>
            </w:tcBorders>
            <w:vMerge w:val="restart"/>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Class A common stock</w:t>
            </w: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720" w:type="dxa"/>
            <w:vAlign w:val="bottom"/>
            <w:vMerge w:val="continue"/>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1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88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220" w:type="dxa"/>
            <w:vAlign w:val="bottom"/>
            <w:tcBorders>
              <w:left w:val="single" w:sz="8" w:color="D4EEF4"/>
            </w:tcBorders>
            <w:shd w:val="clear" w:color="auto" w:fill="D4EEF4"/>
          </w:tcPr>
          <w:p>
            <w:pPr>
              <w:spacing w:after="0"/>
              <w:rPr>
                <w:sz w:val="7"/>
                <w:szCs w:val="7"/>
                <w:color w:val="auto"/>
              </w:rPr>
            </w:pPr>
          </w:p>
        </w:tc>
        <w:tc>
          <w:tcPr>
            <w:tcW w:w="840" w:type="dxa"/>
            <w:vAlign w:val="bottom"/>
            <w:tcBorders>
              <w:right w:val="single" w:sz="8" w:color="D4EEF4"/>
            </w:tcBorders>
            <w:gridSpan w:val="2"/>
            <w:vMerge w:val="continue"/>
            <w:shd w:val="clear" w:color="auto" w:fill="D4EEF4"/>
          </w:tcPr>
          <w:p>
            <w:pPr>
              <w:spacing w:after="0"/>
              <w:rPr>
                <w:sz w:val="7"/>
                <w:szCs w:val="7"/>
                <w:color w:val="auto"/>
              </w:rPr>
            </w:pPr>
          </w:p>
        </w:tc>
        <w:tc>
          <w:tcPr>
            <w:tcW w:w="60" w:type="dxa"/>
            <w:vAlign w:val="bottom"/>
            <w:tcBorders>
              <w:left w:val="single" w:sz="8" w:color="D4EEF4"/>
            </w:tcBorders>
            <w:shd w:val="clear" w:color="auto" w:fill="D4EEF4"/>
          </w:tcPr>
          <w:p>
            <w:pPr>
              <w:spacing w:after="0"/>
              <w:rPr>
                <w:sz w:val="7"/>
                <w:szCs w:val="7"/>
                <w:color w:val="auto"/>
              </w:rPr>
            </w:pPr>
          </w:p>
        </w:tc>
        <w:tc>
          <w:tcPr>
            <w:tcW w:w="860" w:type="dxa"/>
            <w:vAlign w:val="bottom"/>
            <w:vMerge w:val="continue"/>
            <w:shd w:val="clear" w:color="auto" w:fill="D4EEF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80" w:type="dxa"/>
            <w:vAlign w:val="bottom"/>
            <w:shd w:val="clear" w:color="auto" w:fill="D4EEF4"/>
          </w:tcPr>
          <w:p>
            <w:pPr>
              <w:spacing w:after="0"/>
              <w:rPr>
                <w:sz w:val="7"/>
                <w:szCs w:val="7"/>
                <w:color w:val="auto"/>
              </w:rPr>
            </w:pPr>
          </w:p>
        </w:tc>
        <w:tc>
          <w:tcPr>
            <w:tcW w:w="10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shd w:val="clear" w:color="auto" w:fill="D4EEF4"/>
          </w:tcPr>
          <w:p>
            <w:pPr>
              <w:spacing w:after="0"/>
              <w:rPr>
                <w:sz w:val="7"/>
                <w:szCs w:val="7"/>
                <w:color w:val="auto"/>
              </w:rPr>
            </w:pPr>
          </w:p>
        </w:tc>
        <w:tc>
          <w:tcPr>
            <w:tcW w:w="94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shd w:val="clear" w:color="auto" w:fill="D4EEF4"/>
          </w:tcPr>
          <w:p>
            <w:pPr>
              <w:spacing w:after="0"/>
              <w:rPr>
                <w:sz w:val="7"/>
                <w:szCs w:val="7"/>
                <w:color w:val="auto"/>
              </w:rPr>
            </w:pPr>
          </w:p>
        </w:tc>
        <w:tc>
          <w:tcPr>
            <w:tcW w:w="920" w:type="dxa"/>
            <w:vAlign w:val="bottom"/>
            <w:gridSpan w:val="2"/>
            <w:vMerge w:val="continue"/>
            <w:shd w:val="clear" w:color="auto" w:fill="D4EEF4"/>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tcBorders>
              <w:right w:val="single" w:sz="8" w:color="D4EEF4"/>
            </w:tcBorders>
            <w:vMerge w:val="continue"/>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220" w:type="dxa"/>
            <w:vAlign w:val="bottom"/>
            <w:tcBorders>
              <w:left w:val="single" w:sz="8" w:color="D4EEF4"/>
            </w:tcBorders>
            <w:shd w:val="clear" w:color="auto" w:fill="D4EEF4"/>
          </w:tcPr>
          <w:p>
            <w:pPr>
              <w:spacing w:after="0"/>
              <w:rPr>
                <w:sz w:val="6"/>
                <w:szCs w:val="6"/>
                <w:color w:val="auto"/>
              </w:rPr>
            </w:pPr>
          </w:p>
        </w:tc>
        <w:tc>
          <w:tcPr>
            <w:tcW w:w="6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60" w:type="dxa"/>
            <w:vAlign w:val="bottom"/>
            <w:tcBorders>
              <w:left w:val="single" w:sz="8" w:color="D4EEF4"/>
            </w:tcBorders>
            <w:shd w:val="clear" w:color="auto" w:fill="D4EEF4"/>
          </w:tcPr>
          <w:p>
            <w:pPr>
              <w:spacing w:after="0"/>
              <w:rPr>
                <w:sz w:val="6"/>
                <w:szCs w:val="6"/>
                <w:color w:val="auto"/>
              </w:rPr>
            </w:pPr>
          </w:p>
        </w:tc>
        <w:tc>
          <w:tcPr>
            <w:tcW w:w="860" w:type="dxa"/>
            <w:vAlign w:val="bottom"/>
            <w:shd w:val="clear" w:color="auto" w:fill="D4EEF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80" w:type="dxa"/>
            <w:vAlign w:val="bottom"/>
            <w:shd w:val="clear" w:color="auto" w:fill="D4EEF4"/>
          </w:tcPr>
          <w:p>
            <w:pPr>
              <w:spacing w:after="0"/>
              <w:rPr>
                <w:sz w:val="6"/>
                <w:szCs w:val="6"/>
                <w:color w:val="auto"/>
              </w:rPr>
            </w:pPr>
          </w:p>
        </w:tc>
        <w:tc>
          <w:tcPr>
            <w:tcW w:w="8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40" w:type="dxa"/>
            <w:vAlign w:val="bottom"/>
            <w:shd w:val="clear" w:color="auto" w:fill="D4EEF4"/>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Exercise of stock options (net of tax)</w:t>
            </w: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386</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Repurchase of common stock for employee</w:t>
            </w:r>
          </w:p>
        </w:tc>
        <w:tc>
          <w:tcPr>
            <w:tcW w:w="1220" w:type="dxa"/>
            <w:vAlign w:val="bottom"/>
            <w:tcBorders>
              <w:right w:val="single" w:sz="8" w:color="D4EEF4"/>
            </w:tcBorders>
            <w:gridSpan w:val="3"/>
            <w:vMerge w:val="restart"/>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0"/>
                <w:szCs w:val="10"/>
                <w:color w:val="auto"/>
              </w:rPr>
            </w:pPr>
          </w:p>
        </w:tc>
        <w:tc>
          <w:tcPr>
            <w:tcW w:w="1020" w:type="dxa"/>
            <w:vAlign w:val="bottom"/>
            <w:tcBorders>
              <w:right w:val="single" w:sz="8" w:color="D4EEF4"/>
            </w:tcBorders>
            <w:gridSpan w:val="3"/>
            <w:vMerge w:val="restart"/>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vMerge w:val="restart"/>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0"/>
                <w:szCs w:val="10"/>
                <w:color w:val="auto"/>
              </w:rPr>
            </w:pPr>
          </w:p>
        </w:tc>
        <w:tc>
          <w:tcPr>
            <w:tcW w:w="1040" w:type="dxa"/>
            <w:vAlign w:val="bottom"/>
            <w:tcBorders>
              <w:right w:val="single" w:sz="8" w:color="D4EEF4"/>
            </w:tcBorders>
            <w:gridSpan w:val="3"/>
            <w:vMerge w:val="restart"/>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8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(9,482)</w:t>
            </w: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1000" w:type="dxa"/>
            <w:vAlign w:val="bottom"/>
            <w:tcBorders>
              <w:right w:val="single" w:sz="8" w:color="D4EEF4"/>
            </w:tcBorders>
            <w:gridSpan w:val="2"/>
            <w:vMerge w:val="restart"/>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0"/>
                <w:szCs w:val="10"/>
                <w:color w:val="auto"/>
              </w:rPr>
            </w:pPr>
          </w:p>
        </w:tc>
        <w:tc>
          <w:tcPr>
            <w:tcW w:w="9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0"/>
                <w:szCs w:val="10"/>
                <w:color w:val="auto"/>
              </w:rPr>
            </w:pPr>
          </w:p>
        </w:tc>
        <w:tc>
          <w:tcPr>
            <w:tcW w:w="920" w:type="dxa"/>
            <w:vAlign w:val="bottom"/>
            <w:gridSpan w:val="2"/>
            <w:vMerge w:val="restart"/>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(9,482)</w:t>
            </w:r>
          </w:p>
        </w:tc>
        <w:tc>
          <w:tcPr>
            <w:tcW w:w="0" w:type="dxa"/>
            <w:vAlign w:val="bottom"/>
          </w:tcPr>
          <w:p>
            <w:pPr>
              <w:spacing w:after="0"/>
              <w:rPr>
                <w:sz w:val="1"/>
                <w:szCs w:val="1"/>
                <w:color w:val="auto"/>
              </w:rPr>
            </w:pPr>
          </w:p>
        </w:tc>
      </w:tr>
      <w:tr>
        <w:trPr>
          <w:trHeight w:val="85"/>
        </w:trPr>
        <w:tc>
          <w:tcPr>
            <w:tcW w:w="2380" w:type="dxa"/>
            <w:vAlign w:val="bottom"/>
            <w:tcBorders>
              <w:right w:val="single" w:sz="8" w:color="D4EEF4"/>
            </w:tcBorders>
            <w:vMerge w:val="restart"/>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tax withholding</w:t>
            </w:r>
          </w:p>
        </w:tc>
        <w:tc>
          <w:tcPr>
            <w:tcW w:w="1220" w:type="dxa"/>
            <w:vAlign w:val="bottom"/>
            <w:tcBorders>
              <w:right w:val="single" w:sz="8" w:color="D4EEF4"/>
            </w:tcBorders>
            <w:gridSpan w:val="3"/>
            <w:vMerge w:val="continue"/>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1020" w:type="dxa"/>
            <w:vAlign w:val="bottom"/>
            <w:tcBorders>
              <w:right w:val="single" w:sz="8" w:color="D4EEF4"/>
            </w:tcBorders>
            <w:gridSpan w:val="3"/>
            <w:vMerge w:val="continue"/>
            <w:shd w:val="clear" w:color="auto" w:fill="D4EEF4"/>
          </w:tcPr>
          <w:p>
            <w:pPr>
              <w:spacing w:after="0"/>
              <w:rPr>
                <w:sz w:val="7"/>
                <w:szCs w:val="7"/>
                <w:color w:val="auto"/>
              </w:rPr>
            </w:pPr>
          </w:p>
        </w:tc>
        <w:tc>
          <w:tcPr>
            <w:tcW w:w="1220" w:type="dxa"/>
            <w:vAlign w:val="bottom"/>
            <w:tcBorders>
              <w:right w:val="single" w:sz="8" w:color="D4EEF4"/>
            </w:tcBorders>
            <w:gridSpan w:val="3"/>
            <w:vMerge w:val="continue"/>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1040" w:type="dxa"/>
            <w:vAlign w:val="bottom"/>
            <w:tcBorders>
              <w:right w:val="single" w:sz="8" w:color="D4EEF4"/>
            </w:tcBorders>
            <w:gridSpan w:val="3"/>
            <w:vMerge w:val="continue"/>
            <w:shd w:val="clear" w:color="auto" w:fill="D4EEF4"/>
          </w:tcPr>
          <w:p>
            <w:pPr>
              <w:spacing w:after="0"/>
              <w:rPr>
                <w:sz w:val="7"/>
                <w:szCs w:val="7"/>
                <w:color w:val="auto"/>
              </w:rPr>
            </w:pP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220" w:type="dxa"/>
            <w:vAlign w:val="bottom"/>
            <w:tcBorders>
              <w:left w:val="single" w:sz="8" w:color="D4EEF4"/>
            </w:tcBorders>
            <w:shd w:val="clear" w:color="auto" w:fill="D4EEF4"/>
          </w:tcPr>
          <w:p>
            <w:pPr>
              <w:spacing w:after="0"/>
              <w:rPr>
                <w:sz w:val="7"/>
                <w:szCs w:val="7"/>
                <w:color w:val="auto"/>
              </w:rPr>
            </w:pPr>
          </w:p>
        </w:tc>
        <w:tc>
          <w:tcPr>
            <w:tcW w:w="840" w:type="dxa"/>
            <w:vAlign w:val="bottom"/>
            <w:tcBorders>
              <w:right w:val="single" w:sz="8" w:color="D4EEF4"/>
            </w:tcBorders>
            <w:gridSpan w:val="2"/>
            <w:vMerge w:val="continue"/>
            <w:shd w:val="clear" w:color="auto" w:fill="D4EEF4"/>
          </w:tcPr>
          <w:p>
            <w:pPr>
              <w:spacing w:after="0"/>
              <w:rPr>
                <w:sz w:val="7"/>
                <w:szCs w:val="7"/>
                <w:color w:val="auto"/>
              </w:rPr>
            </w:pPr>
          </w:p>
        </w:tc>
        <w:tc>
          <w:tcPr>
            <w:tcW w:w="60" w:type="dxa"/>
            <w:vAlign w:val="bottom"/>
            <w:tcBorders>
              <w:left w:val="single" w:sz="8" w:color="D4EEF4"/>
            </w:tcBorders>
            <w:shd w:val="clear" w:color="auto" w:fill="D4EEF4"/>
          </w:tcPr>
          <w:p>
            <w:pPr>
              <w:spacing w:after="0"/>
              <w:rPr>
                <w:sz w:val="7"/>
                <w:szCs w:val="7"/>
                <w:color w:val="auto"/>
              </w:rPr>
            </w:pPr>
          </w:p>
        </w:tc>
        <w:tc>
          <w:tcPr>
            <w:tcW w:w="860" w:type="dxa"/>
            <w:vAlign w:val="bottom"/>
            <w:vMerge w:val="continue"/>
            <w:shd w:val="clear" w:color="auto" w:fill="D4EEF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80" w:type="dxa"/>
            <w:vAlign w:val="bottom"/>
            <w:shd w:val="clear" w:color="auto" w:fill="D4EEF4"/>
          </w:tcPr>
          <w:p>
            <w:pPr>
              <w:spacing w:after="0"/>
              <w:rPr>
                <w:sz w:val="7"/>
                <w:szCs w:val="7"/>
                <w:color w:val="auto"/>
              </w:rPr>
            </w:pPr>
          </w:p>
        </w:tc>
        <w:tc>
          <w:tcPr>
            <w:tcW w:w="10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shd w:val="clear" w:color="auto" w:fill="D4EEF4"/>
          </w:tcPr>
          <w:p>
            <w:pPr>
              <w:spacing w:after="0"/>
              <w:rPr>
                <w:sz w:val="7"/>
                <w:szCs w:val="7"/>
                <w:color w:val="auto"/>
              </w:rPr>
            </w:pPr>
          </w:p>
        </w:tc>
        <w:tc>
          <w:tcPr>
            <w:tcW w:w="94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shd w:val="clear" w:color="auto" w:fill="D4EEF4"/>
          </w:tcPr>
          <w:p>
            <w:pPr>
              <w:spacing w:after="0"/>
              <w:rPr>
                <w:sz w:val="7"/>
                <w:szCs w:val="7"/>
                <w:color w:val="auto"/>
              </w:rPr>
            </w:pPr>
          </w:p>
        </w:tc>
        <w:tc>
          <w:tcPr>
            <w:tcW w:w="920" w:type="dxa"/>
            <w:vAlign w:val="bottom"/>
            <w:gridSpan w:val="2"/>
            <w:vMerge w:val="continue"/>
            <w:shd w:val="clear" w:color="auto" w:fill="D4EEF4"/>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tcBorders>
              <w:right w:val="single" w:sz="8" w:color="D4EEF4"/>
            </w:tcBorders>
            <w:vMerge w:val="continue"/>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220" w:type="dxa"/>
            <w:vAlign w:val="bottom"/>
            <w:tcBorders>
              <w:left w:val="single" w:sz="8" w:color="D4EEF4"/>
            </w:tcBorders>
            <w:shd w:val="clear" w:color="auto" w:fill="D4EEF4"/>
          </w:tcPr>
          <w:p>
            <w:pPr>
              <w:spacing w:after="0"/>
              <w:rPr>
                <w:sz w:val="6"/>
                <w:szCs w:val="6"/>
                <w:color w:val="auto"/>
              </w:rPr>
            </w:pPr>
          </w:p>
        </w:tc>
        <w:tc>
          <w:tcPr>
            <w:tcW w:w="6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60" w:type="dxa"/>
            <w:vAlign w:val="bottom"/>
            <w:tcBorders>
              <w:left w:val="single" w:sz="8" w:color="D4EEF4"/>
            </w:tcBorders>
            <w:shd w:val="clear" w:color="auto" w:fill="D4EEF4"/>
          </w:tcPr>
          <w:p>
            <w:pPr>
              <w:spacing w:after="0"/>
              <w:rPr>
                <w:sz w:val="6"/>
                <w:szCs w:val="6"/>
                <w:color w:val="auto"/>
              </w:rPr>
            </w:pPr>
          </w:p>
        </w:tc>
        <w:tc>
          <w:tcPr>
            <w:tcW w:w="860" w:type="dxa"/>
            <w:vAlign w:val="bottom"/>
            <w:shd w:val="clear" w:color="auto" w:fill="D4EEF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80" w:type="dxa"/>
            <w:vAlign w:val="bottom"/>
            <w:shd w:val="clear" w:color="auto" w:fill="D4EEF4"/>
          </w:tcPr>
          <w:p>
            <w:pPr>
              <w:spacing w:after="0"/>
              <w:rPr>
                <w:sz w:val="6"/>
                <w:szCs w:val="6"/>
                <w:color w:val="auto"/>
              </w:rPr>
            </w:pPr>
          </w:p>
        </w:tc>
        <w:tc>
          <w:tcPr>
            <w:tcW w:w="8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40" w:type="dxa"/>
            <w:vAlign w:val="bottom"/>
            <w:shd w:val="clear" w:color="auto" w:fill="D4EEF4"/>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Stock repurchase</w:t>
            </w:r>
          </w:p>
        </w:tc>
        <w:tc>
          <w:tcPr>
            <w:tcW w:w="108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(780)</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(180)</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780</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(7,662)</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(1,501)</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(9,163)</w:t>
            </w: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1220" w:type="dxa"/>
            <w:vAlign w:val="bottom"/>
            <w:tcBorders>
              <w:right w:val="single" w:sz="8" w:color="D4EEF4"/>
            </w:tcBorders>
            <w:gridSpan w:val="3"/>
            <w:vMerge w:val="restart"/>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0"/>
                <w:szCs w:val="10"/>
                <w:color w:val="auto"/>
              </w:rPr>
            </w:pPr>
          </w:p>
        </w:tc>
        <w:tc>
          <w:tcPr>
            <w:tcW w:w="1020" w:type="dxa"/>
            <w:vAlign w:val="bottom"/>
            <w:tcBorders>
              <w:right w:val="single" w:sz="8" w:color="D4EEF4"/>
            </w:tcBorders>
            <w:gridSpan w:val="3"/>
            <w:vMerge w:val="restart"/>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vMerge w:val="restart"/>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0"/>
                <w:szCs w:val="10"/>
                <w:color w:val="auto"/>
              </w:rPr>
            </w:pPr>
          </w:p>
        </w:tc>
        <w:tc>
          <w:tcPr>
            <w:tcW w:w="1040" w:type="dxa"/>
            <w:vAlign w:val="bottom"/>
            <w:tcBorders>
              <w:right w:val="single" w:sz="8" w:color="D4EEF4"/>
            </w:tcBorders>
            <w:gridSpan w:val="3"/>
            <w:vMerge w:val="restart"/>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8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1000" w:type="dxa"/>
            <w:vAlign w:val="bottom"/>
            <w:tcBorders>
              <w:right w:val="single" w:sz="8" w:color="D4EEF4"/>
            </w:tcBorders>
            <w:gridSpan w:val="2"/>
            <w:vMerge w:val="restart"/>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0"/>
                <w:szCs w:val="10"/>
                <w:color w:val="auto"/>
              </w:rPr>
            </w:pPr>
          </w:p>
        </w:tc>
        <w:tc>
          <w:tcPr>
            <w:tcW w:w="940" w:type="dxa"/>
            <w:vAlign w:val="bottom"/>
            <w:tcBorders>
              <w:right w:val="single" w:sz="8" w:color="D4EEF4"/>
            </w:tcBorders>
            <w:gridSpan w:val="2"/>
            <w:vMerge w:val="restart"/>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(533)</w:t>
            </w:r>
          </w:p>
        </w:tc>
        <w:tc>
          <w:tcPr>
            <w:tcW w:w="160" w:type="dxa"/>
            <w:vAlign w:val="bottom"/>
            <w:shd w:val="clear" w:color="auto" w:fill="D4EEF4"/>
          </w:tcPr>
          <w:p>
            <w:pPr>
              <w:spacing w:after="0"/>
              <w:rPr>
                <w:sz w:val="10"/>
                <w:szCs w:val="10"/>
                <w:color w:val="auto"/>
              </w:rPr>
            </w:pPr>
          </w:p>
        </w:tc>
        <w:tc>
          <w:tcPr>
            <w:tcW w:w="920" w:type="dxa"/>
            <w:vAlign w:val="bottom"/>
            <w:gridSpan w:val="2"/>
            <w:vMerge w:val="restart"/>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(533)</w:t>
            </w:r>
          </w:p>
        </w:tc>
        <w:tc>
          <w:tcPr>
            <w:tcW w:w="0" w:type="dxa"/>
            <w:vAlign w:val="bottom"/>
          </w:tcPr>
          <w:p>
            <w:pPr>
              <w:spacing w:after="0"/>
              <w:rPr>
                <w:sz w:val="1"/>
                <w:szCs w:val="1"/>
                <w:color w:val="auto"/>
              </w:rPr>
            </w:pPr>
          </w:p>
        </w:tc>
      </w:tr>
      <w:tr>
        <w:trPr>
          <w:trHeight w:val="85"/>
        </w:trPr>
        <w:tc>
          <w:tcPr>
            <w:tcW w:w="2380" w:type="dxa"/>
            <w:vAlign w:val="bottom"/>
            <w:tcBorders>
              <w:right w:val="single" w:sz="8" w:color="D4EEF4"/>
            </w:tcBorders>
            <w:vMerge w:val="restart"/>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net</w:t>
            </w:r>
          </w:p>
        </w:tc>
        <w:tc>
          <w:tcPr>
            <w:tcW w:w="1220" w:type="dxa"/>
            <w:vAlign w:val="bottom"/>
            <w:tcBorders>
              <w:right w:val="single" w:sz="8" w:color="D4EEF4"/>
            </w:tcBorders>
            <w:gridSpan w:val="3"/>
            <w:vMerge w:val="continue"/>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1020" w:type="dxa"/>
            <w:vAlign w:val="bottom"/>
            <w:tcBorders>
              <w:right w:val="single" w:sz="8" w:color="D4EEF4"/>
            </w:tcBorders>
            <w:gridSpan w:val="3"/>
            <w:vMerge w:val="continue"/>
            <w:shd w:val="clear" w:color="auto" w:fill="D4EEF4"/>
          </w:tcPr>
          <w:p>
            <w:pPr>
              <w:spacing w:after="0"/>
              <w:rPr>
                <w:sz w:val="7"/>
                <w:szCs w:val="7"/>
                <w:color w:val="auto"/>
              </w:rPr>
            </w:pPr>
          </w:p>
        </w:tc>
        <w:tc>
          <w:tcPr>
            <w:tcW w:w="1220" w:type="dxa"/>
            <w:vAlign w:val="bottom"/>
            <w:tcBorders>
              <w:right w:val="single" w:sz="8" w:color="D4EEF4"/>
            </w:tcBorders>
            <w:gridSpan w:val="3"/>
            <w:vMerge w:val="continue"/>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1040" w:type="dxa"/>
            <w:vAlign w:val="bottom"/>
            <w:tcBorders>
              <w:right w:val="single" w:sz="8" w:color="D4EEF4"/>
            </w:tcBorders>
            <w:gridSpan w:val="3"/>
            <w:vMerge w:val="continue"/>
            <w:shd w:val="clear" w:color="auto" w:fill="D4EEF4"/>
          </w:tcPr>
          <w:p>
            <w:pPr>
              <w:spacing w:after="0"/>
              <w:rPr>
                <w:sz w:val="7"/>
                <w:szCs w:val="7"/>
                <w:color w:val="auto"/>
              </w:rPr>
            </w:pP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220" w:type="dxa"/>
            <w:vAlign w:val="bottom"/>
            <w:tcBorders>
              <w:left w:val="single" w:sz="8" w:color="D4EEF4"/>
            </w:tcBorders>
            <w:shd w:val="clear" w:color="auto" w:fill="D4EEF4"/>
          </w:tcPr>
          <w:p>
            <w:pPr>
              <w:spacing w:after="0"/>
              <w:rPr>
                <w:sz w:val="7"/>
                <w:szCs w:val="7"/>
                <w:color w:val="auto"/>
              </w:rPr>
            </w:pPr>
          </w:p>
        </w:tc>
        <w:tc>
          <w:tcPr>
            <w:tcW w:w="840" w:type="dxa"/>
            <w:vAlign w:val="bottom"/>
            <w:tcBorders>
              <w:right w:val="single" w:sz="8" w:color="D4EEF4"/>
            </w:tcBorders>
            <w:gridSpan w:val="2"/>
            <w:vMerge w:val="continue"/>
            <w:shd w:val="clear" w:color="auto" w:fill="D4EEF4"/>
          </w:tcPr>
          <w:p>
            <w:pPr>
              <w:spacing w:after="0"/>
              <w:rPr>
                <w:sz w:val="7"/>
                <w:szCs w:val="7"/>
                <w:color w:val="auto"/>
              </w:rPr>
            </w:pPr>
          </w:p>
        </w:tc>
        <w:tc>
          <w:tcPr>
            <w:tcW w:w="60" w:type="dxa"/>
            <w:vAlign w:val="bottom"/>
            <w:tcBorders>
              <w:left w:val="single" w:sz="8" w:color="D4EEF4"/>
            </w:tcBorders>
            <w:shd w:val="clear" w:color="auto" w:fill="D4EEF4"/>
          </w:tcPr>
          <w:p>
            <w:pPr>
              <w:spacing w:after="0"/>
              <w:rPr>
                <w:sz w:val="7"/>
                <w:szCs w:val="7"/>
                <w:color w:val="auto"/>
              </w:rPr>
            </w:pPr>
          </w:p>
        </w:tc>
        <w:tc>
          <w:tcPr>
            <w:tcW w:w="860" w:type="dxa"/>
            <w:vAlign w:val="bottom"/>
            <w:vMerge w:val="continue"/>
            <w:shd w:val="clear" w:color="auto" w:fill="D4EEF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80" w:type="dxa"/>
            <w:vAlign w:val="bottom"/>
            <w:shd w:val="clear" w:color="auto" w:fill="D4EEF4"/>
          </w:tcPr>
          <w:p>
            <w:pPr>
              <w:spacing w:after="0"/>
              <w:rPr>
                <w:sz w:val="7"/>
                <w:szCs w:val="7"/>
                <w:color w:val="auto"/>
              </w:rPr>
            </w:pPr>
          </w:p>
        </w:tc>
        <w:tc>
          <w:tcPr>
            <w:tcW w:w="10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shd w:val="clear" w:color="auto" w:fill="D4EEF4"/>
          </w:tcPr>
          <w:p>
            <w:pPr>
              <w:spacing w:after="0"/>
              <w:rPr>
                <w:sz w:val="7"/>
                <w:szCs w:val="7"/>
                <w:color w:val="auto"/>
              </w:rPr>
            </w:pPr>
          </w:p>
        </w:tc>
        <w:tc>
          <w:tcPr>
            <w:tcW w:w="94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shd w:val="clear" w:color="auto" w:fill="D4EEF4"/>
          </w:tcPr>
          <w:p>
            <w:pPr>
              <w:spacing w:after="0"/>
              <w:rPr>
                <w:sz w:val="7"/>
                <w:szCs w:val="7"/>
                <w:color w:val="auto"/>
              </w:rPr>
            </w:pPr>
          </w:p>
        </w:tc>
        <w:tc>
          <w:tcPr>
            <w:tcW w:w="920" w:type="dxa"/>
            <w:vAlign w:val="bottom"/>
            <w:gridSpan w:val="2"/>
            <w:vMerge w:val="continue"/>
            <w:shd w:val="clear" w:color="auto" w:fill="D4EEF4"/>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tcBorders>
              <w:right w:val="single" w:sz="8" w:color="D4EEF4"/>
            </w:tcBorders>
            <w:vMerge w:val="continue"/>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220" w:type="dxa"/>
            <w:vAlign w:val="bottom"/>
            <w:tcBorders>
              <w:left w:val="single" w:sz="8" w:color="D4EEF4"/>
            </w:tcBorders>
            <w:shd w:val="clear" w:color="auto" w:fill="D4EEF4"/>
          </w:tcPr>
          <w:p>
            <w:pPr>
              <w:spacing w:after="0"/>
              <w:rPr>
                <w:sz w:val="6"/>
                <w:szCs w:val="6"/>
                <w:color w:val="auto"/>
              </w:rPr>
            </w:pPr>
          </w:p>
        </w:tc>
        <w:tc>
          <w:tcPr>
            <w:tcW w:w="6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60" w:type="dxa"/>
            <w:vAlign w:val="bottom"/>
            <w:tcBorders>
              <w:left w:val="single" w:sz="8" w:color="D4EEF4"/>
            </w:tcBorders>
            <w:shd w:val="clear" w:color="auto" w:fill="D4EEF4"/>
          </w:tcPr>
          <w:p>
            <w:pPr>
              <w:spacing w:after="0"/>
              <w:rPr>
                <w:sz w:val="6"/>
                <w:szCs w:val="6"/>
                <w:color w:val="auto"/>
              </w:rPr>
            </w:pPr>
          </w:p>
        </w:tc>
        <w:tc>
          <w:tcPr>
            <w:tcW w:w="860" w:type="dxa"/>
            <w:vAlign w:val="bottom"/>
            <w:shd w:val="clear" w:color="auto" w:fill="D4EEF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80" w:type="dxa"/>
            <w:vAlign w:val="bottom"/>
            <w:shd w:val="clear" w:color="auto" w:fill="D4EEF4"/>
          </w:tcPr>
          <w:p>
            <w:pPr>
              <w:spacing w:after="0"/>
              <w:rPr>
                <w:sz w:val="6"/>
                <w:szCs w:val="6"/>
                <w:color w:val="auto"/>
              </w:rPr>
            </w:pPr>
          </w:p>
        </w:tc>
        <w:tc>
          <w:tcPr>
            <w:tcW w:w="8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40" w:type="dxa"/>
            <w:vAlign w:val="bottom"/>
            <w:shd w:val="clear" w:color="auto" w:fill="D4EEF4"/>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Dividends declared</w:t>
            </w:r>
          </w:p>
        </w:tc>
        <w:tc>
          <w:tcPr>
            <w:tcW w:w="108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920" w:type="dxa"/>
            <w:vAlign w:val="bottom"/>
            <w:tcBorders>
              <w:top w:val="single" w:sz="8" w:color="D4EEF4"/>
            </w:tcBorders>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Dividends paid per share $0.13</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D4EEF4"/>
            </w:tcBorders>
            <w:gridSpan w:val="2"/>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D4EEF4"/>
            </w:tcBorders>
            <w:gridSpan w:val="2"/>
            <w:shd w:val="clear" w:color="auto" w:fill="D4EEF4"/>
          </w:tcPr>
          <w:p>
            <w:pPr>
              <w:spacing w:after="0"/>
              <w:rPr>
                <w:sz w:val="13"/>
                <w:szCs w:val="13"/>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D4EEF4"/>
            </w:tcBorders>
            <w:gridSpan w:val="2"/>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right w:val="single" w:sz="8" w:color="D4EEF4"/>
            </w:tcBorders>
            <w:gridSpan w:val="2"/>
            <w:shd w:val="clear" w:color="auto" w:fill="D4EEF4"/>
          </w:tcPr>
          <w:p>
            <w:pPr>
              <w:spacing w:after="0"/>
              <w:rPr>
                <w:sz w:val="13"/>
                <w:szCs w:val="13"/>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(14,832)</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8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(14,832)</w:t>
            </w:r>
          </w:p>
        </w:tc>
        <w:tc>
          <w:tcPr>
            <w:tcW w:w="0" w:type="dxa"/>
            <w:vAlign w:val="bottom"/>
          </w:tcPr>
          <w:p>
            <w:pPr>
              <w:spacing w:after="0"/>
              <w:rPr>
                <w:sz w:val="1"/>
                <w:szCs w:val="1"/>
                <w:color w:val="auto"/>
              </w:rPr>
            </w:pPr>
          </w:p>
        </w:tc>
      </w:tr>
      <w:tr>
        <w:trPr>
          <w:trHeight w:val="20"/>
        </w:trPr>
        <w:tc>
          <w:tcPr>
            <w:tcW w:w="23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80" w:type="dxa"/>
            <w:vAlign w:val="bottom"/>
          </w:tcPr>
          <w:p>
            <w:pPr>
              <w:spacing w:after="0"/>
              <w:rPr>
                <w:sz w:val="20"/>
                <w:szCs w:val="20"/>
                <w:color w:val="auto"/>
              </w:rPr>
            </w:pPr>
            <w:r>
              <w:rPr>
                <w:rFonts w:ascii="Calibri" w:cs="Calibri" w:eastAsia="Calibri" w:hAnsi="Calibri"/>
                <w:sz w:val="12"/>
                <w:szCs w:val="12"/>
                <w:b w:val="1"/>
                <w:bCs w:val="1"/>
                <w:color w:val="auto"/>
              </w:rPr>
              <w:t>Balance at December 31, 2023</w:t>
            </w:r>
          </w:p>
        </w:tc>
        <w:tc>
          <w:tcPr>
            <w:tcW w:w="920" w:type="dxa"/>
            <w:vAlign w:val="bottom"/>
          </w:tcPr>
          <w:p>
            <w:pPr>
              <w:jc w:val="right"/>
              <w:spacing w:after="0"/>
              <w:rPr>
                <w:sz w:val="20"/>
                <w:szCs w:val="20"/>
                <w:color w:val="auto"/>
              </w:rPr>
            </w:pPr>
            <w:r>
              <w:rPr>
                <w:rFonts w:ascii="Calibri" w:cs="Calibri" w:eastAsia="Calibri" w:hAnsi="Calibri"/>
                <w:sz w:val="12"/>
                <w:szCs w:val="12"/>
                <w:color w:val="auto"/>
              </w:rPr>
              <w:t>57,623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Pr>
          <w:p>
            <w:pPr>
              <w:jc w:val="right"/>
              <w:spacing w:after="0"/>
              <w:rPr>
                <w:sz w:val="20"/>
                <w:szCs w:val="20"/>
                <w:color w:val="auto"/>
              </w:rPr>
            </w:pPr>
            <w:r>
              <w:rPr>
                <w:rFonts w:ascii="Calibri" w:cs="Calibri" w:eastAsia="Calibri" w:hAnsi="Calibri"/>
                <w:sz w:val="12"/>
                <w:szCs w:val="12"/>
                <w:color w:val="auto"/>
              </w:rPr>
              <w:t>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2"/>
                <w:szCs w:val="12"/>
                <w:color w:val="auto"/>
              </w:rPr>
              <w:t>58,474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ind w:right="55"/>
              <w:spacing w:after="0"/>
              <w:rPr>
                <w:sz w:val="20"/>
                <w:szCs w:val="20"/>
                <w:color w:val="auto"/>
              </w:rPr>
            </w:pPr>
            <w:r>
              <w:rPr>
                <w:rFonts w:ascii="Calibri" w:cs="Calibri" w:eastAsia="Calibri" w:hAnsi="Calibri"/>
                <w:sz w:val="5"/>
                <w:szCs w:val="5"/>
                <w:color w:val="auto"/>
                <w:w w:val="76"/>
              </w:rPr>
              <w:t>$</w:t>
            </w:r>
          </w:p>
        </w:tc>
        <w:tc>
          <w:tcPr>
            <w:tcW w:w="720" w:type="dxa"/>
            <w:vAlign w:val="bottom"/>
          </w:tcPr>
          <w:p>
            <w:pPr>
              <w:jc w:val="right"/>
              <w:spacing w:after="0"/>
              <w:rPr>
                <w:sz w:val="20"/>
                <w:szCs w:val="20"/>
                <w:color w:val="auto"/>
              </w:rPr>
            </w:pPr>
            <w:r>
              <w:rPr>
                <w:rFonts w:ascii="Calibri" w:cs="Calibri" w:eastAsia="Calibri" w:hAnsi="Calibri"/>
                <w:sz w:val="12"/>
                <w:szCs w:val="12"/>
                <w:color w:val="auto"/>
              </w:rPr>
              <w:t>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color w:val="auto"/>
              </w:rPr>
              <w:t>1,841</w:t>
            </w:r>
          </w:p>
        </w:tc>
        <w:tc>
          <w:tcPr>
            <w:tcW w:w="520" w:type="dxa"/>
            <w:vAlign w:val="bottom"/>
            <w:gridSpan w:val="3"/>
          </w:tcPr>
          <w:p>
            <w:pPr>
              <w:jc w:val="right"/>
              <w:ind w:right="155"/>
              <w:spacing w:after="0"/>
              <w:rPr>
                <w:sz w:val="20"/>
                <w:szCs w:val="20"/>
                <w:color w:val="auto"/>
              </w:rPr>
            </w:pPr>
            <w:r>
              <w:rPr>
                <w:rFonts w:ascii="Calibri" w:cs="Calibri" w:eastAsia="Calibri" w:hAnsi="Calibri"/>
                <w:sz w:val="12"/>
                <w:szCs w:val="12"/>
                <w:color w:val="auto"/>
              </w:rPr>
              <w:t>$</w:t>
            </w:r>
          </w:p>
        </w:tc>
        <w:tc>
          <w:tcPr>
            <w:tcW w:w="840" w:type="dxa"/>
            <w:vAlign w:val="bottom"/>
            <w:gridSpan w:val="2"/>
          </w:tcPr>
          <w:p>
            <w:pPr>
              <w:jc w:val="right"/>
              <w:ind w:right="120"/>
              <w:spacing w:after="0"/>
              <w:rPr>
                <w:sz w:val="20"/>
                <w:szCs w:val="20"/>
                <w:color w:val="auto"/>
              </w:rPr>
            </w:pPr>
            <w:r>
              <w:rPr>
                <w:rFonts w:ascii="Calibri" w:cs="Calibri" w:eastAsia="Calibri" w:hAnsi="Calibri"/>
                <w:sz w:val="12"/>
                <w:szCs w:val="12"/>
                <w:color w:val="auto"/>
              </w:rPr>
              <w:t>(17,588)</w:t>
            </w:r>
          </w:p>
        </w:tc>
        <w:tc>
          <w:tcPr>
            <w:tcW w:w="60" w:type="dxa"/>
            <w:vAlign w:val="bottom"/>
          </w:tcPr>
          <w:p>
            <w:pPr>
              <w:jc w:val="right"/>
              <w:spacing w:after="0"/>
              <w:rPr>
                <w:sz w:val="20"/>
                <w:szCs w:val="20"/>
                <w:color w:val="auto"/>
              </w:rPr>
            </w:pPr>
            <w:r>
              <w:rPr>
                <w:rFonts w:ascii="Calibri" w:cs="Calibri" w:eastAsia="Calibri" w:hAnsi="Calibri"/>
                <w:sz w:val="5"/>
                <w:szCs w:val="5"/>
                <w:color w:val="auto"/>
                <w:w w:val="76"/>
              </w:rPr>
              <w:t>$</w:t>
            </w:r>
          </w:p>
        </w:tc>
        <w:tc>
          <w:tcPr>
            <w:tcW w:w="860" w:type="dxa"/>
            <w:vAlign w:val="bottom"/>
          </w:tcPr>
          <w:p>
            <w:pPr>
              <w:jc w:val="right"/>
              <w:spacing w:after="0"/>
              <w:rPr>
                <w:sz w:val="20"/>
                <w:szCs w:val="20"/>
                <w:color w:val="auto"/>
              </w:rPr>
            </w:pPr>
            <w:r>
              <w:rPr>
                <w:rFonts w:ascii="Calibri" w:cs="Calibri" w:eastAsia="Calibri" w:hAnsi="Calibri"/>
                <w:sz w:val="12"/>
                <w:szCs w:val="12"/>
                <w:color w:val="auto"/>
              </w:rPr>
              <w:t>636,073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2"/>
                <w:szCs w:val="12"/>
                <w:color w:val="auto"/>
              </w:rPr>
              <w:t>(233,012)</w:t>
            </w:r>
          </w:p>
        </w:tc>
        <w:tc>
          <w:tcPr>
            <w:tcW w:w="120" w:type="dxa"/>
            <w:vAlign w:val="bottom"/>
          </w:tcPr>
          <w:p>
            <w:pPr>
              <w:jc w:val="right"/>
              <w:ind w:right="46"/>
              <w:spacing w:after="0"/>
              <w:rPr>
                <w:sz w:val="20"/>
                <w:szCs w:val="20"/>
                <w:color w:val="auto"/>
              </w:rPr>
            </w:pPr>
            <w:r>
              <w:rPr>
                <w:rFonts w:ascii="Calibri" w:cs="Calibri" w:eastAsia="Calibri" w:hAnsi="Calibri"/>
                <w:sz w:val="5"/>
                <w:szCs w:val="5"/>
                <w:color w:val="auto"/>
                <w:w w:val="76"/>
              </w:rPr>
              <w:t>$</w:t>
            </w:r>
          </w:p>
        </w:tc>
        <w:tc>
          <w:tcPr>
            <w:tcW w:w="780" w:type="dxa"/>
            <w:vAlign w:val="bottom"/>
          </w:tcPr>
          <w:p>
            <w:pPr>
              <w:jc w:val="right"/>
              <w:spacing w:after="0"/>
              <w:rPr>
                <w:sz w:val="20"/>
                <w:szCs w:val="20"/>
                <w:color w:val="auto"/>
              </w:rPr>
            </w:pPr>
            <w:r>
              <w:rPr>
                <w:rFonts w:ascii="Calibri" w:cs="Calibri" w:eastAsia="Calibri" w:hAnsi="Calibri"/>
                <w:sz w:val="12"/>
                <w:szCs w:val="12"/>
                <w:color w:val="auto"/>
              </w:rPr>
              <w:t>39,573</w:t>
            </w:r>
          </w:p>
        </w:tc>
        <w:tc>
          <w:tcPr>
            <w:tcW w:w="160" w:type="dxa"/>
            <w:vAlign w:val="bottom"/>
          </w:tcPr>
          <w:p>
            <w:pPr>
              <w:spacing w:after="0"/>
              <w:rPr>
                <w:sz w:val="16"/>
                <w:szCs w:val="16"/>
                <w:color w:val="auto"/>
              </w:rPr>
            </w:pPr>
          </w:p>
        </w:tc>
        <w:tc>
          <w:tcPr>
            <w:tcW w:w="160" w:type="dxa"/>
            <w:vAlign w:val="bottom"/>
          </w:tcPr>
          <w:p>
            <w:pPr>
              <w:jc w:val="right"/>
              <w:ind w:right="95"/>
              <w:spacing w:after="0"/>
              <w:rPr>
                <w:sz w:val="20"/>
                <w:szCs w:val="20"/>
                <w:color w:val="auto"/>
              </w:rPr>
            </w:pPr>
            <w:r>
              <w:rPr>
                <w:rFonts w:ascii="Calibri" w:cs="Calibri" w:eastAsia="Calibri" w:hAnsi="Calibri"/>
                <w:sz w:val="5"/>
                <w:szCs w:val="5"/>
                <w:color w:val="auto"/>
                <w:w w:val="76"/>
              </w:rPr>
              <w:t>$</w:t>
            </w:r>
          </w:p>
        </w:tc>
        <w:tc>
          <w:tcPr>
            <w:tcW w:w="780" w:type="dxa"/>
            <w:vAlign w:val="bottom"/>
          </w:tcPr>
          <w:p>
            <w:pPr>
              <w:jc w:val="right"/>
              <w:spacing w:after="0"/>
              <w:rPr>
                <w:sz w:val="20"/>
                <w:szCs w:val="20"/>
                <w:color w:val="auto"/>
              </w:rPr>
            </w:pPr>
            <w:r>
              <w:rPr>
                <w:rFonts w:ascii="Calibri" w:cs="Calibri" w:eastAsia="Calibri" w:hAnsi="Calibri"/>
                <w:sz w:val="12"/>
                <w:szCs w:val="12"/>
                <w:color w:val="auto"/>
              </w:rPr>
              <w:t>425,162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380" w:type="dxa"/>
            <w:vAlign w:val="bottom"/>
            <w:tcBorders>
              <w:top w:val="single" w:sz="8" w:color="D4EEF4"/>
              <w:right w:val="single" w:sz="8" w:color="D4EEF4"/>
            </w:tcBorders>
            <w:shd w:val="clear" w:color="auto" w:fill="D4EEF4"/>
          </w:tcPr>
          <w:p>
            <w:pPr>
              <w:ind w:left="200"/>
              <w:spacing w:after="0" w:line="113" w:lineRule="exact"/>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120" w:type="dxa"/>
            <w:vAlign w:val="bottom"/>
            <w:tcBorders>
              <w:top w:val="single" w:sz="8" w:color="auto"/>
              <w:left w:val="single" w:sz="8" w:color="D4EEF4"/>
            </w:tcBorders>
            <w:shd w:val="clear" w:color="auto" w:fill="D4EEF4"/>
          </w:tcPr>
          <w:p>
            <w:pPr>
              <w:spacing w:after="0"/>
              <w:rPr>
                <w:sz w:val="10"/>
                <w:szCs w:val="10"/>
                <w:color w:val="auto"/>
              </w:rPr>
            </w:pPr>
          </w:p>
        </w:tc>
        <w:tc>
          <w:tcPr>
            <w:tcW w:w="7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94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120" w:type="dxa"/>
            <w:vAlign w:val="bottom"/>
            <w:tcBorders>
              <w:top w:val="single" w:sz="8" w:color="auto"/>
              <w:left w:val="single" w:sz="8" w:color="D4EEF4"/>
            </w:tcBorders>
            <w:shd w:val="clear" w:color="auto" w:fill="D4EEF4"/>
          </w:tcPr>
          <w:p>
            <w:pPr>
              <w:spacing w:after="0"/>
              <w:rPr>
                <w:sz w:val="10"/>
                <w:szCs w:val="10"/>
                <w:color w:val="auto"/>
              </w:rPr>
            </w:pPr>
          </w:p>
        </w:tc>
        <w:tc>
          <w:tcPr>
            <w:tcW w:w="7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D4EEF4"/>
              <w:right w:val="single" w:sz="8" w:color="D4EEF4"/>
            </w:tcBorders>
            <w:gridSpan w:val="2"/>
            <w:shd w:val="clear" w:color="auto" w:fill="D4EEF4"/>
          </w:tcPr>
          <w:p>
            <w:pPr>
              <w:spacing w:after="0"/>
              <w:rPr>
                <w:sz w:val="10"/>
                <w:szCs w:val="10"/>
                <w:color w:val="auto"/>
              </w:rPr>
            </w:pPr>
          </w:p>
        </w:tc>
        <w:tc>
          <w:tcPr>
            <w:tcW w:w="92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40" w:type="dxa"/>
            <w:vAlign w:val="bottom"/>
            <w:tcBorders>
              <w:top w:val="single" w:sz="8" w:color="D4EEF4"/>
              <w:right w:val="single" w:sz="8" w:color="D4EEF4"/>
            </w:tcBorders>
            <w:shd w:val="clear" w:color="auto" w:fill="D4EEF4"/>
          </w:tcPr>
          <w:p>
            <w:pPr>
              <w:spacing w:after="0"/>
              <w:rPr>
                <w:sz w:val="10"/>
                <w:szCs w:val="10"/>
                <w:color w:val="auto"/>
              </w:rPr>
            </w:pPr>
          </w:p>
        </w:tc>
        <w:tc>
          <w:tcPr>
            <w:tcW w:w="220" w:type="dxa"/>
            <w:vAlign w:val="bottom"/>
            <w:tcBorders>
              <w:top w:val="single" w:sz="8" w:color="auto"/>
              <w:left w:val="single" w:sz="8" w:color="D4EEF4"/>
            </w:tcBorders>
            <w:shd w:val="clear" w:color="auto" w:fill="D4EEF4"/>
          </w:tcPr>
          <w:p>
            <w:pPr>
              <w:spacing w:after="0"/>
              <w:rPr>
                <w:sz w:val="10"/>
                <w:szCs w:val="10"/>
                <w:color w:val="auto"/>
              </w:rPr>
            </w:pPr>
          </w:p>
        </w:tc>
        <w:tc>
          <w:tcPr>
            <w:tcW w:w="6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60" w:type="dxa"/>
            <w:vAlign w:val="bottom"/>
            <w:tcBorders>
              <w:top w:val="single" w:sz="8" w:color="auto"/>
              <w:left w:val="single" w:sz="8" w:color="D4EEF4"/>
            </w:tcBorders>
            <w:shd w:val="clear" w:color="auto" w:fill="D4EEF4"/>
          </w:tcPr>
          <w:p>
            <w:pPr>
              <w:spacing w:after="0"/>
              <w:rPr>
                <w:sz w:val="10"/>
                <w:szCs w:val="10"/>
                <w:color w:val="auto"/>
              </w:rPr>
            </w:pPr>
          </w:p>
        </w:tc>
        <w:tc>
          <w:tcPr>
            <w:tcW w:w="86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Borders>
              <w:top w:val="single" w:sz="8" w:color="D4EEF4"/>
              <w:right w:val="single" w:sz="8" w:color="D4EEF4"/>
            </w:tcBorders>
            <w:shd w:val="clear" w:color="auto" w:fill="D4EEF4"/>
          </w:tcPr>
          <w:p>
            <w:pPr>
              <w:spacing w:after="0"/>
              <w:rPr>
                <w:sz w:val="10"/>
                <w:szCs w:val="10"/>
                <w:color w:val="auto"/>
              </w:rPr>
            </w:pPr>
          </w:p>
        </w:tc>
        <w:tc>
          <w:tcPr>
            <w:tcW w:w="80" w:type="dxa"/>
            <w:vAlign w:val="bottom"/>
            <w:tcBorders>
              <w:top w:val="single" w:sz="8" w:color="auto"/>
            </w:tcBorders>
            <w:shd w:val="clear" w:color="auto" w:fill="D4EEF4"/>
          </w:tcPr>
          <w:p>
            <w:pPr>
              <w:spacing w:after="0"/>
              <w:rPr>
                <w:sz w:val="10"/>
                <w:szCs w:val="10"/>
                <w:color w:val="auto"/>
              </w:rPr>
            </w:pPr>
          </w:p>
        </w:tc>
        <w:tc>
          <w:tcPr>
            <w:tcW w:w="84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18,700</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20" w:type="dxa"/>
            <w:vAlign w:val="bottom"/>
            <w:tcBorders>
              <w:top w:val="single" w:sz="8" w:color="auto"/>
            </w:tcBorders>
            <w:shd w:val="clear" w:color="auto" w:fill="D4EEF4"/>
          </w:tcPr>
          <w:p>
            <w:pPr>
              <w:spacing w:after="0"/>
              <w:rPr>
                <w:sz w:val="10"/>
                <w:szCs w:val="10"/>
                <w:color w:val="auto"/>
              </w:rPr>
            </w:pPr>
          </w:p>
        </w:tc>
        <w:tc>
          <w:tcPr>
            <w:tcW w:w="7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967</w:t>
            </w:r>
          </w:p>
        </w:tc>
        <w:tc>
          <w:tcPr>
            <w:tcW w:w="160" w:type="dxa"/>
            <w:vAlign w:val="bottom"/>
            <w:tcBorders>
              <w:top w:val="single" w:sz="8" w:color="D4EEF4"/>
              <w:right w:val="single" w:sz="8" w:color="D4EEF4"/>
            </w:tcBorders>
            <w:shd w:val="clear" w:color="auto" w:fill="D4EEF4"/>
          </w:tcPr>
          <w:p>
            <w:pPr>
              <w:spacing w:after="0"/>
              <w:rPr>
                <w:sz w:val="10"/>
                <w:szCs w:val="10"/>
                <w:color w:val="auto"/>
              </w:rPr>
            </w:pPr>
          </w:p>
        </w:tc>
        <w:tc>
          <w:tcPr>
            <w:tcW w:w="160" w:type="dxa"/>
            <w:vAlign w:val="bottom"/>
            <w:tcBorders>
              <w:top w:val="single" w:sz="8" w:color="auto"/>
            </w:tcBorders>
            <w:shd w:val="clear" w:color="auto" w:fill="D4EEF4"/>
          </w:tcPr>
          <w:p>
            <w:pPr>
              <w:spacing w:after="0"/>
              <w:rPr>
                <w:sz w:val="10"/>
                <w:szCs w:val="10"/>
                <w:color w:val="auto"/>
              </w:rPr>
            </w:pPr>
          </w:p>
        </w:tc>
        <w:tc>
          <w:tcPr>
            <w:tcW w:w="780" w:type="dxa"/>
            <w:vAlign w:val="bottom"/>
            <w:tcBorders>
              <w:top w:val="single" w:sz="8" w:color="auto"/>
            </w:tcBorders>
            <w:shd w:val="clear" w:color="auto" w:fill="D4EEF4"/>
          </w:tcPr>
          <w:p>
            <w:pPr>
              <w:jc w:val="right"/>
              <w:spacing w:after="0" w:line="123" w:lineRule="exact"/>
              <w:rPr>
                <w:sz w:val="20"/>
                <w:szCs w:val="20"/>
                <w:color w:val="auto"/>
              </w:rPr>
            </w:pPr>
            <w:r>
              <w:rPr>
                <w:rFonts w:ascii="Times New Roman" w:cs="Times New Roman" w:eastAsia="Times New Roman" w:hAnsi="Times New Roman"/>
                <w:sz w:val="12"/>
                <w:szCs w:val="12"/>
                <w:color w:val="auto"/>
              </w:rPr>
              <w:t>19,667</w:t>
            </w:r>
          </w:p>
        </w:tc>
        <w:tc>
          <w:tcPr>
            <w:tcW w:w="140" w:type="dxa"/>
            <w:vAlign w:val="bottom"/>
            <w:tcBorders>
              <w:top w:val="single" w:sz="8" w:color="D4EEF4"/>
            </w:tcBorders>
            <w:shd w:val="clear" w:color="auto" w:fill="D4EEF4"/>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Stock-based compensation</w:t>
            </w:r>
          </w:p>
        </w:tc>
        <w:tc>
          <w:tcPr>
            <w:tcW w:w="108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25,551</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25,551</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8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120" w:type="dxa"/>
            <w:vAlign w:val="bottom"/>
            <w:tcBorders>
              <w:left w:val="single" w:sz="8" w:color="D4EEF4"/>
            </w:tcBorders>
            <w:shd w:val="clear" w:color="auto" w:fill="D4EEF4"/>
          </w:tcPr>
          <w:p>
            <w:pPr>
              <w:spacing w:after="0"/>
              <w:rPr>
                <w:sz w:val="13"/>
                <w:szCs w:val="13"/>
                <w:color w:val="auto"/>
              </w:rPr>
            </w:pPr>
          </w:p>
        </w:tc>
        <w:tc>
          <w:tcPr>
            <w:tcW w:w="1020" w:type="dxa"/>
            <w:vAlign w:val="bottom"/>
            <w:tcBorders>
              <w:right w:val="single" w:sz="8" w:color="D4EEF4"/>
            </w:tcBorders>
            <w:gridSpan w:val="3"/>
            <w:shd w:val="clear" w:color="auto" w:fill="D4EEF4"/>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1040" w:type="dxa"/>
            <w:vAlign w:val="bottom"/>
            <w:tcBorders>
              <w:right w:val="single" w:sz="8" w:color="D4EEF4"/>
            </w:tcBorders>
            <w:gridSpan w:val="3"/>
            <w:shd w:val="clear" w:color="auto" w:fill="D4EEF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2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Borders>
              <w:right w:val="single" w:sz="8" w:color="D4EEF4"/>
            </w:tcBorders>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00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3"/>
                <w:szCs w:val="13"/>
                <w:color w:val="auto"/>
              </w:rPr>
            </w:pPr>
          </w:p>
        </w:tc>
        <w:tc>
          <w:tcPr>
            <w:tcW w:w="9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3"/>
                <w:szCs w:val="13"/>
                <w:color w:val="auto"/>
              </w:rPr>
            </w:pPr>
          </w:p>
        </w:tc>
        <w:tc>
          <w:tcPr>
            <w:tcW w:w="92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380" w:type="dxa"/>
            <w:vAlign w:val="bottom"/>
            <w:tcBorders>
              <w:top w:val="single" w:sz="8" w:color="D4EEF4"/>
              <w:right w:val="single" w:sz="8" w:color="E8E5E2"/>
            </w:tcBorders>
          </w:tcPr>
          <w:p>
            <w:pPr>
              <w:ind w:left="200"/>
              <w:spacing w:after="0" w:line="132" w:lineRule="exact"/>
              <w:rPr>
                <w:sz w:val="20"/>
                <w:szCs w:val="20"/>
                <w:color w:val="auto"/>
              </w:rPr>
            </w:pPr>
            <w:r>
              <w:rPr>
                <w:rFonts w:ascii="Times New Roman" w:cs="Times New Roman" w:eastAsia="Times New Roman" w:hAnsi="Times New Roman"/>
                <w:sz w:val="12"/>
                <w:szCs w:val="12"/>
                <w:color w:val="auto"/>
              </w:rPr>
              <w:t>Issuance of restricted stock units</w:t>
            </w: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1,438</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7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D4EEF4"/>
            </w:tcBorders>
            <w:shd w:val="clear" w:color="auto" w:fill="D4EEF4"/>
          </w:tcPr>
          <w:p>
            <w:pPr>
              <w:ind w:left="200"/>
              <w:spacing w:after="0" w:line="126" w:lineRule="exact"/>
              <w:rPr>
                <w:sz w:val="20"/>
                <w:szCs w:val="20"/>
                <w:color w:val="auto"/>
              </w:rPr>
            </w:pPr>
            <w:r>
              <w:rPr>
                <w:rFonts w:ascii="Times New Roman" w:cs="Times New Roman" w:eastAsia="Times New Roman" w:hAnsi="Times New Roman"/>
                <w:sz w:val="12"/>
                <w:szCs w:val="12"/>
                <w:color w:val="auto"/>
              </w:rPr>
              <w:t>Exchange of Class B common stock for</w:t>
            </w: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15,013</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7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100" w:type="dxa"/>
            <w:vAlign w:val="bottom"/>
            <w:tcBorders>
              <w:right w:val="single" w:sz="8" w:color="D4EEF4"/>
            </w:tcBorders>
            <w:gridSpan w:val="2"/>
            <w:vMerge w:val="restart"/>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(15,013)</w:t>
            </w:r>
          </w:p>
        </w:tc>
        <w:tc>
          <w:tcPr>
            <w:tcW w:w="12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880" w:type="dxa"/>
            <w:vAlign w:val="bottom"/>
            <w:tcBorders>
              <w:right w:val="single" w:sz="8" w:color="D4EEF4"/>
            </w:tcBorders>
            <w:gridSpan w:val="2"/>
            <w:vMerge w:val="restart"/>
            <w:shd w:val="clear" w:color="auto" w:fill="D4EEF4"/>
          </w:tcPr>
          <w:p>
            <w:pPr>
              <w:jc w:val="right"/>
              <w:ind w:right="120"/>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tcBorders>
              <w:right w:val="single" w:sz="8" w:color="D4EEF4"/>
            </w:tcBorders>
            <w:shd w:val="clear" w:color="auto" w:fill="D4EEF4"/>
          </w:tcPr>
          <w:p>
            <w:pPr>
              <w:spacing w:after="0"/>
              <w:rPr>
                <w:sz w:val="10"/>
                <w:szCs w:val="10"/>
                <w:color w:val="auto"/>
              </w:rPr>
            </w:pPr>
          </w:p>
        </w:tc>
        <w:tc>
          <w:tcPr>
            <w:tcW w:w="9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20" w:type="dxa"/>
            <w:vAlign w:val="bottom"/>
            <w:tcBorders>
              <w:left w:val="single" w:sz="8" w:color="D4EEF4"/>
            </w:tcBorders>
            <w:shd w:val="clear" w:color="auto" w:fill="D4EEF4"/>
          </w:tcPr>
          <w:p>
            <w:pPr>
              <w:spacing w:after="0"/>
              <w:rPr>
                <w:sz w:val="10"/>
                <w:szCs w:val="10"/>
                <w:color w:val="auto"/>
              </w:rPr>
            </w:pPr>
          </w:p>
        </w:tc>
        <w:tc>
          <w:tcPr>
            <w:tcW w:w="8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left w:val="single" w:sz="8" w:color="D4EEF4"/>
            </w:tcBorders>
            <w:shd w:val="clear" w:color="auto" w:fill="D4EEF4"/>
          </w:tcPr>
          <w:p>
            <w:pPr>
              <w:spacing w:after="0"/>
              <w:rPr>
                <w:sz w:val="10"/>
                <w:szCs w:val="10"/>
                <w:color w:val="auto"/>
              </w:rPr>
            </w:pPr>
          </w:p>
        </w:tc>
        <w:tc>
          <w:tcPr>
            <w:tcW w:w="86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Borders>
              <w:right w:val="single" w:sz="8" w:color="D4EEF4"/>
            </w:tcBorders>
            <w:shd w:val="clear" w:color="auto" w:fill="D4EEF4"/>
          </w:tcPr>
          <w:p>
            <w:pPr>
              <w:spacing w:after="0"/>
              <w:rPr>
                <w:sz w:val="10"/>
                <w:szCs w:val="10"/>
                <w:color w:val="auto"/>
              </w:rPr>
            </w:pPr>
          </w:p>
        </w:tc>
        <w:tc>
          <w:tcPr>
            <w:tcW w:w="80" w:type="dxa"/>
            <w:vAlign w:val="bottom"/>
            <w:shd w:val="clear" w:color="auto" w:fill="D4EEF4"/>
          </w:tcPr>
          <w:p>
            <w:pPr>
              <w:spacing w:after="0"/>
              <w:rPr>
                <w:sz w:val="10"/>
                <w:szCs w:val="10"/>
                <w:color w:val="auto"/>
              </w:rPr>
            </w:pPr>
          </w:p>
        </w:tc>
        <w:tc>
          <w:tcPr>
            <w:tcW w:w="1000" w:type="dxa"/>
            <w:vAlign w:val="bottom"/>
            <w:tcBorders>
              <w:right w:val="single" w:sz="8" w:color="D4EEF4"/>
            </w:tcBorders>
            <w:gridSpan w:val="2"/>
            <w:vMerge w:val="restart"/>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EF4"/>
          </w:tcPr>
          <w:p>
            <w:pPr>
              <w:spacing w:after="0"/>
              <w:rPr>
                <w:sz w:val="10"/>
                <w:szCs w:val="10"/>
                <w:color w:val="auto"/>
              </w:rPr>
            </w:pPr>
          </w:p>
        </w:tc>
        <w:tc>
          <w:tcPr>
            <w:tcW w:w="940" w:type="dxa"/>
            <w:vAlign w:val="bottom"/>
            <w:tcBorders>
              <w:right w:val="single" w:sz="8" w:color="D4EEF4"/>
            </w:tcBorders>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D4EEF4"/>
          </w:tcPr>
          <w:p>
            <w:pPr>
              <w:spacing w:after="0"/>
              <w:rPr>
                <w:sz w:val="10"/>
                <w:szCs w:val="10"/>
                <w:color w:val="auto"/>
              </w:rPr>
            </w:pPr>
          </w:p>
        </w:tc>
        <w:tc>
          <w:tcPr>
            <w:tcW w:w="920" w:type="dxa"/>
            <w:vAlign w:val="bottom"/>
            <w:gridSpan w:val="2"/>
            <w:vMerge w:val="restart"/>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5"/>
        </w:trPr>
        <w:tc>
          <w:tcPr>
            <w:tcW w:w="2380" w:type="dxa"/>
            <w:vAlign w:val="bottom"/>
            <w:tcBorders>
              <w:right w:val="single" w:sz="8" w:color="D4EEF4"/>
            </w:tcBorders>
            <w:vMerge w:val="restart"/>
            <w:shd w:val="clear" w:color="auto" w:fill="D4EEF4"/>
          </w:tcPr>
          <w:p>
            <w:pPr>
              <w:ind w:left="200"/>
              <w:spacing w:after="0"/>
              <w:rPr>
                <w:sz w:val="20"/>
                <w:szCs w:val="20"/>
                <w:color w:val="auto"/>
              </w:rPr>
            </w:pPr>
            <w:r>
              <w:rPr>
                <w:rFonts w:ascii="Times New Roman" w:cs="Times New Roman" w:eastAsia="Times New Roman" w:hAnsi="Times New Roman"/>
                <w:sz w:val="12"/>
                <w:szCs w:val="12"/>
                <w:color w:val="auto"/>
              </w:rPr>
              <w:t>Class A common stock</w:t>
            </w: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720" w:type="dxa"/>
            <w:vAlign w:val="bottom"/>
            <w:vMerge w:val="continue"/>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1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120" w:type="dxa"/>
            <w:vAlign w:val="bottom"/>
            <w:tcBorders>
              <w:left w:val="single" w:sz="8" w:color="D4EEF4"/>
            </w:tcBorders>
            <w:shd w:val="clear" w:color="auto" w:fill="D4EEF4"/>
          </w:tcPr>
          <w:p>
            <w:pPr>
              <w:spacing w:after="0"/>
              <w:rPr>
                <w:sz w:val="7"/>
                <w:szCs w:val="7"/>
                <w:color w:val="auto"/>
              </w:rPr>
            </w:pPr>
          </w:p>
        </w:tc>
        <w:tc>
          <w:tcPr>
            <w:tcW w:w="88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920" w:type="dxa"/>
            <w:vAlign w:val="bottom"/>
            <w:vMerge w:val="continue"/>
            <w:shd w:val="clear" w:color="auto" w:fill="D4EEF4"/>
          </w:tcPr>
          <w:p>
            <w:pPr>
              <w:spacing w:after="0"/>
              <w:rPr>
                <w:sz w:val="7"/>
                <w:szCs w:val="7"/>
                <w:color w:val="auto"/>
              </w:rPr>
            </w:pPr>
          </w:p>
        </w:tc>
        <w:tc>
          <w:tcPr>
            <w:tcW w:w="160" w:type="dxa"/>
            <w:vAlign w:val="bottom"/>
            <w:tcBorders>
              <w:right w:val="single" w:sz="8" w:color="D4EEF4"/>
            </w:tcBorders>
            <w:shd w:val="clear" w:color="auto" w:fill="D4EEF4"/>
          </w:tcPr>
          <w:p>
            <w:pPr>
              <w:spacing w:after="0"/>
              <w:rPr>
                <w:sz w:val="7"/>
                <w:szCs w:val="7"/>
                <w:color w:val="auto"/>
              </w:rPr>
            </w:pPr>
          </w:p>
        </w:tc>
        <w:tc>
          <w:tcPr>
            <w:tcW w:w="140" w:type="dxa"/>
            <w:vAlign w:val="bottom"/>
            <w:tcBorders>
              <w:right w:val="single" w:sz="8" w:color="D4EEF4"/>
            </w:tcBorders>
            <w:shd w:val="clear" w:color="auto" w:fill="D4EEF4"/>
          </w:tcPr>
          <w:p>
            <w:pPr>
              <w:spacing w:after="0"/>
              <w:rPr>
                <w:sz w:val="7"/>
                <w:szCs w:val="7"/>
                <w:color w:val="auto"/>
              </w:rPr>
            </w:pPr>
          </w:p>
        </w:tc>
        <w:tc>
          <w:tcPr>
            <w:tcW w:w="220" w:type="dxa"/>
            <w:vAlign w:val="bottom"/>
            <w:tcBorders>
              <w:left w:val="single" w:sz="8" w:color="D4EEF4"/>
            </w:tcBorders>
            <w:shd w:val="clear" w:color="auto" w:fill="D4EEF4"/>
          </w:tcPr>
          <w:p>
            <w:pPr>
              <w:spacing w:after="0"/>
              <w:rPr>
                <w:sz w:val="7"/>
                <w:szCs w:val="7"/>
                <w:color w:val="auto"/>
              </w:rPr>
            </w:pPr>
          </w:p>
        </w:tc>
        <w:tc>
          <w:tcPr>
            <w:tcW w:w="840" w:type="dxa"/>
            <w:vAlign w:val="bottom"/>
            <w:tcBorders>
              <w:right w:val="single" w:sz="8" w:color="D4EEF4"/>
            </w:tcBorders>
            <w:gridSpan w:val="2"/>
            <w:vMerge w:val="continue"/>
            <w:shd w:val="clear" w:color="auto" w:fill="D4EEF4"/>
          </w:tcPr>
          <w:p>
            <w:pPr>
              <w:spacing w:after="0"/>
              <w:rPr>
                <w:sz w:val="7"/>
                <w:szCs w:val="7"/>
                <w:color w:val="auto"/>
              </w:rPr>
            </w:pPr>
          </w:p>
        </w:tc>
        <w:tc>
          <w:tcPr>
            <w:tcW w:w="60" w:type="dxa"/>
            <w:vAlign w:val="bottom"/>
            <w:tcBorders>
              <w:left w:val="single" w:sz="8" w:color="D4EEF4"/>
            </w:tcBorders>
            <w:shd w:val="clear" w:color="auto" w:fill="D4EEF4"/>
          </w:tcPr>
          <w:p>
            <w:pPr>
              <w:spacing w:after="0"/>
              <w:rPr>
                <w:sz w:val="7"/>
                <w:szCs w:val="7"/>
                <w:color w:val="auto"/>
              </w:rPr>
            </w:pPr>
          </w:p>
        </w:tc>
        <w:tc>
          <w:tcPr>
            <w:tcW w:w="860" w:type="dxa"/>
            <w:vAlign w:val="bottom"/>
            <w:vMerge w:val="continue"/>
            <w:shd w:val="clear" w:color="auto" w:fill="D4EEF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right w:val="single" w:sz="8" w:color="D4EEF4"/>
            </w:tcBorders>
            <w:shd w:val="clear" w:color="auto" w:fill="D4EEF4"/>
          </w:tcPr>
          <w:p>
            <w:pPr>
              <w:spacing w:after="0"/>
              <w:rPr>
                <w:sz w:val="7"/>
                <w:szCs w:val="7"/>
                <w:color w:val="auto"/>
              </w:rPr>
            </w:pPr>
          </w:p>
        </w:tc>
        <w:tc>
          <w:tcPr>
            <w:tcW w:w="80" w:type="dxa"/>
            <w:vAlign w:val="bottom"/>
            <w:shd w:val="clear" w:color="auto" w:fill="D4EEF4"/>
          </w:tcPr>
          <w:p>
            <w:pPr>
              <w:spacing w:after="0"/>
              <w:rPr>
                <w:sz w:val="7"/>
                <w:szCs w:val="7"/>
                <w:color w:val="auto"/>
              </w:rPr>
            </w:pPr>
          </w:p>
        </w:tc>
        <w:tc>
          <w:tcPr>
            <w:tcW w:w="1000" w:type="dxa"/>
            <w:vAlign w:val="bottom"/>
            <w:tcBorders>
              <w:right w:val="single" w:sz="8" w:color="D4EEF4"/>
            </w:tcBorders>
            <w:gridSpan w:val="2"/>
            <w:vMerge w:val="continue"/>
            <w:shd w:val="clear" w:color="auto" w:fill="D4EEF4"/>
          </w:tcPr>
          <w:p>
            <w:pPr>
              <w:spacing w:after="0"/>
              <w:rPr>
                <w:sz w:val="7"/>
                <w:szCs w:val="7"/>
                <w:color w:val="auto"/>
              </w:rPr>
            </w:pPr>
          </w:p>
        </w:tc>
        <w:tc>
          <w:tcPr>
            <w:tcW w:w="120" w:type="dxa"/>
            <w:vAlign w:val="bottom"/>
            <w:shd w:val="clear" w:color="auto" w:fill="D4EEF4"/>
          </w:tcPr>
          <w:p>
            <w:pPr>
              <w:spacing w:after="0"/>
              <w:rPr>
                <w:sz w:val="7"/>
                <w:szCs w:val="7"/>
                <w:color w:val="auto"/>
              </w:rPr>
            </w:pPr>
          </w:p>
        </w:tc>
        <w:tc>
          <w:tcPr>
            <w:tcW w:w="940" w:type="dxa"/>
            <w:vAlign w:val="bottom"/>
            <w:tcBorders>
              <w:right w:val="single" w:sz="8" w:color="D4EEF4"/>
            </w:tcBorders>
            <w:gridSpan w:val="2"/>
            <w:vMerge w:val="continue"/>
            <w:shd w:val="clear" w:color="auto" w:fill="D4EEF4"/>
          </w:tcPr>
          <w:p>
            <w:pPr>
              <w:spacing w:after="0"/>
              <w:rPr>
                <w:sz w:val="7"/>
                <w:szCs w:val="7"/>
                <w:color w:val="auto"/>
              </w:rPr>
            </w:pPr>
          </w:p>
        </w:tc>
        <w:tc>
          <w:tcPr>
            <w:tcW w:w="160" w:type="dxa"/>
            <w:vAlign w:val="bottom"/>
            <w:shd w:val="clear" w:color="auto" w:fill="D4EEF4"/>
          </w:tcPr>
          <w:p>
            <w:pPr>
              <w:spacing w:after="0"/>
              <w:rPr>
                <w:sz w:val="7"/>
                <w:szCs w:val="7"/>
                <w:color w:val="auto"/>
              </w:rPr>
            </w:pPr>
          </w:p>
        </w:tc>
        <w:tc>
          <w:tcPr>
            <w:tcW w:w="920" w:type="dxa"/>
            <w:vAlign w:val="bottom"/>
            <w:gridSpan w:val="2"/>
            <w:vMerge w:val="continue"/>
            <w:shd w:val="clear" w:color="auto" w:fill="D4EEF4"/>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tcBorders>
              <w:right w:val="single" w:sz="8" w:color="D4EEF4"/>
            </w:tcBorders>
            <w:vMerge w:val="continue"/>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120" w:type="dxa"/>
            <w:vAlign w:val="bottom"/>
            <w:tcBorders>
              <w:left w:val="single" w:sz="8" w:color="D4EEF4"/>
            </w:tcBorders>
            <w:shd w:val="clear" w:color="auto" w:fill="D4EEF4"/>
          </w:tcPr>
          <w:p>
            <w:pPr>
              <w:spacing w:after="0"/>
              <w:rPr>
                <w:sz w:val="6"/>
                <w:szCs w:val="6"/>
                <w:color w:val="auto"/>
              </w:rPr>
            </w:pPr>
          </w:p>
        </w:tc>
        <w:tc>
          <w:tcPr>
            <w:tcW w:w="7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92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40" w:type="dxa"/>
            <w:vAlign w:val="bottom"/>
            <w:tcBorders>
              <w:right w:val="single" w:sz="8" w:color="D4EEF4"/>
            </w:tcBorders>
            <w:shd w:val="clear" w:color="auto" w:fill="D4EEF4"/>
          </w:tcPr>
          <w:p>
            <w:pPr>
              <w:spacing w:after="0"/>
              <w:rPr>
                <w:sz w:val="6"/>
                <w:szCs w:val="6"/>
                <w:color w:val="auto"/>
              </w:rPr>
            </w:pPr>
          </w:p>
        </w:tc>
        <w:tc>
          <w:tcPr>
            <w:tcW w:w="220" w:type="dxa"/>
            <w:vAlign w:val="bottom"/>
            <w:tcBorders>
              <w:left w:val="single" w:sz="8" w:color="D4EEF4"/>
            </w:tcBorders>
            <w:shd w:val="clear" w:color="auto" w:fill="D4EEF4"/>
          </w:tcPr>
          <w:p>
            <w:pPr>
              <w:spacing w:after="0"/>
              <w:rPr>
                <w:sz w:val="6"/>
                <w:szCs w:val="6"/>
                <w:color w:val="auto"/>
              </w:rPr>
            </w:pPr>
          </w:p>
        </w:tc>
        <w:tc>
          <w:tcPr>
            <w:tcW w:w="6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60" w:type="dxa"/>
            <w:vAlign w:val="bottom"/>
            <w:tcBorders>
              <w:left w:val="single" w:sz="8" w:color="D4EEF4"/>
            </w:tcBorders>
            <w:shd w:val="clear" w:color="auto" w:fill="D4EEF4"/>
          </w:tcPr>
          <w:p>
            <w:pPr>
              <w:spacing w:after="0"/>
              <w:rPr>
                <w:sz w:val="6"/>
                <w:szCs w:val="6"/>
                <w:color w:val="auto"/>
              </w:rPr>
            </w:pPr>
          </w:p>
        </w:tc>
        <w:tc>
          <w:tcPr>
            <w:tcW w:w="860" w:type="dxa"/>
            <w:vAlign w:val="bottom"/>
            <w:shd w:val="clear" w:color="auto" w:fill="D4EEF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D4EEF4"/>
            </w:tcBorders>
            <w:shd w:val="clear" w:color="auto" w:fill="D4EEF4"/>
          </w:tcPr>
          <w:p>
            <w:pPr>
              <w:spacing w:after="0"/>
              <w:rPr>
                <w:sz w:val="6"/>
                <w:szCs w:val="6"/>
                <w:color w:val="auto"/>
              </w:rPr>
            </w:pPr>
          </w:p>
        </w:tc>
        <w:tc>
          <w:tcPr>
            <w:tcW w:w="80" w:type="dxa"/>
            <w:vAlign w:val="bottom"/>
            <w:shd w:val="clear" w:color="auto" w:fill="D4EEF4"/>
          </w:tcPr>
          <w:p>
            <w:pPr>
              <w:spacing w:after="0"/>
              <w:rPr>
                <w:sz w:val="6"/>
                <w:szCs w:val="6"/>
                <w:color w:val="auto"/>
              </w:rPr>
            </w:pPr>
          </w:p>
        </w:tc>
        <w:tc>
          <w:tcPr>
            <w:tcW w:w="84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2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60" w:type="dxa"/>
            <w:vAlign w:val="bottom"/>
            <w:tcBorders>
              <w:right w:val="single" w:sz="8" w:color="D4EEF4"/>
            </w:tcBorders>
            <w:shd w:val="clear" w:color="auto" w:fill="D4EEF4"/>
          </w:tcPr>
          <w:p>
            <w:pPr>
              <w:spacing w:after="0"/>
              <w:rPr>
                <w:sz w:val="6"/>
                <w:szCs w:val="6"/>
                <w:color w:val="auto"/>
              </w:rPr>
            </w:pPr>
          </w:p>
        </w:tc>
        <w:tc>
          <w:tcPr>
            <w:tcW w:w="160" w:type="dxa"/>
            <w:vAlign w:val="bottom"/>
            <w:shd w:val="clear" w:color="auto" w:fill="D4EEF4"/>
          </w:tcPr>
          <w:p>
            <w:pPr>
              <w:spacing w:after="0"/>
              <w:rPr>
                <w:sz w:val="6"/>
                <w:szCs w:val="6"/>
                <w:color w:val="auto"/>
              </w:rPr>
            </w:pPr>
          </w:p>
        </w:tc>
        <w:tc>
          <w:tcPr>
            <w:tcW w:w="780" w:type="dxa"/>
            <w:vAlign w:val="bottom"/>
            <w:shd w:val="clear" w:color="auto" w:fill="D4EEF4"/>
          </w:tcPr>
          <w:p>
            <w:pPr>
              <w:spacing w:after="0"/>
              <w:rPr>
                <w:sz w:val="6"/>
                <w:szCs w:val="6"/>
                <w:color w:val="auto"/>
              </w:rPr>
            </w:pPr>
          </w:p>
        </w:tc>
        <w:tc>
          <w:tcPr>
            <w:tcW w:w="140" w:type="dxa"/>
            <w:vAlign w:val="bottom"/>
            <w:shd w:val="clear" w:color="auto" w:fill="D4EEF4"/>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D4EEF4"/>
              <w:right w:val="single" w:sz="8" w:color="E8E5E2"/>
            </w:tcBorders>
          </w:tcPr>
          <w:p>
            <w:pPr>
              <w:ind w:left="200"/>
              <w:spacing w:after="0" w:line="135" w:lineRule="exact"/>
              <w:rPr>
                <w:sz w:val="20"/>
                <w:szCs w:val="20"/>
                <w:color w:val="auto"/>
              </w:rPr>
            </w:pPr>
            <w:r>
              <w:rPr>
                <w:rFonts w:ascii="Times New Roman" w:cs="Times New Roman" w:eastAsia="Times New Roman" w:hAnsi="Times New Roman"/>
                <w:sz w:val="12"/>
                <w:szCs w:val="12"/>
                <w:color w:val="auto"/>
              </w:rPr>
              <w:t>Exercise of stock options</w:t>
            </w: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1,081</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7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right w:val="single" w:sz="8" w:color="E8E5E2"/>
            </w:tcBorders>
          </w:tcPr>
          <w:p>
            <w:pPr>
              <w:spacing w:after="0"/>
              <w:rPr>
                <w:sz w:val="11"/>
                <w:szCs w:val="11"/>
                <w:color w:val="auto"/>
              </w:rPr>
            </w:pPr>
          </w:p>
        </w:tc>
        <w:tc>
          <w:tcPr>
            <w:tcW w:w="11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8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92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2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D4EEF4"/>
              <w:left w:val="single" w:sz="8" w:color="E8E5E2"/>
            </w:tcBorders>
          </w:tcPr>
          <w:p>
            <w:pPr>
              <w:spacing w:after="0"/>
              <w:rPr>
                <w:sz w:val="11"/>
                <w:szCs w:val="11"/>
                <w:color w:val="auto"/>
              </w:rPr>
            </w:pPr>
          </w:p>
        </w:tc>
        <w:tc>
          <w:tcPr>
            <w:tcW w:w="86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898</w:t>
            </w:r>
          </w:p>
        </w:tc>
        <w:tc>
          <w:tcPr>
            <w:tcW w:w="20" w:type="dxa"/>
            <w:vAlign w:val="bottom"/>
          </w:tcPr>
          <w:p>
            <w:pPr>
              <w:spacing w:after="0"/>
              <w:rPr>
                <w:sz w:val="11"/>
                <w:szCs w:val="11"/>
                <w:color w:val="auto"/>
              </w:rPr>
            </w:pPr>
          </w:p>
        </w:tc>
        <w:tc>
          <w:tcPr>
            <w:tcW w:w="120" w:type="dxa"/>
            <w:vAlign w:val="bottom"/>
            <w:tcBorders>
              <w:top w:val="single" w:sz="8" w:color="D4EEF4"/>
              <w:right w:val="single" w:sz="8" w:color="E8E5E2"/>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000" w:type="dxa"/>
            <w:vAlign w:val="bottom"/>
            <w:tcBorders>
              <w:top w:val="single" w:sz="8" w:color="D4EEF4"/>
              <w:right w:val="single" w:sz="8" w:color="E8E5E2"/>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EF4"/>
            </w:tcBorders>
          </w:tcPr>
          <w:p>
            <w:pPr>
              <w:spacing w:after="0"/>
              <w:rPr>
                <w:sz w:val="11"/>
                <w:szCs w:val="11"/>
                <w:color w:val="auto"/>
              </w:rPr>
            </w:pPr>
          </w:p>
        </w:tc>
        <w:tc>
          <w:tcPr>
            <w:tcW w:w="940" w:type="dxa"/>
            <w:vAlign w:val="bottom"/>
            <w:tcBorders>
              <w:top w:val="single" w:sz="8" w:color="D4EEF4"/>
              <w:right w:val="single" w:sz="8" w:color="E8E5E2"/>
            </w:tcBorders>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D4EEF4"/>
            </w:tcBorders>
          </w:tcPr>
          <w:p>
            <w:pPr>
              <w:spacing w:after="0"/>
              <w:rPr>
                <w:sz w:val="11"/>
                <w:szCs w:val="11"/>
                <w:color w:val="auto"/>
              </w:rPr>
            </w:pPr>
          </w:p>
        </w:tc>
        <w:tc>
          <w:tcPr>
            <w:tcW w:w="780" w:type="dxa"/>
            <w:vAlign w:val="bottom"/>
            <w:tcBorders>
              <w:top w:val="single" w:sz="8" w:color="D4EEF4"/>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899</w:t>
            </w:r>
          </w:p>
        </w:tc>
        <w:tc>
          <w:tcPr>
            <w:tcW w:w="140" w:type="dxa"/>
            <w:vAlign w:val="bottom"/>
            <w:tcBorders>
              <w:top w:val="single" w:sz="8" w:color="D4EEF4"/>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200"/>
              <w:spacing w:after="0" w:line="126" w:lineRule="exact"/>
              <w:rPr>
                <w:sz w:val="20"/>
                <w:szCs w:val="20"/>
                <w:color w:val="auto"/>
              </w:rPr>
            </w:pPr>
            <w:r>
              <w:rPr>
                <w:rFonts w:ascii="Times New Roman" w:cs="Times New Roman" w:eastAsia="Times New Roman" w:hAnsi="Times New Roman"/>
                <w:sz w:val="12"/>
                <w:szCs w:val="12"/>
                <w:color w:val="auto"/>
              </w:rPr>
              <w:t>Repurchase of common stock for employee</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(991)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0"/>
                <w:szCs w:val="10"/>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(8,748)</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(8,749)</w:t>
            </w:r>
          </w:p>
        </w:tc>
        <w:tc>
          <w:tcPr>
            <w:tcW w:w="0" w:type="dxa"/>
            <w:vAlign w:val="bottom"/>
          </w:tcPr>
          <w:p>
            <w:pPr>
              <w:spacing w:after="0"/>
              <w:rPr>
                <w:sz w:val="1"/>
                <w:szCs w:val="1"/>
                <w:color w:val="auto"/>
              </w:rPr>
            </w:pPr>
          </w:p>
        </w:tc>
      </w:tr>
      <w:tr>
        <w:trPr>
          <w:trHeight w:val="85"/>
        </w:trPr>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tax witholding</w:t>
            </w: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3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-180340</wp:posOffset>
                </wp:positionV>
                <wp:extent cx="6549390" cy="18351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9390" cy="183515"/>
                        </a:xfrm>
                        <a:prstGeom prst="rect">
                          <a:avLst/>
                        </a:prstGeom>
                        <a:solidFill>
                          <a:srgbClr val="D4EEF4"/>
                        </a:solidFill>
                      </wps:spPr>
                      <wps:bodyPr/>
                    </wps:wsp>
                  </a:graphicData>
                </a:graphic>
              </wp:anchor>
            </w:drawing>
          </mc:Choice>
          <mc:Fallback>
            <w:pict>
              <v:rect id="Shape 50" o:spid="_x0000_s1075" style="position:absolute;margin-left:0pt;margin-top:-14.1999pt;width:515.7pt;height:1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6549390</wp:posOffset>
                </wp:positionH>
                <wp:positionV relativeFrom="paragraph">
                  <wp:posOffset>-180340</wp:posOffset>
                </wp:positionV>
                <wp:extent cx="2137410" cy="18351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7410" cy="183515"/>
                        </a:xfrm>
                        <a:prstGeom prst="rect">
                          <a:avLst/>
                        </a:prstGeom>
                        <a:solidFill>
                          <a:srgbClr val="D4EEF4"/>
                        </a:solidFill>
                      </wps:spPr>
                      <wps:bodyPr/>
                    </wps:wsp>
                  </a:graphicData>
                </a:graphic>
              </wp:anchor>
            </w:drawing>
          </mc:Choice>
          <mc:Fallback>
            <w:pict>
              <v:rect id="Shape 51" o:spid="_x0000_s1076" style="position:absolute;margin-left:515.7pt;margin-top:-14.1999pt;width:168.3pt;height:1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w:r>
    </w:p>
    <w:p>
      <w:pPr>
        <w:sectPr>
          <w:pgSz w:w="15840" w:h="12240" w:orient="landscape"/>
          <w:cols w:equalWidth="0" w:num="1">
            <w:col w:w="13680"/>
          </w:cols>
          <w:pgMar w:left="1080" w:top="1024" w:right="1080" w:bottom="207" w:gutter="0" w:footer="0" w:header="0"/>
        </w:sectPr>
      </w:pPr>
    </w:p>
    <w:p>
      <w:pPr>
        <w:ind w:left="200"/>
        <w:spacing w:after="0"/>
        <w:rPr>
          <w:sz w:val="20"/>
          <w:szCs w:val="20"/>
          <w:color w:val="auto"/>
        </w:rPr>
      </w:pPr>
      <w:r>
        <w:rPr>
          <w:rFonts w:ascii="Times New Roman" w:cs="Times New Roman" w:eastAsia="Times New Roman" w:hAnsi="Times New Roman"/>
          <w:sz w:val="12"/>
          <w:szCs w:val="12"/>
          <w:color w:val="auto"/>
        </w:rPr>
        <w:t>Stock repurchase</w:t>
      </w:r>
    </w:p>
    <w:p>
      <w:pPr>
        <w:spacing w:after="0" w:line="9"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2"/>
          <w:szCs w:val="12"/>
          <w:color w:val="auto"/>
        </w:rPr>
        <w:t>Accrual for excise tax associated with stock repurchases</w:t>
      </w:r>
    </w:p>
    <w:p>
      <w:pPr>
        <w:ind w:left="200" w:right="120"/>
        <w:spacing w:after="0" w:line="252" w:lineRule="auto"/>
        <w:rPr>
          <w:sz w:val="20"/>
          <w:szCs w:val="20"/>
          <w:color w:val="auto"/>
        </w:rPr>
      </w:pPr>
      <w:r>
        <w:rPr>
          <w:rFonts w:ascii="Times New Roman" w:cs="Times New Roman" w:eastAsia="Times New Roman" w:hAnsi="Times New Roman"/>
          <w:sz w:val="12"/>
          <w:szCs w:val="12"/>
          <w:color w:val="auto"/>
        </w:rPr>
        <w:t>Distributions to non-controlling interests, net</w:t>
      </w:r>
    </w:p>
    <w:p>
      <w:pPr>
        <w:ind w:left="200"/>
        <w:spacing w:after="0"/>
        <w:rPr>
          <w:sz w:val="20"/>
          <w:szCs w:val="20"/>
          <w:color w:val="auto"/>
        </w:rPr>
      </w:pPr>
      <w:r>
        <w:rPr>
          <w:rFonts w:ascii="Times New Roman" w:cs="Times New Roman" w:eastAsia="Times New Roman" w:hAnsi="Times New Roman"/>
          <w:sz w:val="12"/>
          <w:szCs w:val="12"/>
          <w:color w:val="auto"/>
        </w:rPr>
        <w:t>Dividends declared</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Dividends paid per share $0.14</w:t>
      </w:r>
    </w:p>
    <w:p>
      <w:pPr>
        <w:spacing w:after="0" w:line="36"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shd w:val="clear" w:color="auto" w:fill="E8E5E2"/>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(6,642)</w:t>
            </w:r>
          </w:p>
        </w:tc>
        <w:tc>
          <w:tcPr>
            <w:tcW w:w="180" w:type="dxa"/>
            <w:vAlign w:val="bottom"/>
            <w:tcBorders>
              <w:left w:val="single" w:sz="8" w:color="E8E5E2"/>
              <w:right w:val="single" w:sz="8" w:color="E8E5E2"/>
            </w:tcBorders>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Borders>
              <w:left w:val="single" w:sz="8" w:color="E8E5E2"/>
              <w:right w:val="single" w:sz="8" w:color="E8E5E2"/>
            </w:tcBorders>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6,642</w:t>
            </w:r>
          </w:p>
        </w:tc>
        <w:tc>
          <w:tcPr>
            <w:tcW w:w="140" w:type="dxa"/>
            <w:vAlign w:val="bottom"/>
          </w:tcPr>
          <w:p>
            <w:pPr>
              <w:spacing w:after="0"/>
              <w:rPr>
                <w:sz w:val="12"/>
                <w:szCs w:val="12"/>
                <w:color w:val="auto"/>
              </w:rPr>
            </w:pPr>
          </w:p>
        </w:tc>
        <w:tc>
          <w:tcPr>
            <w:tcW w:w="160" w:type="dxa"/>
            <w:vAlign w:val="bottom"/>
            <w:tcBorders>
              <w:left w:val="single" w:sz="8" w:color="E8E5E2"/>
              <w:right w:val="single" w:sz="8" w:color="E8E5E2"/>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(59,060)</w:t>
            </w:r>
          </w:p>
        </w:tc>
        <w:tc>
          <w:tcPr>
            <w:tcW w:w="300" w:type="dxa"/>
            <w:vAlign w:val="bottom"/>
            <w:tcBorders>
              <w:left w:val="single" w:sz="8" w:color="E8E5E2"/>
            </w:tcBorders>
          </w:tcPr>
          <w:p>
            <w:pPr>
              <w:spacing w:after="0"/>
              <w:rPr>
                <w:sz w:val="12"/>
                <w:szCs w:val="12"/>
                <w:color w:val="auto"/>
              </w:rPr>
            </w:pPr>
          </w:p>
        </w:tc>
        <w:tc>
          <w:tcPr>
            <w:tcW w:w="78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20" w:type="dxa"/>
            <w:vAlign w:val="bottom"/>
            <w:tcBorders>
              <w:right w:val="single" w:sz="8" w:color="E8E5E2"/>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7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(59,066)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140" w:type="dxa"/>
            <w:vAlign w:val="bottom"/>
            <w:tcBorders>
              <w:right w:val="single" w:sz="8" w:color="D4EEF4"/>
            </w:tcBorders>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820" w:type="dxa"/>
            <w:vAlign w:val="bottom"/>
            <w:tcBorders>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D4EEF4"/>
          </w:tcPr>
          <w:p>
            <w:pPr>
              <w:spacing w:after="0"/>
              <w:rPr>
                <w:sz w:val="18"/>
                <w:szCs w:val="18"/>
                <w:color w:val="auto"/>
              </w:rPr>
            </w:pP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D4EEF4"/>
          </w:tcPr>
          <w:p>
            <w:pPr>
              <w:spacing w:after="0"/>
              <w:rPr>
                <w:sz w:val="18"/>
                <w:szCs w:val="18"/>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2"/>
                <w:szCs w:val="12"/>
                <w:color w:val="auto"/>
              </w:rPr>
              <w:t>(451)</w:t>
            </w:r>
          </w:p>
        </w:tc>
        <w:tc>
          <w:tcPr>
            <w:tcW w:w="0" w:type="dxa"/>
            <w:vAlign w:val="bottom"/>
          </w:tcPr>
          <w:p>
            <w:pPr>
              <w:spacing w:after="0"/>
              <w:rPr>
                <w:sz w:val="1"/>
                <w:szCs w:val="1"/>
                <w:color w:val="auto"/>
              </w:rPr>
            </w:pPr>
          </w:p>
        </w:tc>
      </w:tr>
      <w:tr>
        <w:trPr>
          <w:trHeight w:val="79"/>
        </w:trPr>
        <w:tc>
          <w:tcPr>
            <w:tcW w:w="20" w:type="dxa"/>
            <w:vAlign w:val="bottom"/>
            <w:tcBorders>
              <w:bottom w:val="single" w:sz="8" w:color="E8E5E2"/>
            </w:tcBorders>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Borders>
              <w:bottom w:val="single" w:sz="8" w:color="D4EEF4"/>
              <w:right w:val="single" w:sz="8" w:color="D4EEF4"/>
            </w:tcBorders>
            <w:shd w:val="clear" w:color="auto" w:fill="D4EEF4"/>
          </w:tcPr>
          <w:p>
            <w:pPr>
              <w:spacing w:after="0"/>
              <w:rPr>
                <w:sz w:val="6"/>
                <w:szCs w:val="6"/>
                <w:color w:val="auto"/>
              </w:rPr>
            </w:pPr>
          </w:p>
        </w:tc>
        <w:tc>
          <w:tcPr>
            <w:tcW w:w="260" w:type="dxa"/>
            <w:vAlign w:val="bottom"/>
            <w:tcBorders>
              <w:bottom w:val="single" w:sz="8" w:color="D4EEF4"/>
            </w:tcBorders>
            <w:shd w:val="clear" w:color="auto" w:fill="D4EEF4"/>
          </w:tcPr>
          <w:p>
            <w:pPr>
              <w:spacing w:after="0"/>
              <w:rPr>
                <w:sz w:val="6"/>
                <w:szCs w:val="6"/>
                <w:color w:val="auto"/>
              </w:rPr>
            </w:pPr>
          </w:p>
        </w:tc>
        <w:tc>
          <w:tcPr>
            <w:tcW w:w="660" w:type="dxa"/>
            <w:vAlign w:val="bottom"/>
            <w:tcBorders>
              <w:bottom w:val="single" w:sz="8" w:color="D4EEF4"/>
            </w:tcBorders>
            <w:shd w:val="clear" w:color="auto" w:fill="D4EEF4"/>
          </w:tcPr>
          <w:p>
            <w:pPr>
              <w:spacing w:after="0"/>
              <w:rPr>
                <w:sz w:val="6"/>
                <w:szCs w:val="6"/>
                <w:color w:val="auto"/>
              </w:rPr>
            </w:pPr>
          </w:p>
        </w:tc>
        <w:tc>
          <w:tcPr>
            <w:tcW w:w="160" w:type="dxa"/>
            <w:vAlign w:val="bottom"/>
            <w:tcBorders>
              <w:bottom w:val="single" w:sz="8" w:color="D4EEF4"/>
              <w:right w:val="single" w:sz="8" w:color="D4EEF4"/>
            </w:tcBorders>
            <w:shd w:val="clear" w:color="auto" w:fill="D4EEF4"/>
          </w:tcPr>
          <w:p>
            <w:pPr>
              <w:spacing w:after="0"/>
              <w:rPr>
                <w:sz w:val="6"/>
                <w:szCs w:val="6"/>
                <w:color w:val="auto"/>
              </w:rPr>
            </w:pPr>
          </w:p>
        </w:tc>
        <w:tc>
          <w:tcPr>
            <w:tcW w:w="300" w:type="dxa"/>
            <w:vAlign w:val="bottom"/>
            <w:tcBorders>
              <w:bottom w:val="single" w:sz="8" w:color="D4EEF4"/>
            </w:tcBorders>
            <w:shd w:val="clear" w:color="auto" w:fill="D4EEF4"/>
          </w:tcPr>
          <w:p>
            <w:pPr>
              <w:spacing w:after="0"/>
              <w:rPr>
                <w:sz w:val="6"/>
                <w:szCs w:val="6"/>
                <w:color w:val="auto"/>
              </w:rPr>
            </w:pPr>
          </w:p>
        </w:tc>
        <w:tc>
          <w:tcPr>
            <w:tcW w:w="600" w:type="dxa"/>
            <w:vAlign w:val="bottom"/>
            <w:tcBorders>
              <w:bottom w:val="single" w:sz="8" w:color="D4EEF4"/>
            </w:tcBorders>
            <w:shd w:val="clear" w:color="auto" w:fill="D4EEF4"/>
          </w:tcPr>
          <w:p>
            <w:pPr>
              <w:spacing w:after="0"/>
              <w:rPr>
                <w:sz w:val="6"/>
                <w:szCs w:val="6"/>
                <w:color w:val="auto"/>
              </w:rPr>
            </w:pPr>
          </w:p>
        </w:tc>
        <w:tc>
          <w:tcPr>
            <w:tcW w:w="160" w:type="dxa"/>
            <w:vAlign w:val="bottom"/>
            <w:tcBorders>
              <w:bottom w:val="single" w:sz="8" w:color="D4EEF4"/>
              <w:right w:val="single" w:sz="8" w:color="D4EEF4"/>
            </w:tcBorders>
            <w:shd w:val="clear" w:color="auto" w:fill="D4EEF4"/>
          </w:tcPr>
          <w:p>
            <w:pPr>
              <w:spacing w:after="0"/>
              <w:rPr>
                <w:sz w:val="6"/>
                <w:szCs w:val="6"/>
                <w:color w:val="auto"/>
              </w:rPr>
            </w:pPr>
          </w:p>
        </w:tc>
        <w:tc>
          <w:tcPr>
            <w:tcW w:w="300" w:type="dxa"/>
            <w:vAlign w:val="bottom"/>
            <w:tcBorders>
              <w:bottom w:val="single" w:sz="8" w:color="D4EEF4"/>
            </w:tcBorders>
            <w:shd w:val="clear" w:color="auto" w:fill="D4EEF4"/>
          </w:tcPr>
          <w:p>
            <w:pPr>
              <w:spacing w:after="0"/>
              <w:rPr>
                <w:sz w:val="6"/>
                <w:szCs w:val="6"/>
                <w:color w:val="auto"/>
              </w:rPr>
            </w:pPr>
          </w:p>
        </w:tc>
        <w:tc>
          <w:tcPr>
            <w:tcW w:w="640" w:type="dxa"/>
            <w:vAlign w:val="bottom"/>
            <w:tcBorders>
              <w:bottom w:val="single" w:sz="8" w:color="D4EEF4"/>
            </w:tcBorders>
            <w:shd w:val="clear" w:color="auto" w:fill="D4EEF4"/>
          </w:tcPr>
          <w:p>
            <w:pPr>
              <w:spacing w:after="0"/>
              <w:rPr>
                <w:sz w:val="6"/>
                <w:szCs w:val="6"/>
                <w:color w:val="auto"/>
              </w:rPr>
            </w:pPr>
          </w:p>
        </w:tc>
        <w:tc>
          <w:tcPr>
            <w:tcW w:w="140" w:type="dxa"/>
            <w:vAlign w:val="bottom"/>
            <w:tcBorders>
              <w:bottom w:val="single" w:sz="8" w:color="D4EEF4"/>
            </w:tcBorders>
            <w:shd w:val="clear" w:color="auto" w:fill="D4EEF4"/>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E8E5E2"/>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E8E5E2"/>
              <w:right w:val="single" w:sz="8" w:color="E8E5E2"/>
            </w:tcBorders>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left w:val="single" w:sz="8" w:color="E8E5E2"/>
            </w:tcBorders>
          </w:tcPr>
          <w:p>
            <w:pPr>
              <w:spacing w:after="0"/>
              <w:rPr>
                <w:sz w:val="16"/>
                <w:szCs w:val="16"/>
                <w:color w:val="auto"/>
              </w:rPr>
            </w:pPr>
          </w:p>
        </w:tc>
        <w:tc>
          <w:tcPr>
            <w:tcW w:w="78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6"/>
                <w:szCs w:val="16"/>
                <w:color w:val="auto"/>
              </w:rPr>
            </w:pPr>
          </w:p>
        </w:tc>
        <w:tc>
          <w:tcPr>
            <w:tcW w:w="820" w:type="dxa"/>
            <w:vAlign w:val="bottom"/>
            <w:tcBorders>
              <w:right w:val="single" w:sz="8" w:color="E8E5E2"/>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6"/>
                <w:szCs w:val="16"/>
                <w:color w:val="auto"/>
              </w:rPr>
            </w:pPr>
          </w:p>
        </w:tc>
        <w:tc>
          <w:tcPr>
            <w:tcW w:w="760" w:type="dxa"/>
            <w:vAlign w:val="bottom"/>
            <w:tcBorders>
              <w:right w:val="single" w:sz="8" w:color="E8E5E2"/>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(649)</w:t>
            </w:r>
          </w:p>
        </w:tc>
        <w:tc>
          <w:tcPr>
            <w:tcW w:w="3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(649)</w:t>
            </w:r>
          </w:p>
        </w:tc>
        <w:tc>
          <w:tcPr>
            <w:tcW w:w="0" w:type="dxa"/>
            <w:vAlign w:val="bottom"/>
          </w:tcPr>
          <w:p>
            <w:pPr>
              <w:spacing w:after="0"/>
              <w:rPr>
                <w:sz w:val="1"/>
                <w:szCs w:val="1"/>
                <w:color w:val="auto"/>
              </w:rPr>
            </w:pPr>
          </w:p>
        </w:tc>
      </w:tr>
      <w:tr>
        <w:trPr>
          <w:trHeight w:val="79"/>
        </w:trPr>
        <w:tc>
          <w:tcPr>
            <w:tcW w:w="20" w:type="dxa"/>
            <w:vAlign w:val="bottom"/>
            <w:shd w:val="clear" w:color="auto" w:fill="E8E5E2"/>
          </w:tcPr>
          <w:p>
            <w:pPr>
              <w:spacing w:after="0"/>
              <w:rPr>
                <w:sz w:val="6"/>
                <w:szCs w:val="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E8E5E2"/>
              <w:right w:val="single" w:sz="8" w:color="E8E5E2"/>
            </w:tcBorders>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6"/>
                <w:szCs w:val="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6"/>
                <w:szCs w:val="6"/>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E8E5E2"/>
              <w:right w:val="single" w:sz="8" w:color="E8E5E2"/>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left w:val="single" w:sz="8" w:color="E8E5E2"/>
            </w:tcBorders>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right w:val="single" w:sz="8" w:color="E8E5E2"/>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Borders>
              <w:right w:val="single" w:sz="8" w:color="E8E5E2"/>
            </w:tcBorders>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Borders>
              <w:right w:val="single" w:sz="8" w:color="E8E5E2"/>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E8E5E2"/>
            </w:tcBorders>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Borders>
              <w:bottom w:val="single" w:sz="8" w:color="D4EEF4"/>
              <w:right w:val="single" w:sz="8" w:color="D4EEF4"/>
            </w:tcBorders>
            <w:shd w:val="clear" w:color="auto" w:fill="D4EEF4"/>
          </w:tcPr>
          <w:p>
            <w:pPr>
              <w:spacing w:after="0"/>
              <w:rPr>
                <w:sz w:val="13"/>
                <w:szCs w:val="13"/>
                <w:color w:val="auto"/>
              </w:rPr>
            </w:pPr>
          </w:p>
        </w:tc>
        <w:tc>
          <w:tcPr>
            <w:tcW w:w="260" w:type="dxa"/>
            <w:vAlign w:val="bottom"/>
            <w:tcBorders>
              <w:bottom w:val="single" w:sz="8" w:color="D4EEF4"/>
            </w:tcBorders>
            <w:shd w:val="clear" w:color="auto" w:fill="D4EEF4"/>
          </w:tcPr>
          <w:p>
            <w:pPr>
              <w:spacing w:after="0"/>
              <w:rPr>
                <w:sz w:val="13"/>
                <w:szCs w:val="13"/>
                <w:color w:val="auto"/>
              </w:rPr>
            </w:pPr>
          </w:p>
        </w:tc>
        <w:tc>
          <w:tcPr>
            <w:tcW w:w="820" w:type="dxa"/>
            <w:vAlign w:val="bottom"/>
            <w:tcBorders>
              <w:bottom w:val="single" w:sz="8" w:color="D4EEF4"/>
              <w:right w:val="single" w:sz="8" w:color="D4EEF4"/>
            </w:tcBorders>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D4EEF4"/>
            </w:tcBorders>
            <w:shd w:val="clear" w:color="auto" w:fill="D4EEF4"/>
          </w:tcPr>
          <w:p>
            <w:pPr>
              <w:spacing w:after="0"/>
              <w:rPr>
                <w:sz w:val="13"/>
                <w:szCs w:val="13"/>
                <w:color w:val="auto"/>
              </w:rPr>
            </w:pPr>
          </w:p>
        </w:tc>
        <w:tc>
          <w:tcPr>
            <w:tcW w:w="760" w:type="dxa"/>
            <w:vAlign w:val="bottom"/>
            <w:tcBorders>
              <w:bottom w:val="single" w:sz="8" w:color="D4EEF4"/>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D4EEF4"/>
            </w:tcBorders>
            <w:shd w:val="clear" w:color="auto" w:fill="D4EEF4"/>
          </w:tcPr>
          <w:p>
            <w:pPr>
              <w:spacing w:after="0"/>
              <w:rPr>
                <w:sz w:val="13"/>
                <w:szCs w:val="13"/>
                <w:color w:val="auto"/>
              </w:rPr>
            </w:pPr>
          </w:p>
        </w:tc>
        <w:tc>
          <w:tcPr>
            <w:tcW w:w="640" w:type="dxa"/>
            <w:vAlign w:val="bottom"/>
            <w:tcBorders>
              <w:bottom w:val="single" w:sz="8" w:color="D4EEF4"/>
            </w:tcBorders>
            <w:shd w:val="clear" w:color="auto" w:fill="D4EEF4"/>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bottom w:val="single" w:sz="8" w:color="D4EEF4"/>
            </w:tcBorders>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E8E5E2"/>
          </w:tcPr>
          <w:p>
            <w:pPr>
              <w:spacing w:after="0"/>
              <w:rPr>
                <w:sz w:val="11"/>
                <w:szCs w:val="11"/>
                <w:color w:val="auto"/>
              </w:rPr>
            </w:pPr>
          </w:p>
        </w:tc>
        <w:tc>
          <w:tcPr>
            <w:tcW w:w="9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80" w:type="dxa"/>
            <w:vAlign w:val="bottom"/>
            <w:tcBorders>
              <w:left w:val="single" w:sz="8" w:color="E8E5E2"/>
              <w:right w:val="single" w:sz="8" w:color="E8E5E2"/>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60" w:type="dxa"/>
            <w:vAlign w:val="bottom"/>
            <w:tcBorders>
              <w:left w:val="single" w:sz="8" w:color="E8E5E2"/>
              <w:right w:val="single" w:sz="8" w:color="E8E5E2"/>
            </w:tcBorders>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60" w:type="dxa"/>
            <w:vAlign w:val="bottom"/>
            <w:tcBorders>
              <w:left w:val="single" w:sz="8" w:color="E8E5E2"/>
              <w:right w:val="single" w:sz="8" w:color="E8E5E2"/>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ind w:left="3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1"/>
                <w:szCs w:val="11"/>
                <w:color w:val="auto"/>
              </w:rPr>
            </w:pPr>
          </w:p>
        </w:tc>
        <w:tc>
          <w:tcPr>
            <w:tcW w:w="160" w:type="dxa"/>
            <w:vAlign w:val="bottom"/>
            <w:tcBorders>
              <w:left w:val="single" w:sz="8" w:color="E8E5E2"/>
              <w:right w:val="single" w:sz="8" w:color="E8E5E2"/>
            </w:tcBorders>
          </w:tcPr>
          <w:p>
            <w:pPr>
              <w:spacing w:after="0"/>
              <w:rPr>
                <w:sz w:val="11"/>
                <w:szCs w:val="11"/>
                <w:color w:val="auto"/>
              </w:rPr>
            </w:pPr>
          </w:p>
        </w:tc>
        <w:tc>
          <w:tcPr>
            <w:tcW w:w="9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60" w:type="dxa"/>
            <w:vAlign w:val="bottom"/>
            <w:tcBorders>
              <w:left w:val="single" w:sz="8" w:color="E8E5E2"/>
              <w:right w:val="single" w:sz="8" w:color="E8E5E2"/>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300" w:type="dxa"/>
            <w:vAlign w:val="bottom"/>
            <w:tcBorders>
              <w:left w:val="single" w:sz="8" w:color="E8E5E2"/>
            </w:tcBorders>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(15,489)</w:t>
            </w:r>
          </w:p>
        </w:tc>
        <w:tc>
          <w:tcPr>
            <w:tcW w:w="140" w:type="dxa"/>
            <w:vAlign w:val="bottom"/>
            <w:tcBorders>
              <w:right w:val="single" w:sz="8" w:color="E8E5E2"/>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E8E5E2"/>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(15,489)</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60" w:type="dxa"/>
            <w:vAlign w:val="bottom"/>
            <w:gridSpan w:val="2"/>
          </w:tcPr>
          <w:p>
            <w:pPr>
              <w:jc w:val="right"/>
              <w:spacing w:after="0"/>
              <w:rPr>
                <w:sz w:val="20"/>
                <w:szCs w:val="20"/>
                <w:color w:val="auto"/>
              </w:rPr>
            </w:pPr>
            <w:r>
              <w:rPr>
                <w:rFonts w:ascii="Calibri" w:cs="Calibri" w:eastAsia="Calibri" w:hAnsi="Calibri"/>
                <w:sz w:val="12"/>
                <w:szCs w:val="12"/>
                <w:color w:val="auto"/>
              </w:rPr>
              <w:t>67,615</w:t>
            </w:r>
          </w:p>
        </w:tc>
        <w:tc>
          <w:tcPr>
            <w:tcW w:w="140" w:type="dxa"/>
            <w:vAlign w:val="bottom"/>
          </w:tcPr>
          <w:p>
            <w:pPr>
              <w:spacing w:after="0"/>
              <w:rPr>
                <w:sz w:val="13"/>
                <w:szCs w:val="13"/>
                <w:color w:val="auto"/>
              </w:rPr>
            </w:pPr>
          </w:p>
        </w:tc>
        <w:tc>
          <w:tcPr>
            <w:tcW w:w="540" w:type="dxa"/>
            <w:vAlign w:val="bottom"/>
            <w:gridSpan w:val="2"/>
          </w:tcPr>
          <w:p>
            <w:pPr>
              <w:jc w:val="right"/>
              <w:ind w:right="340"/>
              <w:spacing w:after="0"/>
              <w:rPr>
                <w:sz w:val="20"/>
                <w:szCs w:val="20"/>
                <w:color w:val="auto"/>
              </w:rPr>
            </w:pPr>
            <w:r>
              <w:rPr>
                <w:rFonts w:ascii="Calibri" w:cs="Calibri" w:eastAsia="Calibri" w:hAnsi="Calibri"/>
                <w:sz w:val="12"/>
                <w:szCs w:val="12"/>
                <w:color w:val="auto"/>
              </w:rPr>
              <w:t>$</w:t>
            </w:r>
          </w:p>
        </w:tc>
        <w:tc>
          <w:tcPr>
            <w:tcW w:w="460" w:type="dxa"/>
            <w:vAlign w:val="bottom"/>
          </w:tcPr>
          <w:p>
            <w:pPr>
              <w:jc w:val="right"/>
              <w:spacing w:after="0"/>
              <w:rPr>
                <w:sz w:val="20"/>
                <w:szCs w:val="20"/>
                <w:color w:val="auto"/>
              </w:rPr>
            </w:pPr>
            <w:r>
              <w:rPr>
                <w:rFonts w:ascii="Calibri" w:cs="Calibri" w:eastAsia="Calibri" w:hAnsi="Calibri"/>
                <w:sz w:val="12"/>
                <w:szCs w:val="12"/>
                <w:color w:val="auto"/>
              </w:rPr>
              <w:t>68</w:t>
            </w:r>
          </w:p>
        </w:tc>
        <w:tc>
          <w:tcPr>
            <w:tcW w:w="1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alibri" w:cs="Calibri" w:eastAsia="Calibri" w:hAnsi="Calibri"/>
                <w:sz w:val="12"/>
                <w:szCs w:val="12"/>
                <w:color w:val="auto"/>
              </w:rPr>
              <w:t>43,461</w:t>
            </w:r>
          </w:p>
        </w:tc>
        <w:tc>
          <w:tcPr>
            <w:tcW w:w="120" w:type="dxa"/>
            <w:vAlign w:val="bottom"/>
          </w:tcPr>
          <w:p>
            <w:pPr>
              <w:spacing w:after="0"/>
              <w:rPr>
                <w:sz w:val="13"/>
                <w:szCs w:val="13"/>
                <w:color w:val="auto"/>
              </w:rPr>
            </w:pPr>
          </w:p>
        </w:tc>
        <w:tc>
          <w:tcPr>
            <w:tcW w:w="540" w:type="dxa"/>
            <w:vAlign w:val="bottom"/>
            <w:gridSpan w:val="2"/>
          </w:tcPr>
          <w:p>
            <w:pPr>
              <w:jc w:val="right"/>
              <w:ind w:right="340"/>
              <w:spacing w:after="0"/>
              <w:rPr>
                <w:sz w:val="20"/>
                <w:szCs w:val="20"/>
                <w:color w:val="auto"/>
              </w:rPr>
            </w:pPr>
            <w:r>
              <w:rPr>
                <w:rFonts w:ascii="Calibri" w:cs="Calibri" w:eastAsia="Calibri" w:hAnsi="Calibri"/>
                <w:sz w:val="12"/>
                <w:szCs w:val="12"/>
                <w:color w:val="auto"/>
              </w:rPr>
              <w:t>$</w:t>
            </w:r>
          </w:p>
        </w:tc>
        <w:tc>
          <w:tcPr>
            <w:tcW w:w="460" w:type="dxa"/>
            <w:vAlign w:val="bottom"/>
          </w:tcPr>
          <w:p>
            <w:pPr>
              <w:ind w:left="320"/>
              <w:spacing w:after="0"/>
              <w:rPr>
                <w:sz w:val="20"/>
                <w:szCs w:val="20"/>
                <w:color w:val="auto"/>
              </w:rPr>
            </w:pPr>
            <w:r>
              <w:rPr>
                <w:rFonts w:ascii="Calibri" w:cs="Calibri" w:eastAsia="Calibri" w:hAnsi="Calibri"/>
                <w:sz w:val="12"/>
                <w:szCs w:val="12"/>
                <w:color w:val="auto"/>
                <w:w w:val="98"/>
              </w:rPr>
              <w:t>43</w:t>
            </w:r>
          </w:p>
        </w:tc>
        <w:tc>
          <w:tcPr>
            <w:tcW w:w="1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Calibri" w:cs="Calibri" w:eastAsia="Calibri" w:hAnsi="Calibri"/>
                <w:sz w:val="12"/>
                <w:szCs w:val="12"/>
                <w:color w:val="auto"/>
              </w:rPr>
              <w:t>8,483</w:t>
            </w:r>
          </w:p>
        </w:tc>
        <w:tc>
          <w:tcPr>
            <w:tcW w:w="14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Calibri" w:cs="Calibri" w:eastAsia="Calibri" w:hAnsi="Calibri"/>
                <w:sz w:val="12"/>
                <w:szCs w:val="12"/>
                <w:color w:val="auto"/>
              </w:rPr>
              <w:t>$</w:t>
            </w:r>
          </w:p>
        </w:tc>
        <w:tc>
          <w:tcPr>
            <w:tcW w:w="760" w:type="dxa"/>
            <w:vAlign w:val="bottom"/>
            <w:gridSpan w:val="2"/>
          </w:tcPr>
          <w:p>
            <w:pPr>
              <w:jc w:val="right"/>
              <w:ind w:right="100"/>
              <w:spacing w:after="0"/>
              <w:rPr>
                <w:sz w:val="20"/>
                <w:szCs w:val="20"/>
                <w:color w:val="auto"/>
              </w:rPr>
            </w:pPr>
            <w:r>
              <w:rPr>
                <w:rFonts w:ascii="Calibri" w:cs="Calibri" w:eastAsia="Calibri" w:hAnsi="Calibri"/>
                <w:sz w:val="12"/>
                <w:szCs w:val="12"/>
                <w:color w:val="auto"/>
              </w:rPr>
              <w:t>(76,648)</w:t>
            </w:r>
          </w:p>
        </w:tc>
        <w:tc>
          <w:tcPr>
            <w:tcW w:w="300" w:type="dxa"/>
            <w:vAlign w:val="bottom"/>
          </w:tcPr>
          <w:p>
            <w:pPr>
              <w:jc w:val="right"/>
              <w:ind w:right="185"/>
              <w:spacing w:after="0"/>
              <w:rPr>
                <w:sz w:val="20"/>
                <w:szCs w:val="20"/>
                <w:color w:val="auto"/>
              </w:rPr>
            </w:pPr>
            <w:r>
              <w:rPr>
                <w:rFonts w:ascii="Calibri" w:cs="Calibri" w:eastAsia="Calibri" w:hAnsi="Calibri"/>
                <w:sz w:val="11"/>
                <w:szCs w:val="11"/>
                <w:color w:val="auto"/>
                <w:w w:val="70"/>
              </w:rPr>
              <w:t>$</w:t>
            </w:r>
          </w:p>
        </w:tc>
        <w:tc>
          <w:tcPr>
            <w:tcW w:w="640" w:type="dxa"/>
            <w:vAlign w:val="bottom"/>
          </w:tcPr>
          <w:p>
            <w:pPr>
              <w:jc w:val="right"/>
              <w:spacing w:after="0"/>
              <w:rPr>
                <w:sz w:val="20"/>
                <w:szCs w:val="20"/>
                <w:color w:val="auto"/>
              </w:rPr>
            </w:pPr>
            <w:r>
              <w:rPr>
                <w:rFonts w:ascii="Calibri" w:cs="Calibri" w:eastAsia="Calibri" w:hAnsi="Calibri"/>
                <w:sz w:val="12"/>
                <w:szCs w:val="12"/>
                <w:color w:val="auto"/>
              </w:rPr>
              <w:t>637,848</w:t>
            </w:r>
          </w:p>
        </w:tc>
        <w:tc>
          <w:tcPr>
            <w:tcW w:w="14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Calibri" w:cs="Calibri" w:eastAsia="Calibri" w:hAnsi="Calibri"/>
                <w:sz w:val="11"/>
                <w:szCs w:val="11"/>
                <w:color w:val="auto"/>
                <w:w w:val="70"/>
              </w:rPr>
              <w:t>$</w:t>
            </w:r>
          </w:p>
        </w:tc>
        <w:tc>
          <w:tcPr>
            <w:tcW w:w="820" w:type="dxa"/>
            <w:vAlign w:val="bottom"/>
            <w:gridSpan w:val="2"/>
          </w:tcPr>
          <w:p>
            <w:pPr>
              <w:jc w:val="right"/>
              <w:ind w:right="120"/>
              <w:spacing w:after="0"/>
              <w:rPr>
                <w:sz w:val="20"/>
                <w:szCs w:val="20"/>
                <w:color w:val="auto"/>
              </w:rPr>
            </w:pPr>
            <w:r>
              <w:rPr>
                <w:rFonts w:ascii="Calibri" w:cs="Calibri" w:eastAsia="Calibri" w:hAnsi="Calibri"/>
                <w:sz w:val="12"/>
                <w:szCs w:val="12"/>
                <w:color w:val="auto"/>
              </w:rPr>
              <w:t>(214,312)</w:t>
            </w:r>
          </w:p>
        </w:tc>
        <w:tc>
          <w:tcPr>
            <w:tcW w:w="300" w:type="dxa"/>
            <w:vAlign w:val="bottom"/>
          </w:tcPr>
          <w:p>
            <w:pPr>
              <w:jc w:val="right"/>
              <w:ind w:right="235"/>
              <w:spacing w:after="0"/>
              <w:rPr>
                <w:sz w:val="20"/>
                <w:szCs w:val="20"/>
                <w:color w:val="auto"/>
              </w:rPr>
            </w:pPr>
            <w:r>
              <w:rPr>
                <w:rFonts w:ascii="Calibri" w:cs="Calibri" w:eastAsia="Calibri" w:hAnsi="Calibri"/>
                <w:sz w:val="5"/>
                <w:szCs w:val="5"/>
                <w:color w:val="auto"/>
                <w:w w:val="76"/>
              </w:rPr>
              <w:t>$</w:t>
            </w:r>
          </w:p>
        </w:tc>
        <w:tc>
          <w:tcPr>
            <w:tcW w:w="600" w:type="dxa"/>
            <w:vAlign w:val="bottom"/>
          </w:tcPr>
          <w:p>
            <w:pPr>
              <w:jc w:val="right"/>
              <w:spacing w:after="0"/>
              <w:rPr>
                <w:sz w:val="20"/>
                <w:szCs w:val="20"/>
                <w:color w:val="auto"/>
              </w:rPr>
            </w:pPr>
            <w:r>
              <w:rPr>
                <w:rFonts w:ascii="Calibri" w:cs="Calibri" w:eastAsia="Calibri" w:hAnsi="Calibri"/>
                <w:sz w:val="12"/>
                <w:szCs w:val="12"/>
                <w:color w:val="auto"/>
              </w:rPr>
              <w:t>39,891</w:t>
            </w:r>
          </w:p>
        </w:tc>
        <w:tc>
          <w:tcPr>
            <w:tcW w:w="160" w:type="dxa"/>
            <w:vAlign w:val="bottom"/>
          </w:tcPr>
          <w:p>
            <w:pPr>
              <w:spacing w:after="0"/>
              <w:rPr>
                <w:sz w:val="13"/>
                <w:szCs w:val="13"/>
                <w:color w:val="auto"/>
              </w:rPr>
            </w:pPr>
          </w:p>
        </w:tc>
        <w:tc>
          <w:tcPr>
            <w:tcW w:w="300" w:type="dxa"/>
            <w:vAlign w:val="bottom"/>
          </w:tcPr>
          <w:p>
            <w:pPr>
              <w:jc w:val="right"/>
              <w:ind w:right="235"/>
              <w:spacing w:after="0"/>
              <w:rPr>
                <w:sz w:val="20"/>
                <w:szCs w:val="20"/>
                <w:color w:val="auto"/>
              </w:rPr>
            </w:pPr>
            <w:r>
              <w:rPr>
                <w:rFonts w:ascii="Calibri" w:cs="Calibri" w:eastAsia="Calibri" w:hAnsi="Calibri"/>
                <w:sz w:val="5"/>
                <w:szCs w:val="5"/>
                <w:color w:val="auto"/>
                <w:w w:val="76"/>
              </w:rPr>
              <w:t>$</w:t>
            </w:r>
          </w:p>
        </w:tc>
        <w:tc>
          <w:tcPr>
            <w:tcW w:w="640" w:type="dxa"/>
            <w:vAlign w:val="bottom"/>
          </w:tcPr>
          <w:p>
            <w:pPr>
              <w:jc w:val="right"/>
              <w:spacing w:after="0"/>
              <w:rPr>
                <w:sz w:val="20"/>
                <w:szCs w:val="20"/>
                <w:color w:val="auto"/>
              </w:rPr>
            </w:pPr>
            <w:r>
              <w:rPr>
                <w:rFonts w:ascii="Calibri" w:cs="Calibri" w:eastAsia="Calibri" w:hAnsi="Calibri"/>
                <w:sz w:val="12"/>
                <w:szCs w:val="12"/>
                <w:color w:val="auto"/>
              </w:rPr>
              <w:t>386,890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-1485265</wp:posOffset>
                </wp:positionH>
                <wp:positionV relativeFrom="paragraph">
                  <wp:posOffset>-697230</wp:posOffset>
                </wp:positionV>
                <wp:extent cx="6548755" cy="1841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8755" cy="184150"/>
                        </a:xfrm>
                        <a:prstGeom prst="rect">
                          <a:avLst/>
                        </a:prstGeom>
                        <a:solidFill>
                          <a:srgbClr val="D4EEF4"/>
                        </a:solidFill>
                      </wps:spPr>
                      <wps:bodyPr/>
                    </wps:wsp>
                  </a:graphicData>
                </a:graphic>
              </wp:anchor>
            </w:drawing>
          </mc:Choice>
          <mc:Fallback>
            <w:pict>
              <v:rect id="Shape 52" o:spid="_x0000_s1077" style="position:absolute;margin-left:-116.9499pt;margin-top:-54.8999pt;width:515.65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-1485900</wp:posOffset>
                </wp:positionH>
                <wp:positionV relativeFrom="paragraph">
                  <wp:posOffset>-329565</wp:posOffset>
                </wp:positionV>
                <wp:extent cx="6548755" cy="9652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8755" cy="96520"/>
                        </a:xfrm>
                        <a:prstGeom prst="rect">
                          <a:avLst/>
                        </a:prstGeom>
                        <a:solidFill>
                          <a:srgbClr val="D4EEF4"/>
                        </a:solidFill>
                      </wps:spPr>
                      <wps:bodyPr/>
                    </wps:wsp>
                  </a:graphicData>
                </a:graphic>
              </wp:anchor>
            </w:drawing>
          </mc:Choice>
          <mc:Fallback>
            <w:pict>
              <v:rect id="Shape 53" o:spid="_x0000_s1078" style="position:absolute;margin-left:-117pt;margin-top:-25.9499pt;width:515.65pt;height:7.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w:r>
    </w:p>
    <w:p>
      <w:pPr>
        <w:spacing w:after="0" w:line="1" w:lineRule="exact"/>
        <w:rPr>
          <w:sz w:val="20"/>
          <w:szCs w:val="20"/>
          <w:color w:val="auto"/>
        </w:rPr>
      </w:pPr>
    </w:p>
    <w:p>
      <w:pPr>
        <w:sectPr>
          <w:pgSz w:w="15840" w:h="12240" w:orient="landscape"/>
          <w:cols w:equalWidth="0" w:num="2">
            <w:col w:w="2300" w:space="40"/>
            <w:col w:w="11340"/>
          </w:cols>
          <w:pgMar w:left="1080" w:top="1024" w:right="1080" w:bottom="207" w:gutter="0" w:footer="0" w:header="0"/>
          <w:type w:val="continuous"/>
        </w:sectPr>
      </w:pPr>
    </w:p>
    <w:p>
      <w:pPr>
        <w:spacing w:after="0" w:line="224" w:lineRule="auto"/>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77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5840" w:h="12240" w:orient="landscape"/>
          <w:cols w:equalWidth="0" w:num="1">
            <w:col w:w="13680"/>
          </w:cols>
          <w:pgMar w:left="1080" w:top="1024" w:right="1080" w:bottom="207"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6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2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Borders>
              <w:bottom w:val="single" w:sz="8" w:color="D4EEF4"/>
            </w:tcBorders>
          </w:tcPr>
          <w:p>
            <w:pPr>
              <w:spacing w:after="0"/>
              <w:rPr>
                <w:sz w:val="16"/>
                <w:szCs w:val="16"/>
                <w:color w:val="auto"/>
              </w:rPr>
            </w:pPr>
          </w:p>
        </w:tc>
        <w:tc>
          <w:tcPr>
            <w:tcW w:w="640" w:type="dxa"/>
            <w:vAlign w:val="bottom"/>
            <w:tcBorders>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D4EEF4"/>
            </w:tcBorders>
          </w:tcPr>
          <w:p>
            <w:pPr>
              <w:spacing w:after="0"/>
              <w:rPr>
                <w:sz w:val="16"/>
                <w:szCs w:val="16"/>
                <w:color w:val="auto"/>
              </w:rPr>
            </w:pPr>
          </w:p>
        </w:tc>
        <w:tc>
          <w:tcPr>
            <w:tcW w:w="8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D4EEF4"/>
            </w:tcBorders>
          </w:tcPr>
          <w:p>
            <w:pPr>
              <w:spacing w:after="0"/>
              <w:rPr>
                <w:sz w:val="16"/>
                <w:szCs w:val="16"/>
                <w:color w:val="auto"/>
              </w:rPr>
            </w:pPr>
          </w:p>
        </w:tc>
        <w:tc>
          <w:tcPr>
            <w:tcW w:w="8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4EEF4"/>
            </w:tcBorders>
          </w:tcPr>
          <w:p>
            <w:pPr>
              <w:spacing w:after="0"/>
              <w:rPr>
                <w:sz w:val="16"/>
                <w:szCs w:val="16"/>
                <w:color w:val="auto"/>
              </w:rPr>
            </w:pPr>
          </w:p>
        </w:tc>
      </w:tr>
      <w:tr>
        <w:trPr>
          <w:trHeight w:val="155"/>
        </w:trPr>
        <w:tc>
          <w:tcPr>
            <w:tcW w:w="5340" w:type="dxa"/>
            <w:vAlign w:val="bottom"/>
            <w:shd w:val="clear" w:color="auto" w:fill="D4EEF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4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19,667</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(7,772)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29,399</w:t>
            </w:r>
          </w:p>
        </w:tc>
        <w:tc>
          <w:tcPr>
            <w:tcW w:w="100" w:type="dxa"/>
            <w:vAlign w:val="bottom"/>
          </w:tcPr>
          <w:p>
            <w:pPr>
              <w:spacing w:after="0"/>
              <w:rPr>
                <w:sz w:val="15"/>
                <w:szCs w:val="15"/>
                <w:color w:val="auto"/>
              </w:rPr>
            </w:pPr>
          </w:p>
        </w:tc>
      </w:tr>
      <w:tr>
        <w:trPr>
          <w:trHeight w:val="161"/>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Adjustments to reconcile net income/(loss) to net cash provided by operating</w:t>
            </w:r>
          </w:p>
        </w:tc>
        <w:tc>
          <w:tcPr>
            <w:tcW w:w="64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r>
      <w:tr>
        <w:trPr>
          <w:trHeight w:val="175"/>
        </w:trPr>
        <w:tc>
          <w:tcPr>
            <w:tcW w:w="5340" w:type="dxa"/>
            <w:vAlign w:val="bottom"/>
            <w:shd w:val="clear" w:color="auto" w:fill="D4EEF4"/>
          </w:tcPr>
          <w:p>
            <w:pPr>
              <w:ind w:left="500"/>
              <w:spacing w:after="0"/>
              <w:rPr>
                <w:sz w:val="20"/>
                <w:szCs w:val="20"/>
                <w:color w:val="auto"/>
              </w:rPr>
            </w:pPr>
            <w:r>
              <w:rPr>
                <w:rFonts w:ascii="Times New Roman" w:cs="Times New Roman" w:eastAsia="Times New Roman" w:hAnsi="Times New Roman"/>
                <w:sz w:val="14"/>
                <w:szCs w:val="14"/>
                <w:color w:val="auto"/>
              </w:rPr>
              <w:t>activities: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18,616</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Depreciation expense</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26,867</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from unconsolidated subsidiaries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(1,532)</w:t>
            </w: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Deferred tax expense</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Measurement of contra-revenue put option</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contingent payment to customers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Remeasurement of contingent consideration</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Post close purchase price adjustment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receivable</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(1,066)</w:t>
            </w:r>
          </w:p>
        </w:tc>
      </w:tr>
      <w:tr>
        <w:trPr>
          <w:trHeight w:val="175"/>
        </w:trPr>
        <w:tc>
          <w:tcPr>
            <w:tcW w:w="534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Due from related parties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(24,213)</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(21,158)</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(24,181)</w:t>
            </w: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Right-of-use assets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(9,333)</w:t>
            </w:r>
          </w:p>
        </w:tc>
      </w:tr>
      <w:tr>
        <w:trPr>
          <w:trHeight w:val="175"/>
        </w:trPr>
        <w:tc>
          <w:tcPr>
            <w:tcW w:w="534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18,777</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24,601</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Due to related parties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w:t>
            </w:r>
          </w:p>
        </w:tc>
      </w:tr>
      <w:tr>
        <w:trPr>
          <w:trHeight w:val="175"/>
        </w:trPr>
        <w:tc>
          <w:tcPr>
            <w:tcW w:w="534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(7,861)</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34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Deferred revenues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r>
      <w:tr>
        <w:trPr>
          <w:trHeight w:val="175"/>
        </w:trPr>
        <w:tc>
          <w:tcPr>
            <w:tcW w:w="53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Lease liabilities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(2,137)</w:t>
            </w:r>
          </w:p>
        </w:tc>
      </w:tr>
      <w:tr>
        <w:trPr>
          <w:trHeight w:val="155"/>
        </w:trPr>
        <w:tc>
          <w:tcPr>
            <w:tcW w:w="5340" w:type="dxa"/>
            <w:vAlign w:val="bottom"/>
            <w:tcBorders>
              <w:top w:val="single" w:sz="8" w:color="D4EEF4"/>
            </w:tcBorders>
            <w:shd w:val="clear" w:color="auto" w:fill="D4EEF4"/>
          </w:tcPr>
          <w:p>
            <w:pPr>
              <w:ind w:left="80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4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100,970</w:t>
            </w:r>
          </w:p>
        </w:tc>
        <w:tc>
          <w:tcPr>
            <w:tcW w:w="120" w:type="dxa"/>
            <w:vAlign w:val="bottom"/>
            <w:tcBorders>
              <w:top w:val="single" w:sz="8" w:color="D4EEF4"/>
            </w:tcBorders>
            <w:shd w:val="clear" w:color="auto" w:fill="D4EEF4"/>
          </w:tcPr>
          <w:p>
            <w:pPr>
              <w:spacing w:after="0"/>
              <w:rPr>
                <w:sz w:val="13"/>
                <w:szCs w:val="13"/>
                <w:color w:val="auto"/>
              </w:rPr>
            </w:pPr>
          </w:p>
        </w:tc>
        <w:tc>
          <w:tcPr>
            <w:tcW w:w="8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47,685</w:t>
            </w:r>
          </w:p>
        </w:tc>
        <w:tc>
          <w:tcPr>
            <w:tcW w:w="120" w:type="dxa"/>
            <w:vAlign w:val="bottom"/>
            <w:tcBorders>
              <w:top w:val="single" w:sz="8" w:color="D4EEF4"/>
            </w:tcBorders>
            <w:shd w:val="clear" w:color="auto" w:fill="D4EEF4"/>
          </w:tcPr>
          <w:p>
            <w:pPr>
              <w:spacing w:after="0"/>
              <w:rPr>
                <w:sz w:val="13"/>
                <w:szCs w:val="13"/>
                <w:color w:val="auto"/>
              </w:rPr>
            </w:pPr>
          </w:p>
        </w:tc>
        <w:tc>
          <w:tcPr>
            <w:tcW w:w="8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61,675</w:t>
            </w:r>
          </w:p>
        </w:tc>
        <w:tc>
          <w:tcPr>
            <w:tcW w:w="100" w:type="dxa"/>
            <w:vAlign w:val="bottom"/>
            <w:tcBorders>
              <w:top w:val="single" w:sz="8" w:color="D4EEF4"/>
            </w:tcBorders>
            <w:shd w:val="clear" w:color="auto" w:fill="D4EEF4"/>
          </w:tcPr>
          <w:p>
            <w:pPr>
              <w:spacing w:after="0"/>
              <w:rPr>
                <w:sz w:val="13"/>
                <w:szCs w:val="13"/>
                <w:color w:val="auto"/>
              </w:rPr>
            </w:pPr>
          </w:p>
        </w:tc>
      </w:tr>
      <w:tr>
        <w:trPr>
          <w:trHeight w:val="175"/>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(96,455)</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Funding of notes receivable</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(1,539)</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(1,687)</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notes receivable</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Investments in unconsolidated subsidiaries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from investments in unconsolidated subsidiaries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Software capitalization</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(138)</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(1,295)</w:t>
            </w:r>
          </w:p>
        </w:tc>
      </w:tr>
      <w:tr>
        <w:trPr>
          <w:trHeight w:val="155"/>
        </w:trPr>
        <w:tc>
          <w:tcPr>
            <w:tcW w:w="5340" w:type="dxa"/>
            <w:vAlign w:val="bottom"/>
            <w:tcBorders>
              <w:top w:val="single" w:sz="8" w:color="D4EEF4"/>
            </w:tcBorders>
            <w:shd w:val="clear" w:color="auto" w:fill="D4EEF4"/>
          </w:tcPr>
          <w:p>
            <w:pPr>
              <w:ind w:left="80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4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(5,804)</w:t>
            </w:r>
          </w:p>
        </w:tc>
        <w:tc>
          <w:tcPr>
            <w:tcW w:w="120" w:type="dxa"/>
            <w:vAlign w:val="bottom"/>
            <w:tcBorders>
              <w:top w:val="single" w:sz="8" w:color="D4EEF4"/>
            </w:tcBorders>
            <w:shd w:val="clear" w:color="auto" w:fill="D4EEF4"/>
          </w:tcPr>
          <w:p>
            <w:pPr>
              <w:spacing w:after="0"/>
              <w:rPr>
                <w:sz w:val="13"/>
                <w:szCs w:val="13"/>
                <w:color w:val="auto"/>
              </w:rPr>
            </w:pPr>
          </w:p>
        </w:tc>
        <w:tc>
          <w:tcPr>
            <w:tcW w:w="8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w:t>
            </w:r>
          </w:p>
        </w:tc>
        <w:tc>
          <w:tcPr>
            <w:tcW w:w="120" w:type="dxa"/>
            <w:vAlign w:val="bottom"/>
            <w:tcBorders>
              <w:top w:val="single" w:sz="8" w:color="D4EEF4"/>
            </w:tcBorders>
            <w:shd w:val="clear" w:color="auto" w:fill="D4EEF4"/>
          </w:tcPr>
          <w:p>
            <w:pPr>
              <w:spacing w:after="0"/>
              <w:rPr>
                <w:sz w:val="13"/>
                <w:szCs w:val="13"/>
                <w:color w:val="auto"/>
              </w:rPr>
            </w:pPr>
          </w:p>
        </w:tc>
        <w:tc>
          <w:tcPr>
            <w:tcW w:w="80" w:type="dxa"/>
            <w:vAlign w:val="bottom"/>
            <w:tcBorders>
              <w:top w:val="single" w:sz="8" w:color="D4EEF4"/>
            </w:tcBorders>
            <w:shd w:val="clear" w:color="auto" w:fill="D4EEF4"/>
          </w:tcPr>
          <w:p>
            <w:pPr>
              <w:spacing w:after="0"/>
              <w:rPr>
                <w:sz w:val="13"/>
                <w:szCs w:val="13"/>
                <w:color w:val="auto"/>
              </w:rPr>
            </w:pPr>
          </w:p>
        </w:tc>
        <w:tc>
          <w:tcPr>
            <w:tcW w:w="260" w:type="dxa"/>
            <w:vAlign w:val="bottom"/>
            <w:tcBorders>
              <w:top w:val="single" w:sz="8" w:color="auto"/>
            </w:tcBorders>
            <w:shd w:val="clear" w:color="auto" w:fill="D4EEF4"/>
          </w:tcPr>
          <w:p>
            <w:pPr>
              <w:spacing w:after="0"/>
              <w:rPr>
                <w:sz w:val="13"/>
                <w:szCs w:val="13"/>
                <w:color w:val="auto"/>
              </w:rPr>
            </w:pPr>
          </w:p>
        </w:tc>
        <w:tc>
          <w:tcPr>
            <w:tcW w:w="940" w:type="dxa"/>
            <w:vAlign w:val="bottom"/>
            <w:tcBorders>
              <w:top w:val="single" w:sz="8" w:color="auto"/>
            </w:tcBorders>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(98,590)</w:t>
            </w:r>
          </w:p>
        </w:tc>
        <w:tc>
          <w:tcPr>
            <w:tcW w:w="100" w:type="dxa"/>
            <w:vAlign w:val="bottom"/>
            <w:tcBorders>
              <w:top w:val="single" w:sz="8" w:color="D4EEF4"/>
            </w:tcBorders>
            <w:shd w:val="clear" w:color="auto" w:fill="D4EEF4"/>
          </w:tcPr>
          <w:p>
            <w:pPr>
              <w:spacing w:after="0"/>
              <w:rPr>
                <w:sz w:val="13"/>
                <w:szCs w:val="13"/>
                <w:color w:val="auto"/>
              </w:rPr>
            </w:pPr>
          </w:p>
        </w:tc>
      </w:tr>
      <w:tr>
        <w:trPr>
          <w:trHeight w:val="175"/>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Borrowings on debt obligations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386,804</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62,200</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120,662</w:t>
            </w:r>
          </w:p>
        </w:tc>
        <w:tc>
          <w:tcPr>
            <w:tcW w:w="100" w:type="dxa"/>
            <w:vAlign w:val="bottom"/>
            <w:shd w:val="clear" w:color="auto" w:fill="D4EEF4"/>
          </w:tcPr>
          <w:p>
            <w:pPr>
              <w:spacing w:after="0"/>
              <w:rPr>
                <w:sz w:val="15"/>
                <w:szCs w:val="15"/>
                <w:color w:val="auto"/>
              </w:rPr>
            </w:pP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on debt obligations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(356,575)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(43,162)</w:t>
            </w: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Cash exercise of stock options</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(59,066)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(9,653)</w:t>
            </w: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Repurchase of Class A common stock for employee tax withholding</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(8,748)</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(9,482)</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(454)</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Class B common stock</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(12,248)</w:t>
            </w: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(4,288)</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(7,994)</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(7,344)</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settlement of stock options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(12,466)</w:t>
            </w:r>
          </w:p>
        </w:tc>
      </w:tr>
      <w:tr>
        <w:trPr>
          <w:trHeight w:val="17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64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(15,489)</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(14,832)</w:t>
            </w:r>
          </w:p>
        </w:tc>
        <w:tc>
          <w:tcPr>
            <w:tcW w:w="8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(10,522)</w:t>
            </w:r>
          </w:p>
        </w:tc>
      </w:tr>
      <w:tr>
        <w:trPr>
          <w:trHeight w:val="175"/>
        </w:trPr>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3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640" w:type="dxa"/>
            <w:vAlign w:val="bottom"/>
            <w:shd w:val="clear" w:color="auto" w:fill="D4EEF4"/>
          </w:tcPr>
          <w:p>
            <w:pPr>
              <w:spacing w:after="0"/>
              <w:rPr>
                <w:sz w:val="16"/>
                <w:szCs w:val="16"/>
                <w:color w:val="auto"/>
              </w:rPr>
            </w:pPr>
          </w:p>
        </w:tc>
        <w:tc>
          <w:tcPr>
            <w:tcW w:w="260" w:type="dxa"/>
            <w:vAlign w:val="bottom"/>
            <w:shd w:val="clear" w:color="auto" w:fill="D4EEF4"/>
          </w:tcPr>
          <w:p>
            <w:pPr>
              <w:spacing w:after="0"/>
              <w:rPr>
                <w:sz w:val="16"/>
                <w:szCs w:val="16"/>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shd w:val="clear" w:color="auto" w:fill="D4EEF4"/>
          </w:tcPr>
          <w:p>
            <w:pPr>
              <w:spacing w:after="0"/>
              <w:rPr>
                <w:sz w:val="16"/>
                <w:szCs w:val="16"/>
                <w:color w:val="auto"/>
              </w:rPr>
            </w:pPr>
          </w:p>
        </w:tc>
        <w:tc>
          <w:tcPr>
            <w:tcW w:w="260" w:type="dxa"/>
            <w:vAlign w:val="bottom"/>
            <w:shd w:val="clear" w:color="auto" w:fill="D4EEF4"/>
          </w:tcPr>
          <w:p>
            <w:pPr>
              <w:spacing w:after="0"/>
              <w:rPr>
                <w:sz w:val="16"/>
                <w:szCs w:val="16"/>
                <w:color w:val="auto"/>
              </w:rPr>
            </w:pPr>
          </w:p>
        </w:tc>
        <w:tc>
          <w:tcPr>
            <w:tcW w:w="10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6"/>
                <w:szCs w:val="16"/>
                <w:color w:val="auto"/>
              </w:rPr>
            </w:pPr>
          </w:p>
        </w:tc>
        <w:tc>
          <w:tcPr>
            <w:tcW w:w="260" w:type="dxa"/>
            <w:vAlign w:val="bottom"/>
            <w:shd w:val="clear" w:color="auto" w:fill="D4EEF4"/>
          </w:tcPr>
          <w:p>
            <w:pPr>
              <w:spacing w:after="0"/>
              <w:rPr>
                <w:sz w:val="16"/>
                <w:szCs w:val="16"/>
                <w:color w:val="auto"/>
              </w:rPr>
            </w:pPr>
          </w:p>
        </w:tc>
        <w:tc>
          <w:tcPr>
            <w:tcW w:w="10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(1,888)</w:t>
            </w:r>
          </w:p>
        </w:tc>
      </w:tr>
      <w:tr>
        <w:trPr>
          <w:trHeight w:val="145"/>
        </w:trPr>
        <w:tc>
          <w:tcPr>
            <w:tcW w:w="5340" w:type="dxa"/>
            <w:vAlign w:val="bottom"/>
            <w:tcBorders>
              <w:top w:val="single" w:sz="8" w:color="D4EEF4"/>
              <w:bottom w:val="single" w:sz="8" w:color="D4EEF4"/>
            </w:tcBorders>
          </w:tcPr>
          <w:p>
            <w:pPr>
              <w:ind w:left="800"/>
              <w:spacing w:after="0" w:line="145" w:lineRule="exact"/>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640" w:type="dxa"/>
            <w:vAlign w:val="bottom"/>
            <w:tcBorders>
              <w:top w:val="single" w:sz="8" w:color="D4EEF4"/>
              <w:bottom w:val="single" w:sz="8" w:color="D4EEF4"/>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(59,108)</w:t>
            </w:r>
          </w:p>
        </w:tc>
        <w:tc>
          <w:tcPr>
            <w:tcW w:w="120" w:type="dxa"/>
            <w:vAlign w:val="bottom"/>
            <w:tcBorders>
              <w:top w:val="single" w:sz="8" w:color="D4EEF4"/>
              <w:bottom w:val="single" w:sz="8" w:color="D4EEF4"/>
            </w:tcBorders>
          </w:tcPr>
          <w:p>
            <w:pPr>
              <w:spacing w:after="0"/>
              <w:rPr>
                <w:sz w:val="12"/>
                <w:szCs w:val="12"/>
                <w:color w:val="auto"/>
              </w:rPr>
            </w:pPr>
          </w:p>
        </w:tc>
        <w:tc>
          <w:tcPr>
            <w:tcW w:w="80" w:type="dxa"/>
            <w:vAlign w:val="bottom"/>
            <w:tcBorders>
              <w:top w:val="single" w:sz="8" w:color="D4EEF4"/>
              <w:bottom w:val="single" w:sz="8" w:color="D4EEF4"/>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(42,870)</w:t>
            </w:r>
          </w:p>
        </w:tc>
        <w:tc>
          <w:tcPr>
            <w:tcW w:w="120" w:type="dxa"/>
            <w:vAlign w:val="bottom"/>
            <w:tcBorders>
              <w:top w:val="single" w:sz="8" w:color="D4EEF4"/>
              <w:bottom w:val="single" w:sz="8" w:color="D4EEF4"/>
            </w:tcBorders>
          </w:tcPr>
          <w:p>
            <w:pPr>
              <w:spacing w:after="0"/>
              <w:rPr>
                <w:sz w:val="12"/>
                <w:szCs w:val="12"/>
                <w:color w:val="auto"/>
              </w:rPr>
            </w:pPr>
          </w:p>
        </w:tc>
        <w:tc>
          <w:tcPr>
            <w:tcW w:w="80" w:type="dxa"/>
            <w:vAlign w:val="bottom"/>
            <w:tcBorders>
              <w:top w:val="single" w:sz="8" w:color="D4EEF4"/>
              <w:bottom w:val="single" w:sz="8" w:color="D4EEF4"/>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22,925</w:t>
            </w:r>
          </w:p>
        </w:tc>
        <w:tc>
          <w:tcPr>
            <w:tcW w:w="100" w:type="dxa"/>
            <w:vAlign w:val="bottom"/>
            <w:tcBorders>
              <w:top w:val="single" w:sz="8" w:color="D4EEF4"/>
              <w:bottom w:val="single" w:sz="8" w:color="D4EEF4"/>
            </w:tcBorders>
          </w:tcPr>
          <w:p>
            <w:pPr>
              <w:spacing w:after="0"/>
              <w:rPr>
                <w:sz w:val="12"/>
                <w:szCs w:val="12"/>
                <w:color w:val="auto"/>
              </w:rPr>
            </w:pPr>
          </w:p>
        </w:tc>
      </w:tr>
      <w:tr>
        <w:trPr>
          <w:trHeight w:val="155"/>
        </w:trPr>
        <w:tc>
          <w:tcPr>
            <w:tcW w:w="5340" w:type="dxa"/>
            <w:vAlign w:val="bottom"/>
            <w:shd w:val="clear" w:color="auto" w:fill="D4EEF4"/>
          </w:tcPr>
          <w:p>
            <w:pPr>
              <w:ind w:left="800"/>
              <w:spacing w:after="0" w:line="155"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64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36,058</w:t>
            </w: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2,565</w:t>
            </w:r>
          </w:p>
        </w:tc>
        <w:tc>
          <w:tcPr>
            <w:tcW w:w="12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jc w:val="right"/>
              <w:spacing w:after="0" w:line="155" w:lineRule="exact"/>
              <w:rPr>
                <w:sz w:val="20"/>
                <w:szCs w:val="20"/>
                <w:color w:val="auto"/>
              </w:rPr>
            </w:pPr>
            <w:r>
              <w:rPr>
                <w:rFonts w:ascii="Times New Roman" w:cs="Times New Roman" w:eastAsia="Times New Roman" w:hAnsi="Times New Roman"/>
                <w:sz w:val="14"/>
                <w:szCs w:val="14"/>
                <w:color w:val="auto"/>
              </w:rPr>
              <w:t>(13,990)</w:t>
            </w:r>
          </w:p>
        </w:tc>
        <w:tc>
          <w:tcPr>
            <w:tcW w:w="100" w:type="dxa"/>
            <w:vAlign w:val="bottom"/>
            <w:shd w:val="clear" w:color="auto" w:fill="D4EEF4"/>
          </w:tcPr>
          <w:p>
            <w:pPr>
              <w:spacing w:after="0"/>
              <w:rPr>
                <w:sz w:val="13"/>
                <w:szCs w:val="13"/>
                <w:color w:val="auto"/>
              </w:rPr>
            </w:pPr>
          </w:p>
        </w:tc>
      </w:tr>
      <w:tr>
        <w:trPr>
          <w:trHeight w:val="159"/>
        </w:trPr>
        <w:tc>
          <w:tcPr>
            <w:tcW w:w="53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7"/>
        </w:trPr>
        <w:tc>
          <w:tcPr>
            <w:tcW w:w="534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640" w:type="dxa"/>
            <w:vAlign w:val="bottom"/>
            <w:tcBorders>
              <w:bottom w:val="single" w:sz="8" w:color="D4EE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32,057</w:t>
            </w:r>
          </w:p>
        </w:tc>
        <w:tc>
          <w:tcPr>
            <w:tcW w:w="12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12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100" w:type="dxa"/>
            <w:vAlign w:val="bottom"/>
            <w:tcBorders>
              <w:bottom w:val="single" w:sz="8" w:color="D4EEF4"/>
            </w:tcBorders>
          </w:tcPr>
          <w:p>
            <w:pPr>
              <w:spacing w:after="0"/>
              <w:rPr>
                <w:sz w:val="15"/>
                <w:szCs w:val="15"/>
                <w:color w:val="auto"/>
              </w:rPr>
            </w:pPr>
          </w:p>
        </w:tc>
      </w:tr>
      <w:tr>
        <w:trPr>
          <w:trHeight w:val="139"/>
        </w:trPr>
        <w:tc>
          <w:tcPr>
            <w:tcW w:w="5340" w:type="dxa"/>
            <w:vAlign w:val="bottom"/>
            <w:shd w:val="clear" w:color="auto" w:fill="D4EEF4"/>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w:t>
            </w:r>
          </w:p>
        </w:tc>
        <w:tc>
          <w:tcPr>
            <w:tcW w:w="640" w:type="dxa"/>
            <w:vAlign w:val="bottom"/>
            <w:shd w:val="clear" w:color="auto" w:fill="D4EEF4"/>
          </w:tcPr>
          <w:p>
            <w:pPr>
              <w:spacing w:after="0"/>
              <w:rPr>
                <w:sz w:val="12"/>
                <w:szCs w:val="12"/>
                <w:color w:val="auto"/>
              </w:rPr>
            </w:pPr>
          </w:p>
        </w:tc>
        <w:tc>
          <w:tcPr>
            <w:tcW w:w="260" w:type="dxa"/>
            <w:vAlign w:val="bottom"/>
            <w:shd w:val="clear" w:color="auto" w:fill="D4EEF4"/>
          </w:tcPr>
          <w:p>
            <w:pPr>
              <w:spacing w:after="0"/>
              <w:rPr>
                <w:sz w:val="12"/>
                <w:szCs w:val="12"/>
                <w:color w:val="auto"/>
              </w:rPr>
            </w:pPr>
          </w:p>
        </w:tc>
        <w:tc>
          <w:tcPr>
            <w:tcW w:w="940" w:type="dxa"/>
            <w:vAlign w:val="bottom"/>
            <w:shd w:val="clear" w:color="auto" w:fill="D4EEF4"/>
          </w:tcPr>
          <w:p>
            <w:pPr>
              <w:spacing w:after="0"/>
              <w:rPr>
                <w:sz w:val="12"/>
                <w:szCs w:val="12"/>
                <w:color w:val="auto"/>
              </w:rPr>
            </w:pPr>
          </w:p>
        </w:tc>
        <w:tc>
          <w:tcPr>
            <w:tcW w:w="120" w:type="dxa"/>
            <w:vAlign w:val="bottom"/>
            <w:shd w:val="clear" w:color="auto" w:fill="D4EEF4"/>
          </w:tcPr>
          <w:p>
            <w:pPr>
              <w:spacing w:after="0"/>
              <w:rPr>
                <w:sz w:val="12"/>
                <w:szCs w:val="12"/>
                <w:color w:val="auto"/>
              </w:rPr>
            </w:pPr>
          </w:p>
        </w:tc>
        <w:tc>
          <w:tcPr>
            <w:tcW w:w="80" w:type="dxa"/>
            <w:vAlign w:val="bottom"/>
            <w:shd w:val="clear" w:color="auto" w:fill="D4EEF4"/>
          </w:tcPr>
          <w:p>
            <w:pPr>
              <w:spacing w:after="0"/>
              <w:rPr>
                <w:sz w:val="12"/>
                <w:szCs w:val="12"/>
                <w:color w:val="auto"/>
              </w:rPr>
            </w:pPr>
          </w:p>
        </w:tc>
        <w:tc>
          <w:tcPr>
            <w:tcW w:w="260" w:type="dxa"/>
            <w:vAlign w:val="bottom"/>
            <w:shd w:val="clear" w:color="auto" w:fill="D4EEF4"/>
          </w:tcPr>
          <w:p>
            <w:pPr>
              <w:spacing w:after="0"/>
              <w:rPr>
                <w:sz w:val="12"/>
                <w:szCs w:val="12"/>
                <w:color w:val="auto"/>
              </w:rPr>
            </w:pPr>
          </w:p>
        </w:tc>
        <w:tc>
          <w:tcPr>
            <w:tcW w:w="940" w:type="dxa"/>
            <w:vAlign w:val="bottom"/>
            <w:shd w:val="clear" w:color="auto" w:fill="D4EEF4"/>
          </w:tcPr>
          <w:p>
            <w:pPr>
              <w:spacing w:after="0"/>
              <w:rPr>
                <w:sz w:val="12"/>
                <w:szCs w:val="12"/>
                <w:color w:val="auto"/>
              </w:rPr>
            </w:pPr>
          </w:p>
        </w:tc>
        <w:tc>
          <w:tcPr>
            <w:tcW w:w="120" w:type="dxa"/>
            <w:vAlign w:val="bottom"/>
            <w:shd w:val="clear" w:color="auto" w:fill="D4EEF4"/>
          </w:tcPr>
          <w:p>
            <w:pPr>
              <w:spacing w:after="0"/>
              <w:rPr>
                <w:sz w:val="12"/>
                <w:szCs w:val="12"/>
                <w:color w:val="auto"/>
              </w:rPr>
            </w:pPr>
          </w:p>
        </w:tc>
        <w:tc>
          <w:tcPr>
            <w:tcW w:w="80" w:type="dxa"/>
            <w:vAlign w:val="bottom"/>
            <w:shd w:val="clear" w:color="auto" w:fill="D4EEF4"/>
          </w:tcPr>
          <w:p>
            <w:pPr>
              <w:spacing w:after="0"/>
              <w:rPr>
                <w:sz w:val="12"/>
                <w:szCs w:val="12"/>
                <w:color w:val="auto"/>
              </w:rPr>
            </w:pPr>
          </w:p>
        </w:tc>
        <w:tc>
          <w:tcPr>
            <w:tcW w:w="260" w:type="dxa"/>
            <w:vAlign w:val="bottom"/>
            <w:shd w:val="clear" w:color="auto" w:fill="D4EEF4"/>
          </w:tcPr>
          <w:p>
            <w:pPr>
              <w:spacing w:after="0"/>
              <w:rPr>
                <w:sz w:val="12"/>
                <w:szCs w:val="12"/>
                <w:color w:val="auto"/>
              </w:rPr>
            </w:pPr>
          </w:p>
        </w:tc>
        <w:tc>
          <w:tcPr>
            <w:tcW w:w="94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r>
      <w:tr>
        <w:trPr>
          <w:trHeight w:val="177"/>
        </w:trPr>
        <w:tc>
          <w:tcPr>
            <w:tcW w:w="534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68,115</w:t>
            </w:r>
          </w:p>
        </w:tc>
        <w:tc>
          <w:tcPr>
            <w:tcW w:w="120" w:type="dxa"/>
            <w:vAlign w:val="bottom"/>
            <w:shd w:val="clear" w:color="auto" w:fill="D4EEF4"/>
          </w:tcPr>
          <w:p>
            <w:pPr>
              <w:spacing w:after="0"/>
              <w:rPr>
                <w:sz w:val="15"/>
                <w:szCs w:val="15"/>
                <w:color w:val="auto"/>
              </w:rPr>
            </w:pPr>
          </w:p>
        </w:tc>
        <w:tc>
          <w:tcPr>
            <w:tcW w:w="340" w:type="dxa"/>
            <w:vAlign w:val="bottom"/>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32,057</w:t>
            </w:r>
          </w:p>
        </w:tc>
        <w:tc>
          <w:tcPr>
            <w:tcW w:w="120" w:type="dxa"/>
            <w:vAlign w:val="bottom"/>
            <w:shd w:val="clear" w:color="auto" w:fill="D4EEF4"/>
          </w:tcPr>
          <w:p>
            <w:pPr>
              <w:spacing w:after="0"/>
              <w:rPr>
                <w:sz w:val="15"/>
                <w:szCs w:val="15"/>
                <w:color w:val="auto"/>
              </w:rPr>
            </w:pPr>
          </w:p>
        </w:tc>
        <w:tc>
          <w:tcPr>
            <w:tcW w:w="340" w:type="dxa"/>
            <w:vAlign w:val="bottom"/>
            <w:gridSpan w:val="2"/>
            <w:shd w:val="clear" w:color="auto" w:fill="D4EEF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100" w:type="dxa"/>
            <w:vAlign w:val="bottom"/>
            <w:shd w:val="clear" w:color="auto" w:fill="D4EEF4"/>
          </w:tcPr>
          <w:p>
            <w:pPr>
              <w:spacing w:after="0"/>
              <w:rPr>
                <w:sz w:val="15"/>
                <w:szCs w:val="15"/>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78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6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2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Borders>
              <w:bottom w:val="single" w:sz="8" w:color="D4EEF4"/>
            </w:tcBorders>
          </w:tcPr>
          <w:p>
            <w:pPr>
              <w:spacing w:after="0"/>
              <w:rPr>
                <w:sz w:val="16"/>
                <w:szCs w:val="16"/>
                <w:color w:val="auto"/>
              </w:rPr>
            </w:pPr>
          </w:p>
        </w:tc>
        <w:tc>
          <w:tcPr>
            <w:tcW w:w="20" w:type="dxa"/>
            <w:vAlign w:val="bottom"/>
            <w:tcBorders>
              <w:bottom w:val="single" w:sz="8" w:color="D4EEF4"/>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D4EEF4"/>
            </w:tcBorders>
          </w:tcPr>
          <w:p>
            <w:pPr>
              <w:spacing w:after="0"/>
              <w:rPr>
                <w:sz w:val="16"/>
                <w:szCs w:val="16"/>
                <w:color w:val="auto"/>
              </w:rPr>
            </w:pPr>
          </w:p>
        </w:tc>
        <w:tc>
          <w:tcPr>
            <w:tcW w:w="10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4EEF4"/>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980" w:type="dxa"/>
            <w:vAlign w:val="bottom"/>
            <w:shd w:val="clear" w:color="auto" w:fill="D4EEF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 w:type="dxa"/>
            <w:vAlign w:val="bottom"/>
            <w:shd w:val="clear" w:color="auto" w:fill="D4EEF4"/>
          </w:tcPr>
          <w:p>
            <w:pPr>
              <w:spacing w:after="0"/>
              <w:rPr>
                <w:sz w:val="13"/>
                <w:szCs w:val="13"/>
                <w:color w:val="auto"/>
              </w:rPr>
            </w:pPr>
          </w:p>
        </w:tc>
        <w:tc>
          <w:tcPr>
            <w:tcW w:w="740" w:type="dxa"/>
            <w:vAlign w:val="bottom"/>
            <w:shd w:val="clear" w:color="auto" w:fill="D4EEF4"/>
          </w:tcPr>
          <w:p>
            <w:pPr>
              <w:spacing w:after="0"/>
              <w:rPr>
                <w:sz w:val="13"/>
                <w:szCs w:val="13"/>
                <w:color w:val="auto"/>
              </w:rPr>
            </w:pPr>
          </w:p>
        </w:tc>
        <w:tc>
          <w:tcPr>
            <w:tcW w:w="440" w:type="dxa"/>
            <w:vAlign w:val="bottom"/>
            <w:shd w:val="clear" w:color="auto" w:fill="D4EEF4"/>
          </w:tcPr>
          <w:p>
            <w:pPr>
              <w:spacing w:after="0"/>
              <w:rPr>
                <w:sz w:val="13"/>
                <w:szCs w:val="13"/>
                <w:color w:val="auto"/>
              </w:rPr>
            </w:pPr>
          </w:p>
        </w:tc>
        <w:tc>
          <w:tcPr>
            <w:tcW w:w="20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7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20,100</w:t>
            </w:r>
          </w:p>
        </w:tc>
        <w:tc>
          <w:tcPr>
            <w:tcW w:w="100" w:type="dxa"/>
            <w:vAlign w:val="bottom"/>
          </w:tcPr>
          <w:p>
            <w:pPr>
              <w:spacing w:after="0"/>
              <w:rPr>
                <w:sz w:val="18"/>
                <w:szCs w:val="18"/>
                <w:color w:val="auto"/>
              </w:rPr>
            </w:pP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980" w:type="dxa"/>
            <w:vAlign w:val="bottom"/>
            <w:tcBorders>
              <w:top w:val="single" w:sz="8" w:color="D4EEF4"/>
            </w:tcBorders>
            <w:shd w:val="clear" w:color="auto" w:fill="D4EEF4"/>
          </w:tcPr>
          <w:p>
            <w:pPr>
              <w:ind w:left="200"/>
              <w:spacing w:after="0" w:line="146" w:lineRule="exact"/>
              <w:rPr>
                <w:sz w:val="20"/>
                <w:szCs w:val="20"/>
                <w:color w:val="auto"/>
              </w:rPr>
            </w:pPr>
            <w:r>
              <w:rPr>
                <w:rFonts w:ascii="Times New Roman" w:cs="Times New Roman" w:eastAsia="Times New Roman" w:hAnsi="Times New Roman"/>
                <w:sz w:val="14"/>
                <w:szCs w:val="14"/>
                <w:color w:val="auto"/>
              </w:rPr>
              <w:t>Net cash paid for income taxes</w:t>
            </w:r>
          </w:p>
        </w:tc>
        <w:tc>
          <w:tcPr>
            <w:tcW w:w="20" w:type="dxa"/>
            <w:vAlign w:val="bottom"/>
            <w:tcBorders>
              <w:top w:val="single" w:sz="8" w:color="D4EEF4"/>
            </w:tcBorders>
            <w:shd w:val="clear" w:color="auto" w:fill="D4EEF4"/>
          </w:tcPr>
          <w:p>
            <w:pPr>
              <w:spacing w:after="0"/>
              <w:rPr>
                <w:sz w:val="12"/>
                <w:szCs w:val="12"/>
                <w:color w:val="auto"/>
              </w:rPr>
            </w:pPr>
          </w:p>
        </w:tc>
        <w:tc>
          <w:tcPr>
            <w:tcW w:w="740" w:type="dxa"/>
            <w:vAlign w:val="bottom"/>
            <w:tcBorders>
              <w:top w:val="single" w:sz="8" w:color="auto"/>
              <w:bottom w:val="single" w:sz="8" w:color="auto"/>
            </w:tcBorders>
            <w:shd w:val="clear" w:color="auto" w:fill="D4EEF4"/>
          </w:tcPr>
          <w:p>
            <w:pPr>
              <w:jc w:val="right"/>
              <w:ind w:right="6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2,538</w:t>
            </w:r>
          </w:p>
        </w:tc>
        <w:tc>
          <w:tcPr>
            <w:tcW w:w="200" w:type="dxa"/>
            <w:vAlign w:val="bottom"/>
            <w:tcBorders>
              <w:top w:val="single" w:sz="8" w:color="D4EEF4"/>
            </w:tcBorders>
            <w:shd w:val="clear" w:color="auto" w:fill="D4EEF4"/>
          </w:tcPr>
          <w:p>
            <w:pPr>
              <w:spacing w:after="0"/>
              <w:rPr>
                <w:sz w:val="12"/>
                <w:szCs w:val="12"/>
                <w:color w:val="auto"/>
              </w:rPr>
            </w:pPr>
          </w:p>
        </w:tc>
        <w:tc>
          <w:tcPr>
            <w:tcW w:w="260" w:type="dxa"/>
            <w:vAlign w:val="bottom"/>
            <w:tcBorders>
              <w:top w:val="single" w:sz="8" w:color="auto"/>
              <w:bottom w:val="single" w:sz="8" w:color="auto"/>
            </w:tcBorders>
            <w:shd w:val="clear" w:color="auto" w:fill="D4EEF4"/>
          </w:tcPr>
          <w:p>
            <w:pPr>
              <w:jc w:val="right"/>
              <w:ind w:right="11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1,539</w:t>
            </w:r>
          </w:p>
        </w:tc>
        <w:tc>
          <w:tcPr>
            <w:tcW w:w="100" w:type="dxa"/>
            <w:vAlign w:val="bottom"/>
            <w:tcBorders>
              <w:top w:val="single" w:sz="8" w:color="D4EEF4"/>
            </w:tcBorders>
            <w:shd w:val="clear" w:color="auto" w:fill="D4EEF4"/>
          </w:tcPr>
          <w:p>
            <w:pPr>
              <w:spacing w:after="0"/>
              <w:rPr>
                <w:sz w:val="12"/>
                <w:szCs w:val="12"/>
                <w:color w:val="auto"/>
              </w:rPr>
            </w:pPr>
          </w:p>
        </w:tc>
        <w:tc>
          <w:tcPr>
            <w:tcW w:w="100" w:type="dxa"/>
            <w:vAlign w:val="bottom"/>
            <w:tcBorders>
              <w:top w:val="single" w:sz="8" w:color="D4EEF4"/>
            </w:tcBorders>
            <w:shd w:val="clear" w:color="auto" w:fill="D4EEF4"/>
          </w:tcPr>
          <w:p>
            <w:pPr>
              <w:spacing w:after="0"/>
              <w:rPr>
                <w:sz w:val="12"/>
                <w:szCs w:val="12"/>
                <w:color w:val="auto"/>
              </w:rPr>
            </w:pPr>
          </w:p>
        </w:tc>
        <w:tc>
          <w:tcPr>
            <w:tcW w:w="260" w:type="dxa"/>
            <w:vAlign w:val="bottom"/>
            <w:tcBorders>
              <w:top w:val="single" w:sz="8" w:color="auto"/>
              <w:bottom w:val="single" w:sz="8" w:color="auto"/>
            </w:tcBorders>
            <w:shd w:val="clear" w:color="auto" w:fill="D4EEF4"/>
          </w:tcPr>
          <w:p>
            <w:pPr>
              <w:jc w:val="right"/>
              <w:ind w:right="11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2,480</w:t>
            </w:r>
          </w:p>
        </w:tc>
        <w:tc>
          <w:tcPr>
            <w:tcW w:w="100" w:type="dxa"/>
            <w:vAlign w:val="bottom"/>
            <w:tcBorders>
              <w:top w:val="single" w:sz="8" w:color="D4EEF4"/>
            </w:tcBorders>
            <w:shd w:val="clear" w:color="auto" w:fill="D4EEF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Additions to right-of-use assets</w:t>
            </w:r>
          </w:p>
        </w:tc>
        <w:tc>
          <w:tcPr>
            <w:tcW w:w="760" w:type="dxa"/>
            <w:vAlign w:val="bottom"/>
            <w:gridSpan w:val="2"/>
            <w:shd w:val="clear" w:color="auto" w:fill="D4EEF4"/>
          </w:tcPr>
          <w:p>
            <w:pPr>
              <w:jc w:val="right"/>
              <w:ind w:right="6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460" w:type="dxa"/>
            <w:vAlign w:val="bottom"/>
            <w:gridSpan w:val="2"/>
            <w:shd w:val="clear" w:color="auto" w:fill="D4EEF4"/>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to lease liabilities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980" w:type="dxa"/>
            <w:vAlign w:val="bottom"/>
            <w:shd w:val="clear" w:color="auto" w:fill="D4EEF4"/>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w:t>
            </w:r>
          </w:p>
        </w:tc>
        <w:tc>
          <w:tcPr>
            <w:tcW w:w="20" w:type="dxa"/>
            <w:vAlign w:val="bottom"/>
            <w:shd w:val="clear" w:color="auto" w:fill="D4EEF4"/>
          </w:tcPr>
          <w:p>
            <w:pPr>
              <w:spacing w:after="0"/>
              <w:rPr>
                <w:sz w:val="13"/>
                <w:szCs w:val="13"/>
                <w:color w:val="auto"/>
              </w:rPr>
            </w:pPr>
          </w:p>
        </w:tc>
        <w:tc>
          <w:tcPr>
            <w:tcW w:w="740" w:type="dxa"/>
            <w:vAlign w:val="bottom"/>
            <w:shd w:val="clear" w:color="auto" w:fill="D4EEF4"/>
          </w:tcPr>
          <w:p>
            <w:pPr>
              <w:spacing w:after="0"/>
              <w:rPr>
                <w:sz w:val="13"/>
                <w:szCs w:val="13"/>
                <w:color w:val="auto"/>
              </w:rPr>
            </w:pPr>
          </w:p>
        </w:tc>
        <w:tc>
          <w:tcPr>
            <w:tcW w:w="440" w:type="dxa"/>
            <w:vAlign w:val="bottom"/>
            <w:shd w:val="clear" w:color="auto" w:fill="D4EEF4"/>
          </w:tcPr>
          <w:p>
            <w:pPr>
              <w:spacing w:after="0"/>
              <w:rPr>
                <w:sz w:val="13"/>
                <w:szCs w:val="13"/>
                <w:color w:val="auto"/>
              </w:rPr>
            </w:pPr>
          </w:p>
        </w:tc>
        <w:tc>
          <w:tcPr>
            <w:tcW w:w="20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9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98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0" w:type="dxa"/>
            <w:vAlign w:val="bottom"/>
            <w:shd w:val="clear" w:color="auto" w:fill="D4EEF4"/>
          </w:tcPr>
          <w:p>
            <w:pPr>
              <w:spacing w:after="0"/>
              <w:rPr>
                <w:sz w:val="15"/>
                <w:szCs w:val="15"/>
                <w:color w:val="auto"/>
              </w:rPr>
            </w:pPr>
          </w:p>
        </w:tc>
        <w:tc>
          <w:tcPr>
            <w:tcW w:w="740" w:type="dxa"/>
            <w:vAlign w:val="bottom"/>
            <w:shd w:val="clear" w:color="auto" w:fill="D4EEF4"/>
          </w:tcPr>
          <w:p>
            <w:pPr>
              <w:spacing w:after="0"/>
              <w:rPr>
                <w:sz w:val="15"/>
                <w:szCs w:val="15"/>
                <w:color w:val="auto"/>
              </w:rPr>
            </w:pPr>
          </w:p>
        </w:tc>
        <w:tc>
          <w:tcPr>
            <w:tcW w:w="440" w:type="dxa"/>
            <w:vAlign w:val="bottom"/>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D4EEF4"/>
          </w:tcPr>
          <w:p>
            <w:pPr>
              <w:spacing w:after="0"/>
              <w:rPr>
                <w:sz w:val="15"/>
                <w:szCs w:val="15"/>
                <w:color w:val="auto"/>
              </w:rPr>
            </w:pPr>
          </w:p>
        </w:tc>
        <w:tc>
          <w:tcPr>
            <w:tcW w:w="94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67,455</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D4EEF4"/>
          </w:tcPr>
          <w:p>
            <w:pPr>
              <w:spacing w:after="0"/>
              <w:rPr>
                <w:sz w:val="15"/>
                <w:szCs w:val="15"/>
                <w:color w:val="auto"/>
              </w:rPr>
            </w:pPr>
          </w:p>
        </w:tc>
        <w:tc>
          <w:tcPr>
            <w:tcW w:w="740" w:type="dxa"/>
            <w:vAlign w:val="bottom"/>
            <w:tcBorders>
              <w:bottom w:val="single" w:sz="8" w:color="auto"/>
            </w:tcBorders>
            <w:shd w:val="clear" w:color="auto" w:fill="D4EEF4"/>
          </w:tcPr>
          <w:p>
            <w:pPr>
              <w:spacing w:after="0"/>
              <w:rPr>
                <w:sz w:val="15"/>
                <w:szCs w:val="15"/>
                <w:color w:val="auto"/>
              </w:rPr>
            </w:pPr>
          </w:p>
        </w:tc>
        <w:tc>
          <w:tcPr>
            <w:tcW w:w="4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0" w:type="dxa"/>
            <w:vAlign w:val="bottom"/>
            <w:shd w:val="clear" w:color="auto" w:fill="D4EEF4"/>
          </w:tcPr>
          <w:p>
            <w:pPr>
              <w:spacing w:after="0"/>
              <w:rPr>
                <w:sz w:val="15"/>
                <w:szCs w:val="15"/>
                <w:color w:val="auto"/>
              </w:rPr>
            </w:pPr>
          </w:p>
        </w:tc>
        <w:tc>
          <w:tcPr>
            <w:tcW w:w="260" w:type="dxa"/>
            <w:vAlign w:val="bottom"/>
            <w:tcBorders>
              <w:bottom w:val="single" w:sz="8" w:color="auto"/>
            </w:tcBorders>
            <w:shd w:val="clear" w:color="auto" w:fill="D4EEF4"/>
          </w:tcPr>
          <w:p>
            <w:pPr>
              <w:spacing w:after="0"/>
              <w:rPr>
                <w:sz w:val="15"/>
                <w:szCs w:val="15"/>
                <w:color w:val="auto"/>
              </w:rPr>
            </w:pPr>
          </w:p>
        </w:tc>
        <w:tc>
          <w:tcPr>
            <w:tcW w:w="9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D4EEF4"/>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shd w:val="clear" w:color="auto" w:fill="D4EEF4"/>
          </w:tcPr>
          <w:p>
            <w:pPr>
              <w:spacing w:after="0"/>
              <w:rPr>
                <w:sz w:val="15"/>
                <w:szCs w:val="15"/>
                <w:color w:val="auto"/>
              </w:rPr>
            </w:pPr>
          </w:p>
        </w:tc>
        <w:tc>
          <w:tcPr>
            <w:tcW w:w="9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80" w:type="dxa"/>
            <w:vAlign w:val="bottom"/>
          </w:tcPr>
          <w:p>
            <w:pPr>
              <w:ind w:left="40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68,115</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32,057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79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97"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97"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206" w:lineRule="exact"/>
        <w:rPr>
          <w:sz w:val="20"/>
          <w:szCs w:val="20"/>
          <w:color w:val="auto"/>
        </w:rPr>
      </w:pPr>
    </w:p>
    <w:p>
      <w:pPr>
        <w:ind w:right="480" w:firstLine="490"/>
        <w:spacing w:after="0" w:line="305" w:lineRule="auto"/>
        <w:rPr>
          <w:sz w:val="20"/>
          <w:szCs w:val="20"/>
          <w:color w:val="auto"/>
        </w:rPr>
      </w:pPr>
      <w:r>
        <w:rPr>
          <w:rFonts w:ascii="Times New Roman" w:cs="Times New Roman" w:eastAsia="Times New Roman" w:hAnsi="Times New Roman"/>
          <w:sz w:val="19"/>
          <w:szCs w:val="19"/>
          <w:color w:val="auto"/>
        </w:rPr>
        <w:t>On December 1, 2017, the Company changed its name from P10 Industries, Inc. to P10 Holdings, Inc. We were founded as a Texas corporation in 1992 and reincorporated in Delaware in 2000. Our headquarters are in Dallas, Texas.</w:t>
      </w:r>
    </w:p>
    <w:p>
      <w:pPr>
        <w:spacing w:after="0" w:line="145"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9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97"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ectPr>
          <w:pgSz w:w="12240" w:h="15840" w:orient="portrait"/>
          <w:cols w:equalWidth="0" w:num="1">
            <w:col w:w="10040"/>
          </w:cols>
          <w:pgMar w:left="1080" w:top="69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40"/>
          </w:cols>
          <w:pgMar w:left="1080" w:top="696" w:right="1120" w:bottom="17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20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In June 2022, the Company formed P10 Advisors, a wholly-owned consolidated subsidiary, to manage investment opportunities that are sourced across the P10 platform but do not fit within an existing investment mandate.</w:t>
      </w:r>
    </w:p>
    <w:p>
      <w:pPr>
        <w:spacing w:after="0" w:line="16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December 31, 2024, no units have been exchanged into shares of P10 Class A common stock.</w:t>
      </w:r>
    </w:p>
    <w:p>
      <w:pPr>
        <w:spacing w:after="0" w:line="19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results of WTI’s operations have been included in the consolidated financial statements effective October 13, 2022. 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Board approved a program to repurchase shares of our Class A and Class B common stock. As of December 31, 2024, the Board has approved $92.0 million, of which $52.0 million was approved during the year ending December 31, 2024,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December 31, 2024, $88.5 million has been spent to buy back shares and there is $3.5 million remaining for authorized repurchases under this program.</w:t>
      </w:r>
    </w:p>
    <w:p>
      <w:pPr>
        <w:spacing w:after="0" w:line="200"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19"/>
          <w:szCs w:val="19"/>
          <w:color w:val="auto"/>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for a one-year transition period to continue serving the Company in a transitional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Mr. Sarsfield, to Chairman of the Board. In connection with Mr. Alpert's resignation as Executive Chairman, the Company and Mr. Alpert agreed to the early termination of Mr. Alpert's Transition Agreement. Mr. Webb's Transition Agreement terminated in accordance with its terms on October 23, 2024. Effective November 7, 2024, each of Mr. Alpert and Mr. Webb resigned as members of the board of directors of</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080" w:top="696" w:right="1080" w:bottom="175" w:gutter="0" w:footer="0" w:header="0"/>
          <w:type w:val="continuous"/>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the Company. See Note 15 for further information. The associated expenses were recorded in compensation and benefits on the Consolidated Statements of Operations in the period incurred.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8"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w:t>
      </w:r>
    </w:p>
    <w:p>
      <w:pPr>
        <w:spacing w:after="0" w:line="1" w:lineRule="exact"/>
        <w:rPr>
          <w:sz w:val="20"/>
          <w:szCs w:val="20"/>
          <w:color w:val="auto"/>
        </w:rPr>
      </w:pPr>
    </w:p>
    <w:p>
      <w:pPr>
        <w:ind w:right="80"/>
        <w:spacing w:after="0" w:line="242" w:lineRule="auto"/>
        <w:tabs>
          <w:tab w:leader="none" w:pos="27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20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12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Certain reclassifications have been made within the Consolidated Financial Statements to conform prior periods with current period presentation.</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60"/>
          </w:cols>
          <w:pgMar w:left="1080" w:top="696" w:right="1100" w:bottom="175"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2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The Company considers all highly liquid instruments with original maturities of three months or less to be cash equivalents. As of December 31, 2024, and December 31, 2023, cash equivalents include money market funds of $41.3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Restricted cash as of December 31, 2024 and December 31, 2023 was primarily cash on deposit related to RCP's lease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Due from Related Parties</w:t>
      </w:r>
    </w:p>
    <w:p>
      <w:pPr>
        <w:spacing w:after="0" w:line="12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9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w:t>
      </w:r>
    </w:p>
    <w:p>
      <w:pPr>
        <w:spacing w:after="0" w:line="124"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Current Expected Credit Losses</w:t>
      </w:r>
    </w:p>
    <w:p>
      <w:pPr>
        <w:spacing w:after="0" w:line="12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77"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Company estimates that accounts receivable, due from related parties, and notes receivable are fully collectible based on actual historical losses, current conditions, and reasonable and supportable forecasts; accordingly, no allowances have been established as of December 31, 2024 and December 31, 2023. If accounts are subsequently determined to be uncollectible, they will be expensed in the period that determination is made.</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60"/>
          </w:cols>
          <w:pgMar w:left="1080" w:top="696" w:right="1100" w:bottom="175"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Prepaid Expenses and Other Assets</w:t>
      </w:r>
    </w:p>
    <w:p>
      <w:pPr>
        <w:spacing w:after="0" w:line="12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December 31, 2024 and December 31, 2023, respectively, there is $0 and $9.6 million within prepaid expenses and other assets on the Consolidated Balance Sheets associated with allocable state tax credit purchases.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Unconsolidated Subsidiaries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86"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90" w:lineRule="exact"/>
        <w:rPr>
          <w:sz w:val="20"/>
          <w:szCs w:val="20"/>
          <w:color w:val="auto"/>
        </w:rPr>
      </w:pPr>
    </w:p>
    <w:tbl>
      <w:tblPr>
        <w:tblLayout w:type="fixed"/>
        <w:tblInd w:w="2420" w:type="dxa"/>
        <w:tblCellMar>
          <w:top w:w="0" w:type="dxa"/>
          <w:left w:w="0" w:type="dxa"/>
          <w:bottom w:w="0" w:type="dxa"/>
          <w:right w:w="0" w:type="dxa"/>
        </w:tblCellMar>
      </w:tblPr>
      <w:tr>
        <w:trPr>
          <w:trHeight w:val="253"/>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Computers and purchased software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3 - 5 years</w:t>
            </w:r>
          </w:p>
        </w:tc>
      </w:tr>
      <w:tr>
        <w:trPr>
          <w:trHeight w:val="289"/>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7 - 10 years</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Assets</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2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19"/>
          <w:szCs w:val="19"/>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w:t>
      </w:r>
    </w:p>
    <w:p>
      <w:pPr>
        <w:sectPr>
          <w:pgSz w:w="12240" w:h="15840" w:orient="portrait"/>
          <w:cols w:equalWidth="0" w:num="1">
            <w:col w:w="10060"/>
          </w:cols>
          <w:pgMar w:left="1080" w:top="696" w:right="1100" w:bottom="175"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60"/>
          </w:cols>
          <w:pgMar w:left="1080" w:top="696" w:right="1100" w:bottom="175"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20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Share and Repurchase Arrangement</w:t>
      </w:r>
    </w:p>
    <w:p>
      <w:pPr>
        <w:spacing w:after="0" w:line="12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13 for further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124"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auto"/>
        </w:rPr>
        <w:t>Goodwill is initially measured as the excess of the cost of the acquired business over the sum of the amounts assigned to identifiable assets acquired, less the liabilities assumed. As of December 31, 2024, goodwill recorded on our Consolidated Balance Sheets relates to the acquisitions of RCP 2, RCP 3, Five Points, TrueBridge, Enhanced, Bonaccord, Hark, and WTI. As of December 31, 2024, the intangible assets are comprised of indefinite-lived intangible assets and finite-lived intangible assets related to the acquisitions of RCP 2, RCP 3, Five Points, TrueBridge, Enhanced, Bonaccord, Hark, and WTI.</w:t>
      </w:r>
    </w:p>
    <w:p>
      <w:pPr>
        <w:spacing w:after="0" w:line="19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200" w:lineRule="exact"/>
        <w:rPr>
          <w:sz w:val="20"/>
          <w:szCs w:val="20"/>
          <w:color w:val="auto"/>
        </w:rPr>
      </w:pPr>
    </w:p>
    <w:p>
      <w:pPr>
        <w:ind w:right="180" w:firstLine="490"/>
        <w:spacing w:after="0" w:line="263" w:lineRule="auto"/>
        <w:rPr>
          <w:sz w:val="20"/>
          <w:szCs w:val="20"/>
          <w:color w:val="auto"/>
        </w:rPr>
      </w:pPr>
      <w:r>
        <w:rPr>
          <w:rFonts w:ascii="Times New Roman" w:cs="Times New Roman" w:eastAsia="Times New Roman" w:hAnsi="Times New Roman"/>
          <w:sz w:val="19"/>
          <w:szCs w:val="19"/>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w:t>
      </w:r>
    </w:p>
    <w:p>
      <w:pPr>
        <w:sectPr>
          <w:pgSz w:w="12240" w:h="15840" w:orient="portrait"/>
          <w:cols w:equalWidth="0" w:num="1">
            <w:col w:w="10080"/>
          </w:cols>
          <w:pgMar w:left="1080" w:top="696" w:right="1080" w:bottom="175"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080" w:top="696" w:right="1080" w:bottom="175"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carrying value, then the Company will determine the fair value of the reporting unit or asset and record an impairment charge for the difference between fair value and carrying value (not to exceed the carrying amount of goodwill or indefinite lived intangible). At December 31, 2024 and December 31, 2023 and for the years then ended, the Company determined that there was no impairment to goodwill and indefinite lived intangibles.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2024 and December 31, 2023, the contingent consideration on the Consolidated Balance Sheets is related to the acquisition of Bonaccord on the Consolidated Balance Sheets.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Compensation and Benefits</w:t>
      </w:r>
    </w:p>
    <w:p>
      <w:pPr>
        <w:spacing w:after="0" w:line="124" w:lineRule="exact"/>
        <w:rPr>
          <w:sz w:val="20"/>
          <w:szCs w:val="20"/>
          <w:color w:val="auto"/>
        </w:rPr>
      </w:pPr>
    </w:p>
    <w:p>
      <w:pPr>
        <w:ind w:right="500" w:firstLine="490"/>
        <w:spacing w:after="0" w:line="258" w:lineRule="auto"/>
        <w:rPr>
          <w:sz w:val="20"/>
          <w:szCs w:val="20"/>
          <w:color w:val="auto"/>
        </w:rPr>
      </w:pPr>
      <w:r>
        <w:rPr>
          <w:rFonts w:ascii="Times New Roman" w:cs="Times New Roman" w:eastAsia="Times New Roman" w:hAnsi="Times New Roman"/>
          <w:sz w:val="20"/>
          <w:szCs w:val="20"/>
          <w:color w:val="auto"/>
        </w:rPr>
        <w:t>Accrued compensation and benefits consists of employee salaries, bonuses, management profit shares, benefits, severance, and acquisition-related earnouts (contingent on employment) that has not yet been paid. Refer to Note 13 for further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24" w:lineRule="exact"/>
        <w:rPr>
          <w:sz w:val="20"/>
          <w:szCs w:val="20"/>
          <w:color w:val="auto"/>
        </w:rPr>
      </w:pPr>
    </w:p>
    <w:p>
      <w:pPr>
        <w:jc w:val="both"/>
        <w:ind w:right="140" w:firstLine="490"/>
        <w:spacing w:after="0" w:line="278" w:lineRule="auto"/>
        <w:rPr>
          <w:sz w:val="20"/>
          <w:szCs w:val="20"/>
          <w:color w:val="auto"/>
        </w:rPr>
      </w:pPr>
      <w:r>
        <w:rPr>
          <w:rFonts w:ascii="Times New Roman" w:cs="Times New Roman" w:eastAsia="Times New Roman" w:hAnsi="Times New Roman"/>
          <w:sz w:val="19"/>
          <w:szCs w:val="19"/>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income/(loss) attributable to holders of non-controlling interest. NCI is allocated a share of income or loss in the respective consolidated subsidiaries in proportion to their relative ownership interest.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Stock</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The Company records common stock purchased for treasury at cost. At the date of subsequent reissuance, the treasury stock account is reduced by the cost of such stock using the average cost method.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9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and December 31, 2023, we used the following valuation techniques to measure fair value for assets and there were no changes to these methodologies during the periods presented:</w:t>
      </w:r>
    </w:p>
    <w:p>
      <w:pPr>
        <w:spacing w:after="0" w:line="49" w:lineRule="exact"/>
        <w:rPr>
          <w:sz w:val="20"/>
          <w:szCs w:val="20"/>
          <w:color w:val="auto"/>
        </w:rPr>
      </w:pPr>
    </w:p>
    <w:p>
      <w:pPr>
        <w:ind w:left="500" w:right="100"/>
        <w:spacing w:after="0" w:line="277" w:lineRule="auto"/>
        <w:rPr>
          <w:sz w:val="20"/>
          <w:szCs w:val="20"/>
          <w:color w:val="auto"/>
        </w:rPr>
      </w:pPr>
      <w:r>
        <w:rPr>
          <w:rFonts w:ascii="Times New Roman" w:cs="Times New Roman" w:eastAsia="Times New Roman" w:hAnsi="Times New Roman"/>
          <w:sz w:val="20"/>
          <w:szCs w:val="20"/>
          <w:color w:val="auto"/>
        </w:rPr>
        <w:t>Level 1—Assets were valued using the closing price reported in the active market in which the individual security was traded.</w:t>
      </w:r>
    </w:p>
    <w:p>
      <w:pPr>
        <w:spacing w:after="0" w:line="49" w:lineRule="exact"/>
        <w:rPr>
          <w:sz w:val="20"/>
          <w:szCs w:val="20"/>
          <w:color w:val="auto"/>
        </w:rPr>
      </w:pPr>
    </w:p>
    <w:p>
      <w:pPr>
        <w:ind w:left="500" w:right="380"/>
        <w:spacing w:after="0" w:line="277" w:lineRule="auto"/>
        <w:rPr>
          <w:sz w:val="20"/>
          <w:szCs w:val="20"/>
          <w:color w:val="auto"/>
        </w:rPr>
      </w:pPr>
      <w:r>
        <w:rPr>
          <w:rFonts w:ascii="Times New Roman" w:cs="Times New Roman" w:eastAsia="Times New Roman" w:hAnsi="Times New Roman"/>
          <w:sz w:val="20"/>
          <w:szCs w:val="20"/>
          <w:color w:val="auto"/>
        </w:rPr>
        <w:t>Level 2—Assets were valued using quoted prices in markets that are not active, broker dealer quotations, and other methods by which all significant inputs were observable at the measurement date.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696" w:right="1080" w:bottom="175"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left="500" w:right="480"/>
        <w:spacing w:after="0" w:line="277" w:lineRule="auto"/>
        <w:rPr>
          <w:sz w:val="20"/>
          <w:szCs w:val="20"/>
          <w:color w:val="auto"/>
        </w:rPr>
      </w:pPr>
      <w:r>
        <w:rPr>
          <w:rFonts w:ascii="Times New Roman" w:cs="Times New Roman" w:eastAsia="Times New Roman" w:hAnsi="Times New Roman"/>
          <w:sz w:val="20"/>
          <w:szCs w:val="20"/>
          <w:color w:val="auto"/>
        </w:rPr>
        <w:t>Level 3—Assets were valued using unobservable inputs in which little or no market data exists as reported by the respective institutions at the measurement date.</w:t>
      </w:r>
    </w:p>
    <w:p>
      <w:pPr>
        <w:spacing w:after="0" w:line="16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12 for further details. The Company has a contingent consideration liability related to the acquisition of Bonaccord that was measured at fair value using level three inputs and a discounted cash flow model. As of December 31, 2024, the contingent consideration is considered fully earned and was paid on January 24, 2025 so the value is carried at the full balance of unpaid contingent consideration and is no longer subject to fair value measurements. The Company also had a contingent consideration liability related to the acquisition of Hark, that was valued using level three inputs and a discounted cash flows model, which was paid in full on July 27, 2023. As a result of the settlement of the contingent consideration, no value is recorded as of December 31, 2024 and December 31, 2023. See Note 10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Advisory Fees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202"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8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60"/>
          </w:cols>
          <w:pgMar w:left="1080" w:top="696" w:right="1100" w:bottom="175"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estimating the discount rate that would be reflected in a separate financing transaction between the customer and the Company at contract inception, based upon the credit characteristics of the customer receiving financing in the contract.</w:t>
      </w:r>
    </w:p>
    <w:p>
      <w:pPr>
        <w:spacing w:after="0" w:line="16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9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Catch-up fees are earned from investors that make commitments to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During 2023, one fund managed by the Company experienced a change in management at one of the underlying portfolio company's it invested it. The fund’s investment thesis and documents required the original manager to continue managing the underlying portfolio company. The change in management caused the fund to be non-compliant with its investment mandate. The Company agreed to modify the terms of the management fee for the fund with the investors, which was not a provision in the original fund agreement and the Company has no history of making similar modifications. As a result, a $3 million reduction in the revenue transaction price was recorded for the year ended December 31, 2023 to reflect the consideration which the Company is entitled to after this concession was provided.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0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8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We file various federal and state and local tax returns based on federal and state local consolidation and stand-alone tax rules as applicable.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124"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Basic earnings (loss) per share (“EPS”) is calculated by dividing net income/(loss)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696" w:right="108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124"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According to ASC 280,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income/(loss).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Acquisitions</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In accordance with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202"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Company includes the results of operations of acquired businesses beginning on the respective acquisition dates. In accordance with ASC 805, the Company allocates the purchase price of an acquired business to its identifiable assets and</w:t>
      </w:r>
    </w:p>
    <w:p>
      <w:pPr>
        <w:sectPr>
          <w:pgSz w:w="12240" w:h="15840" w:orient="portrait"/>
          <w:cols w:equalWidth="0" w:num="1">
            <w:col w:w="10080"/>
          </w:cols>
          <w:pgMar w:left="1080" w:top="696" w:right="1080" w:bottom="175"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696" w:right="108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200"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4"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Dividends are reflected in the consolidated financial statements when declared.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Pronouncements Recently Adopted</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 xml:space="preserve">Effective January 1, 2023, the Company adopted ASU No. 2016-13, </w:t>
      </w:r>
      <w:r>
        <w:rPr>
          <w:rFonts w:ascii="Times New Roman" w:cs="Times New Roman" w:eastAsia="Times New Roman" w:hAnsi="Times New Roman"/>
          <w:sz w:val="20"/>
          <w:szCs w:val="20"/>
          <w:i w:val="1"/>
          <w:iCs w:val="1"/>
          <w:color w:val="auto"/>
        </w:rPr>
        <w:t>Measurement of Credit Losses on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Instruments </w:t>
      </w:r>
      <w:r>
        <w:rPr>
          <w:rFonts w:ascii="Times New Roman" w:cs="Times New Roman" w:eastAsia="Times New Roman" w:hAnsi="Times New Roman"/>
          <w:sz w:val="20"/>
          <w:szCs w:val="20"/>
          <w:color w:val="auto"/>
        </w:rPr>
        <w:t>(“ASU 2016-13”). ASU 2016-13 provides amendments to ASC 326,</w:t>
      </w:r>
      <w:r>
        <w:rPr>
          <w:rFonts w:ascii="Times New Roman" w:cs="Times New Roman" w:eastAsia="Times New Roman" w:hAnsi="Times New Roman"/>
          <w:sz w:val="20"/>
          <w:szCs w:val="20"/>
          <w:i w:val="1"/>
          <w:iCs w:val="1"/>
          <w:color w:val="auto"/>
        </w:rPr>
        <w:t xml:space="preserve"> Financial Instruments - Credit Losses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was applied using the modified retrospective adoption method on January 1, 2023, with early adoption permitted. The adoption of ASU 2016-13 did not have a material impact on the Company's Consolidated Financial Statements.</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Effective January 1, 2023, the Company adopted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adoption of ASU 2021-08 did not have a material impact on the Company's Consolidated Financial Statements.</w:t>
      </w:r>
    </w:p>
    <w:p>
      <w:pPr>
        <w:spacing w:after="0" w:line="19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 xml:space="preserve">Effective January 1, 2024, the Company adopted ASU 2022-03, </w:t>
      </w:r>
      <w:r>
        <w:rPr>
          <w:rFonts w:ascii="Times New Roman" w:cs="Times New Roman" w:eastAsia="Times New Roman" w:hAnsi="Times New Roman"/>
          <w:sz w:val="20"/>
          <w:szCs w:val="20"/>
          <w:i w:val="1"/>
          <w:iCs w:val="1"/>
          <w:color w:val="auto"/>
        </w:rPr>
        <w:t>Fair Value Measurement of Equity Securities 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 Contractual Sale Restrictions </w:t>
      </w:r>
      <w:r>
        <w:rPr>
          <w:rFonts w:ascii="Times New Roman" w:cs="Times New Roman" w:eastAsia="Times New Roman" w:hAnsi="Times New Roman"/>
          <w:sz w:val="20"/>
          <w:szCs w:val="20"/>
          <w:color w:val="auto"/>
        </w:rPr>
        <w:t>("ASU 2022-03"). The amendments in this update affect all entities that have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8"/>
          <w:szCs w:val="18"/>
          <w:color w:val="auto"/>
        </w:rPr>
        <w:t>d</w:t>
      </w:r>
      <w:r>
        <w:rPr>
          <w:rFonts w:ascii="Times New Roman" w:cs="Times New Roman" w:eastAsia="Times New Roman" w:hAnsi="Times New Roman"/>
          <w:sz w:val="20"/>
          <w:szCs w:val="20"/>
          <w:color w:val="auto"/>
        </w:rPr>
        <w:t>ments also clarify that an entity cannot, as a separate unit of account, recognize and measure a contractual sale restriction. The adoption of ASU 2022-03 did not have a material impact on the Company's Consolidated Financial Statements.</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 xml:space="preserve">On November 27, 2023, the FASB issued ASU 2023-07, </w:t>
      </w:r>
      <w:r>
        <w:rPr>
          <w:rFonts w:ascii="Times New Roman" w:cs="Times New Roman" w:eastAsia="Times New Roman" w:hAnsi="Times New Roman"/>
          <w:sz w:val="20"/>
          <w:szCs w:val="20"/>
          <w:i w:val="1"/>
          <w:iCs w:val="1"/>
          <w:color w:val="auto"/>
        </w:rPr>
        <w:t>Improvements to Reportable Segment Disclosure</w:t>
      </w:r>
      <w:r>
        <w:rPr>
          <w:rFonts w:ascii="Times New Roman" w:cs="Times New Roman" w:eastAsia="Times New Roman" w:hAnsi="Times New Roman"/>
          <w:sz w:val="20"/>
          <w:szCs w:val="20"/>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adopted ASU</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696" w:right="1080" w:bottom="175"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2023-07 for the year ended December 31, 2024 with the additional disclosures above included in our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Pronouncements Not Yet Adopted</w:t>
      </w:r>
    </w:p>
    <w:p>
      <w:pPr>
        <w:spacing w:after="0" w:line="11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 xml:space="preserve">On December 14,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 to expand the disclosure requirements for income taxes, specifically related to the rate reconciliation and income taxes paid. ASU 2023-09 is effective for annual periods beginning January 1, 2025. The Company is evaluating the effects of these amendments on its financial reporting.</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 xml:space="preserve">On November 4,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xml:space="preserve"> ("DISE") ("ASU 2024-03"), which requires additional disclosure of the nature of expenses included in the Consolidated Statements of Operations. The standard requires disclosures about specific type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presents revenues disaggregated by nature:</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center"/>
              <w:ind w:left="526"/>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46"/>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r>
      <w:tr>
        <w:trPr>
          <w:trHeight w:val="220"/>
        </w:trPr>
        <w:tc>
          <w:tcPr>
            <w:tcW w:w="5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Management fees</w:t>
            </w:r>
          </w:p>
        </w:tc>
        <w:tc>
          <w:tcPr>
            <w:tcW w:w="220" w:type="dxa"/>
            <w:vAlign w:val="bottom"/>
            <w:tcBorders>
              <w:top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284,505</w:t>
            </w:r>
          </w:p>
        </w:tc>
        <w:tc>
          <w:tcPr>
            <w:tcW w:w="22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tcBorders>
            <w:shd w:val="clear" w:color="auto" w:fill="D4EEF4"/>
          </w:tcPr>
          <w:p>
            <w:pPr>
              <w:spacing w:after="0"/>
              <w:rPr>
                <w:sz w:val="19"/>
                <w:szCs w:val="19"/>
                <w:color w:val="auto"/>
              </w:rPr>
            </w:pPr>
          </w:p>
        </w:tc>
        <w:tc>
          <w:tcPr>
            <w:tcW w:w="7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233,780</w:t>
            </w:r>
          </w:p>
        </w:tc>
        <w:tc>
          <w:tcPr>
            <w:tcW w:w="18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7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94"/>
              </w:rPr>
              <w:t>$ 192,769</w:t>
            </w:r>
          </w:p>
        </w:tc>
        <w:tc>
          <w:tcPr>
            <w:tcW w:w="100" w:type="dxa"/>
            <w:vAlign w:val="bottom"/>
            <w:tcBorders>
              <w:top w:val="single" w:sz="8" w:color="D4EEF4"/>
            </w:tcBorders>
            <w:shd w:val="clear" w:color="auto" w:fill="D4EEF4"/>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Advisory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4,949</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100" w:type="dxa"/>
            <w:vAlign w:val="bottom"/>
          </w:tcPr>
          <w:p>
            <w:pPr>
              <w:spacing w:after="0"/>
              <w:rPr>
                <w:sz w:val="19"/>
                <w:szCs w:val="19"/>
                <w:color w:val="auto"/>
              </w:rPr>
            </w:pPr>
          </w:p>
        </w:tc>
      </w:tr>
      <w:tr>
        <w:trPr>
          <w:trHeight w:val="230"/>
        </w:trPr>
        <w:tc>
          <w:tcPr>
            <w:tcW w:w="57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Subscriptions</w:t>
            </w:r>
          </w:p>
        </w:tc>
        <w:tc>
          <w:tcPr>
            <w:tcW w:w="220" w:type="dxa"/>
            <w:vAlign w:val="bottom"/>
            <w:shd w:val="clear" w:color="auto" w:fill="D4EEF4"/>
          </w:tcPr>
          <w:p>
            <w:pPr>
              <w:spacing w:after="0"/>
              <w:rPr>
                <w:sz w:val="19"/>
                <w:szCs w:val="19"/>
                <w:color w:val="auto"/>
              </w:rPr>
            </w:pPr>
          </w:p>
        </w:tc>
        <w:tc>
          <w:tcPr>
            <w:tcW w:w="7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180" w:type="dxa"/>
            <w:vAlign w:val="bottom"/>
            <w:shd w:val="clear" w:color="auto" w:fill="D4EEF4"/>
          </w:tcPr>
          <w:p>
            <w:pPr>
              <w:spacing w:after="0"/>
              <w:rPr>
                <w:sz w:val="19"/>
                <w:szCs w:val="19"/>
                <w:color w:val="auto"/>
              </w:rPr>
            </w:pPr>
          </w:p>
        </w:tc>
        <w:tc>
          <w:tcPr>
            <w:tcW w:w="8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100" w:type="dxa"/>
            <w:vAlign w:val="bottom"/>
            <w:shd w:val="clear" w:color="auto" w:fill="D4EEF4"/>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100" w:type="dxa"/>
            <w:vAlign w:val="bottom"/>
          </w:tcPr>
          <w:p>
            <w:pPr>
              <w:spacing w:after="0"/>
              <w:rPr>
                <w:sz w:val="19"/>
                <w:szCs w:val="19"/>
                <w:color w:val="auto"/>
              </w:rPr>
            </w:pPr>
          </w:p>
        </w:tc>
      </w:tr>
      <w:tr>
        <w:trPr>
          <w:trHeight w:val="220"/>
        </w:trPr>
        <w:tc>
          <w:tcPr>
            <w:tcW w:w="5760" w:type="dxa"/>
            <w:vAlign w:val="bottom"/>
            <w:tcBorders>
              <w:top w:val="single" w:sz="8" w:color="D4EEF4"/>
            </w:tcBorders>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220" w:type="dxa"/>
            <w:vAlign w:val="bottom"/>
            <w:tcBorders>
              <w:top w:val="single" w:sz="8" w:color="auto"/>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296,448</w:t>
            </w:r>
          </w:p>
        </w:tc>
        <w:tc>
          <w:tcPr>
            <w:tcW w:w="22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241,734</w:t>
            </w:r>
          </w:p>
        </w:tc>
        <w:tc>
          <w:tcPr>
            <w:tcW w:w="18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94"/>
              </w:rPr>
              <w:t>$ 198,360</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20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contract liabilities represent deferred revenue. We record contract liabilities when cash payments are received or due in advance of our performance. The contract liabilities balance had a net decrease of $0.2 million from $12.8 million as of December 31, 2023 to $12.6 million as of December 31, 2024 primarily driven by satisfying performance obligations for cash payments received in advance. We recognized $12.7 million of revenue in 2024 that was included in the contract liabilities balance as of December 31, 2023.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Strategic Alliance Expense</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years ended December 31, 2024, 2023, and 2022, the strategic alliance expense reported was $4.5 million, $1.5 million, and $0.7 million, respectively. This is reported on the Consolidated Statements of Operations as strategic alliance expense in operating expenses.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Within 60 days following the final closing of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December 31, 2024. Fund II has reached the final close, and the</w:t>
      </w:r>
    </w:p>
    <w:p>
      <w:pPr>
        <w:sectPr>
          <w:pgSz w:w="12240" w:h="15840" w:orient="portrait"/>
          <w:cols w:equalWidth="0" w:num="1">
            <w:col w:w="10080"/>
          </w:cols>
          <w:pgMar w:left="1080" w:top="696" w:right="108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080" w:top="696" w:right="1080" w:bottom="175"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Company believes it is probable that the third-party will exercise the option to acquire equity in Bonaccord and accrues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4" w:lineRule="exact"/>
        <w:rPr>
          <w:sz w:val="20"/>
          <w:szCs w:val="20"/>
          <w:color w:val="auto"/>
        </w:rPr>
      </w:pPr>
    </w:p>
    <w:p>
      <w:pPr>
        <w:ind w:firstLine="490"/>
        <w:spacing w:after="0" w:line="268" w:lineRule="auto"/>
        <w:rPr>
          <w:sz w:val="20"/>
          <w:szCs w:val="20"/>
          <w:color w:val="auto"/>
        </w:rPr>
      </w:pPr>
      <w:r>
        <w:rPr>
          <w:rFonts w:ascii="Times New Roman" w:cs="Times New Roman" w:eastAsia="Times New Roman" w:hAnsi="Times New Roman"/>
          <w:sz w:val="19"/>
          <w:szCs w:val="19"/>
          <w:color w:val="auto"/>
        </w:rPr>
        <w:t>Similar terms apply for Bonaccord Fund III ("Fund III") with the exception that the third-party can acquire 9.8 basis points for every $5.0 million committed up to 4.9%. This commitment has not yet been met as of December 31, 2024 as Fund</w:t>
      </w:r>
    </w:p>
    <w:p>
      <w:pPr>
        <w:ind w:right="180"/>
        <w:spacing w:after="0" w:line="242" w:lineRule="auto"/>
        <w:tabs>
          <w:tab w:leader="none" w:pos="25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Notes Receivable</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December 31, 2024, the full $5.0 million has been drawn and the balance outstanding is $5.2 million, which includes unpaid accrued interest added to the outstanding principal balance. The maturity date of the note receivable is September 30, 2031.</w:t>
      </w:r>
    </w:p>
    <w:p>
      <w:pPr>
        <w:spacing w:after="0" w:line="202"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on October 13th in arrears, with any unpaid accrued interest being capitalized and added to the outstanding principal balance. As of December 31, 2024, the balance outstanding is $1.1 million, which includes unpaid accrued interest added to the outstanding principal balance.</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third consists of a Loan Agreement and Secured Promissory Notes that were executed on September 26, 2024 between Bonaccord Capital Advisors and certain general partners to lend funds to pay general partners commitments to a certain fund managed by Bonaccord. The notes provides an aggregate maximum facility of $4.0 million, of which $1.1 million of cash, was an initial draw in aggregate to certain general partners on December 20, 2024 and are collateralized by such general partners' interest in a certain fund as of December 31, 2024 with a maturity date of September 26, 2034. The notes accrue interest at SOFR plus 2.10% and are payable quarterly in arrears, with any unpaid accrued interest being capitalized and added to the outstanding principal balance. SOFR is determined on the first day of each quarter. As of December 31, 2024, the balance outstanding is $1.1 million, which includes unpaid accrued interest added to the outstanding principal balance.</w:t>
      </w:r>
    </w:p>
    <w:p>
      <w:pPr>
        <w:spacing w:after="0" w:line="206"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2024 and December 31, 2023, the total notes receivable balance associated with these notes was $7.5 million and $5.8 million, respectively. The Company recognized interest income associated with these notes of $0.4 million, $0.3 million and $0.1 million for the years ended December 31, 2024, 2023 and 2022,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Variable Interest Entities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VIEs consist of certain operating entities not wholly owned by the Company and include P10 Intermediate, Holdco, RCP 2, RCP 3, TrueBridge, Hark, Bonaccord, and WTI. The assets of the consolidated VIEs totaled $587.9 million and $579.4 million as of December 31, 2024 and December 31, 2023, respectively. The liabilities of the consolidated VIEs</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60"/>
          </w:cols>
          <w:pgMar w:left="1080" w:top="696" w:right="1100" w:bottom="175"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totaled $463.3 million and $397.6 million as of December 31,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Investment in Unconsolidated Subsidiaries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94"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auto"/>
        </w:rPr>
        <w:t>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 As of December 31, 2023, investment in unconsolidated subsidiaries totaled $1.7 million, of which $0 million related to RCP's investment in a privately held investment manager, $1.7 million related to ECG’s asset management businesses and $0 related to ECG’s tax credit finance businesses.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Property and Equipment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21"/>
        </w:trPr>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9"/>
                <w:szCs w:val="19"/>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7"/>
        </w:trPr>
        <w:tc>
          <w:tcPr>
            <w:tcW w:w="4680" w:type="dxa"/>
            <w:vAlign w:val="bottom"/>
            <w:tcBorders>
              <w:bottom w:val="single" w:sz="8" w:color="D4EEF4"/>
            </w:tcBorders>
          </w:tcPr>
          <w:p>
            <w:pPr>
              <w:spacing w:after="0"/>
              <w:rPr>
                <w:sz w:val="19"/>
                <w:szCs w:val="19"/>
                <w:color w:val="auto"/>
              </w:rPr>
            </w:pPr>
          </w:p>
        </w:tc>
        <w:tc>
          <w:tcPr>
            <w:tcW w:w="2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D4EEF4"/>
            </w:tcBorders>
          </w:tcPr>
          <w:p>
            <w:pPr>
              <w:spacing w:after="0"/>
              <w:rPr>
                <w:sz w:val="19"/>
                <w:szCs w:val="19"/>
                <w:color w:val="auto"/>
              </w:rPr>
            </w:pPr>
          </w:p>
        </w:tc>
        <w:tc>
          <w:tcPr>
            <w:tcW w:w="6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D4EEF4"/>
            </w:tcBorders>
          </w:tcPr>
          <w:p>
            <w:pPr>
              <w:spacing w:after="0"/>
              <w:rPr>
                <w:sz w:val="19"/>
                <w:szCs w:val="19"/>
                <w:color w:val="auto"/>
              </w:rPr>
            </w:pPr>
          </w:p>
        </w:tc>
      </w:tr>
      <w:tr>
        <w:trPr>
          <w:trHeight w:val="224"/>
        </w:trPr>
        <w:tc>
          <w:tcPr>
            <w:tcW w:w="4680" w:type="dxa"/>
            <w:vAlign w:val="bottom"/>
            <w:shd w:val="clear" w:color="auto" w:fill="D4EEF4"/>
          </w:tcPr>
          <w:p>
            <w:pPr>
              <w:spacing w:after="0" w:line="224" w:lineRule="exact"/>
              <w:rPr>
                <w:sz w:val="20"/>
                <w:szCs w:val="20"/>
                <w:color w:val="auto"/>
              </w:rPr>
            </w:pPr>
            <w:r>
              <w:rPr>
                <w:rFonts w:ascii="Times New Roman" w:cs="Times New Roman" w:eastAsia="Times New Roman" w:hAnsi="Times New Roman"/>
                <w:sz w:val="20"/>
                <w:szCs w:val="20"/>
                <w:color w:val="auto"/>
              </w:rPr>
              <w:t>Computers and purchased software</w:t>
            </w:r>
          </w:p>
        </w:tc>
        <w:tc>
          <w:tcPr>
            <w:tcW w:w="20" w:type="dxa"/>
            <w:vAlign w:val="bottom"/>
            <w:shd w:val="clear" w:color="auto" w:fill="D4EEF4"/>
          </w:tcPr>
          <w:p>
            <w:pPr>
              <w:spacing w:after="0"/>
              <w:rPr>
                <w:sz w:val="19"/>
                <w:szCs w:val="19"/>
                <w:color w:val="auto"/>
              </w:rPr>
            </w:pPr>
          </w:p>
        </w:tc>
        <w:tc>
          <w:tcPr>
            <w:tcW w:w="200" w:type="dxa"/>
            <w:vAlign w:val="bottom"/>
            <w:shd w:val="clear" w:color="auto" w:fill="D4EEF4"/>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rPr>
              <w:t>1,945</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220" w:type="dxa"/>
            <w:vAlign w:val="bottom"/>
            <w:shd w:val="clear" w:color="auto" w:fill="D4EEF4"/>
          </w:tcPr>
          <w:p>
            <w:pPr>
              <w:jc w:val="right"/>
              <w:ind w:right="27"/>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4EEF4"/>
          </w:tcPr>
          <w:p>
            <w:pPr>
              <w:jc w:val="right"/>
              <w:spacing w:after="0" w:line="224" w:lineRule="exact"/>
              <w:rPr>
                <w:sz w:val="20"/>
                <w:szCs w:val="20"/>
                <w:color w:val="auto"/>
              </w:rPr>
            </w:pPr>
            <w:r>
              <w:rPr>
                <w:rFonts w:ascii="Times New Roman" w:cs="Times New Roman" w:eastAsia="Times New Roman" w:hAnsi="Times New Roman"/>
                <w:sz w:val="20"/>
                <w:szCs w:val="20"/>
                <w:color w:val="auto"/>
              </w:rPr>
              <w:t>1,528</w:t>
            </w:r>
          </w:p>
        </w:tc>
        <w:tc>
          <w:tcPr>
            <w:tcW w:w="80" w:type="dxa"/>
            <w:vAlign w:val="bottom"/>
            <w:shd w:val="clear" w:color="auto" w:fill="D4EEF4"/>
          </w:tcPr>
          <w:p>
            <w:pPr>
              <w:spacing w:after="0"/>
              <w:rPr>
                <w:sz w:val="19"/>
                <w:szCs w:val="19"/>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w:t>
            </w:r>
          </w:p>
        </w:tc>
        <w:tc>
          <w:tcPr>
            <w:tcW w:w="80" w:type="dxa"/>
            <w:vAlign w:val="bottom"/>
          </w:tcPr>
          <w:p>
            <w:pPr>
              <w:spacing w:after="0"/>
              <w:rPr>
                <w:sz w:val="21"/>
                <w:szCs w:val="21"/>
                <w:color w:val="auto"/>
              </w:rPr>
            </w:pPr>
          </w:p>
        </w:tc>
      </w:tr>
      <w:tr>
        <w:trPr>
          <w:trHeight w:val="244"/>
        </w:trPr>
        <w:tc>
          <w:tcPr>
            <w:tcW w:w="46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0" w:type="dxa"/>
            <w:vAlign w:val="bottom"/>
            <w:shd w:val="clear" w:color="auto" w:fill="D4EEF4"/>
          </w:tcPr>
          <w:p>
            <w:pPr>
              <w:spacing w:after="0"/>
              <w:rPr>
                <w:sz w:val="21"/>
                <w:szCs w:val="21"/>
                <w:color w:val="auto"/>
              </w:rPr>
            </w:pPr>
          </w:p>
        </w:tc>
        <w:tc>
          <w:tcPr>
            <w:tcW w:w="200" w:type="dxa"/>
            <w:vAlign w:val="bottom"/>
            <w:tcBorders>
              <w:bottom w:val="single" w:sz="8" w:color="auto"/>
            </w:tcBorders>
            <w:shd w:val="clear" w:color="auto" w:fill="D4EEF4"/>
          </w:tcPr>
          <w:p>
            <w:pPr>
              <w:spacing w:after="0"/>
              <w:rPr>
                <w:sz w:val="21"/>
                <w:szCs w:val="21"/>
                <w:color w:val="auto"/>
              </w:rPr>
            </w:pPr>
          </w:p>
        </w:tc>
        <w:tc>
          <w:tcPr>
            <w:tcW w:w="8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6,217</w:t>
            </w:r>
          </w:p>
        </w:tc>
        <w:tc>
          <w:tcPr>
            <w:tcW w:w="120" w:type="dxa"/>
            <w:vAlign w:val="bottom"/>
            <w:shd w:val="clear" w:color="auto" w:fill="D4EEF4"/>
          </w:tcPr>
          <w:p>
            <w:pPr>
              <w:spacing w:after="0"/>
              <w:rPr>
                <w:sz w:val="21"/>
                <w:szCs w:val="21"/>
                <w:color w:val="auto"/>
              </w:rPr>
            </w:pPr>
          </w:p>
        </w:tc>
        <w:tc>
          <w:tcPr>
            <w:tcW w:w="60" w:type="dxa"/>
            <w:vAlign w:val="bottom"/>
            <w:shd w:val="clear" w:color="auto" w:fill="D4EEF4"/>
          </w:tcPr>
          <w:p>
            <w:pPr>
              <w:spacing w:after="0"/>
              <w:rPr>
                <w:sz w:val="21"/>
                <w:szCs w:val="21"/>
                <w:color w:val="auto"/>
              </w:rPr>
            </w:pPr>
          </w:p>
        </w:tc>
        <w:tc>
          <w:tcPr>
            <w:tcW w:w="220" w:type="dxa"/>
            <w:vAlign w:val="bottom"/>
            <w:tcBorders>
              <w:bottom w:val="single" w:sz="8" w:color="auto"/>
            </w:tcBorders>
            <w:shd w:val="clear" w:color="auto" w:fill="D4EEF4"/>
          </w:tcPr>
          <w:p>
            <w:pPr>
              <w:spacing w:after="0"/>
              <w:rPr>
                <w:sz w:val="21"/>
                <w:szCs w:val="21"/>
                <w:color w:val="auto"/>
              </w:rPr>
            </w:pPr>
          </w:p>
        </w:tc>
        <w:tc>
          <w:tcPr>
            <w:tcW w:w="8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2,894</w:t>
            </w:r>
          </w:p>
        </w:tc>
        <w:tc>
          <w:tcPr>
            <w:tcW w:w="80" w:type="dxa"/>
            <w:vAlign w:val="bottom"/>
            <w:shd w:val="clear" w:color="auto" w:fill="D4EEF4"/>
          </w:tcPr>
          <w:p>
            <w:pPr>
              <w:spacing w:after="0"/>
              <w:rPr>
                <w:sz w:val="21"/>
                <w:szCs w:val="21"/>
                <w:color w:val="auto"/>
              </w:rPr>
            </w:pPr>
          </w:p>
        </w:tc>
      </w:tr>
      <w:tr>
        <w:trPr>
          <w:trHeight w:val="224"/>
        </w:trPr>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10,391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6,088</w:t>
            </w:r>
          </w:p>
        </w:tc>
        <w:tc>
          <w:tcPr>
            <w:tcW w:w="80" w:type="dxa"/>
            <w:vAlign w:val="bottom"/>
          </w:tcPr>
          <w:p>
            <w:pPr>
              <w:spacing w:after="0"/>
              <w:rPr>
                <w:sz w:val="19"/>
                <w:szCs w:val="19"/>
                <w:color w:val="auto"/>
              </w:rPr>
            </w:pPr>
          </w:p>
        </w:tc>
      </w:tr>
      <w:tr>
        <w:trPr>
          <w:trHeight w:val="244"/>
        </w:trPr>
        <w:tc>
          <w:tcPr>
            <w:tcW w:w="46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9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(3,631)</w:t>
            </w:r>
          </w:p>
        </w:tc>
        <w:tc>
          <w:tcPr>
            <w:tcW w:w="6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9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(2,763)</w:t>
            </w:r>
          </w:p>
        </w:tc>
      </w:tr>
      <w:tr>
        <w:trPr>
          <w:trHeight w:val="224"/>
        </w:trPr>
        <w:tc>
          <w:tcPr>
            <w:tcW w:w="46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6,760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7"/>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3,325</w:t>
            </w: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Goodwill and Intangibles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Changes in goodwill for the years ended December 31, 2024 and December 31, 2023 are as follows:</w:t>
      </w:r>
    </w:p>
    <w:p>
      <w:pPr>
        <w:spacing w:after="0" w:line="240" w:lineRule="exact"/>
        <w:rPr>
          <w:sz w:val="20"/>
          <w:szCs w:val="20"/>
          <w:color w:val="auto"/>
        </w:rPr>
      </w:pPr>
    </w:p>
    <w:tbl>
      <w:tblPr>
        <w:tblLayout w:type="fixed"/>
        <w:tblInd w:w="2020" w:type="dxa"/>
        <w:tblCellMar>
          <w:top w:w="0" w:type="dxa"/>
          <w:left w:w="0" w:type="dxa"/>
          <w:bottom w:w="0" w:type="dxa"/>
          <w:right w:w="0" w:type="dxa"/>
        </w:tblCellMar>
      </w:tblPr>
      <w:tr>
        <w:trPr>
          <w:trHeight w:val="253"/>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320" w:type="dxa"/>
            <w:vAlign w:val="bottom"/>
            <w:gridSpan w:val="3"/>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506,638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Purchase price adjustment</w:t>
            </w:r>
          </w:p>
        </w:tc>
        <w:tc>
          <w:tcPr>
            <w:tcW w:w="8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88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Increase from acquisitions</w:t>
            </w:r>
          </w:p>
        </w:tc>
        <w:tc>
          <w:tcPr>
            <w:tcW w:w="80" w:type="dxa"/>
            <w:vAlign w:val="bottom"/>
            <w:tcBorders>
              <w:bottom w:val="single" w:sz="8" w:color="D4EEF4"/>
            </w:tcBorders>
          </w:tcPr>
          <w:p>
            <w:pPr>
              <w:spacing w:after="0"/>
              <w:rPr>
                <w:sz w:val="21"/>
                <w:szCs w:val="21"/>
                <w:color w:val="auto"/>
              </w:rPr>
            </w:pPr>
          </w:p>
        </w:tc>
        <w:tc>
          <w:tcPr>
            <w:tcW w:w="20" w:type="dxa"/>
            <w:vAlign w:val="bottom"/>
            <w:tcBorders>
              <w:bottom w:val="single" w:sz="8" w:color="D4EE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EF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80" w:type="dxa"/>
            <w:vAlign w:val="bottom"/>
            <w:shd w:val="clear" w:color="auto" w:fill="D4EEF4"/>
          </w:tcPr>
          <w:p>
            <w:pPr>
              <w:spacing w:after="0"/>
              <w:rPr>
                <w:sz w:val="20"/>
                <w:szCs w:val="20"/>
                <w:color w:val="auto"/>
              </w:rPr>
            </w:pPr>
          </w:p>
        </w:tc>
        <w:tc>
          <w:tcPr>
            <w:tcW w:w="20" w:type="dxa"/>
            <w:vAlign w:val="bottom"/>
            <w:shd w:val="clear" w:color="auto" w:fill="D4EEF4"/>
          </w:tcPr>
          <w:p>
            <w:pPr>
              <w:spacing w:after="0"/>
              <w:rPr>
                <w:sz w:val="20"/>
                <w:szCs w:val="20"/>
                <w:color w:val="auto"/>
              </w:rPr>
            </w:pPr>
          </w:p>
        </w:tc>
        <w:tc>
          <w:tcPr>
            <w:tcW w:w="220" w:type="dxa"/>
            <w:vAlign w:val="bottom"/>
            <w:tcBorders>
              <w:bottom w:val="single" w:sz="8" w:color="auto"/>
            </w:tcBorders>
            <w:shd w:val="clear" w:color="auto" w:fill="D4EEF4"/>
          </w:tcPr>
          <w:p>
            <w:pPr>
              <w:jc w:val="right"/>
              <w:ind w:right="55"/>
              <w:spacing w:after="0"/>
              <w:rPr>
                <w:sz w:val="20"/>
                <w:szCs w:val="20"/>
                <w:color w:val="auto"/>
              </w:rPr>
            </w:pPr>
            <w:r>
              <w:rPr>
                <w:rFonts w:ascii="Times New Roman" w:cs="Times New Roman" w:eastAsia="Times New Roman" w:hAnsi="Times New Roman"/>
                <w:sz w:val="17"/>
                <w:szCs w:val="17"/>
                <w:color w:val="auto"/>
                <w:w w:val="70"/>
                <w:shd w:val="clear" w:color="auto" w:fill="D4EEF4"/>
              </w:rPr>
              <w:t>$</w:t>
            </w:r>
          </w:p>
        </w:tc>
        <w:tc>
          <w:tcPr>
            <w:tcW w:w="8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506,038</w:t>
            </w:r>
          </w:p>
        </w:tc>
        <w:tc>
          <w:tcPr>
            <w:tcW w:w="80" w:type="dxa"/>
            <w:vAlign w:val="bottom"/>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Purchase price adjustment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Increase from acquisitions</w:t>
            </w:r>
          </w:p>
        </w:tc>
        <w:tc>
          <w:tcPr>
            <w:tcW w:w="8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220" w:type="dxa"/>
            <w:vAlign w:val="bottom"/>
            <w:tcBorders>
              <w:bottom w:val="single" w:sz="8" w:color="auto"/>
            </w:tcBorders>
            <w:shd w:val="clear" w:color="auto" w:fill="D4EEF4"/>
          </w:tcPr>
          <w:p>
            <w:pPr>
              <w:spacing w:after="0"/>
              <w:rPr>
                <w:sz w:val="21"/>
                <w:szCs w:val="21"/>
                <w:color w:val="auto"/>
              </w:rPr>
            </w:pPr>
          </w:p>
        </w:tc>
        <w:tc>
          <w:tcPr>
            <w:tcW w:w="8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506,038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there was a revision to the provisional fair value of the WTI tradenames as a result of obtaining new information that was not available at acquisition. This revision resulted in a purchase price adjustment of $0.6 million to goodwill and intangible assets.</w:t>
      </w:r>
    </w:p>
    <w:p>
      <w:pPr>
        <w:sectPr>
          <w:pgSz w:w="12240" w:h="15840" w:orient="portrait"/>
          <w:cols w:equalWidth="0" w:num="1">
            <w:col w:w="10080"/>
          </w:cols>
          <w:pgMar w:left="1080" w:top="696" w:right="1080" w:bottom="175"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696" w:right="1080" w:bottom="175" w:gutter="0" w:footer="0" w:header="0"/>
          <w:type w:val="continuous"/>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Intangibles consists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center"/>
              <w:ind w:left="764"/>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4"/>
              <w:spacing w:after="0" w:line="169"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8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47"/>
        </w:trPr>
        <w:tc>
          <w:tcPr>
            <w:tcW w:w="400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120" w:type="dxa"/>
            <w:vAlign w:val="bottom"/>
            <w:tcBorders>
              <w:top w:val="single" w:sz="8" w:color="D4EEF4"/>
            </w:tcBorders>
            <w:shd w:val="clear" w:color="auto" w:fill="D4EEF4"/>
          </w:tcPr>
          <w:p>
            <w:pPr>
              <w:spacing w:after="0"/>
              <w:rPr>
                <w:sz w:val="21"/>
                <w:szCs w:val="21"/>
                <w:color w:val="auto"/>
              </w:rPr>
            </w:pPr>
          </w:p>
        </w:tc>
        <w:tc>
          <w:tcPr>
            <w:tcW w:w="180" w:type="dxa"/>
            <w:vAlign w:val="bottom"/>
            <w:tcBorders>
              <w:top w:val="single" w:sz="8" w:color="auto"/>
            </w:tcBorders>
            <w:shd w:val="clear" w:color="auto" w:fill="D4EEF4"/>
          </w:tcPr>
          <w:p>
            <w:pPr>
              <w:spacing w:after="0"/>
              <w:rPr>
                <w:sz w:val="21"/>
                <w:szCs w:val="21"/>
                <w:color w:val="auto"/>
              </w:rPr>
            </w:pPr>
          </w:p>
        </w:tc>
        <w:tc>
          <w:tcPr>
            <w:tcW w:w="980" w:type="dxa"/>
            <w:vAlign w:val="bottom"/>
            <w:tcBorders>
              <w:top w:val="single" w:sz="8" w:color="auto"/>
            </w:tcBorders>
            <w:shd w:val="clear" w:color="auto" w:fill="D4EEF4"/>
          </w:tcPr>
          <w:p>
            <w:pPr>
              <w:spacing w:after="0"/>
              <w:rPr>
                <w:sz w:val="21"/>
                <w:szCs w:val="21"/>
                <w:color w:val="auto"/>
              </w:rPr>
            </w:pPr>
          </w:p>
        </w:tc>
        <w:tc>
          <w:tcPr>
            <w:tcW w:w="180" w:type="dxa"/>
            <w:vAlign w:val="bottom"/>
            <w:tcBorders>
              <w:top w:val="single" w:sz="8" w:color="D4EEF4"/>
            </w:tcBorders>
            <w:shd w:val="clear" w:color="auto" w:fill="D4EEF4"/>
          </w:tcPr>
          <w:p>
            <w:pPr>
              <w:spacing w:after="0"/>
              <w:rPr>
                <w:sz w:val="21"/>
                <w:szCs w:val="21"/>
                <w:color w:val="auto"/>
              </w:rPr>
            </w:pPr>
          </w:p>
        </w:tc>
        <w:tc>
          <w:tcPr>
            <w:tcW w:w="120" w:type="dxa"/>
            <w:vAlign w:val="bottom"/>
            <w:tcBorders>
              <w:top w:val="single" w:sz="8" w:color="auto"/>
            </w:tcBorders>
            <w:shd w:val="clear" w:color="auto" w:fill="D4EEF4"/>
          </w:tcPr>
          <w:p>
            <w:pPr>
              <w:spacing w:after="0"/>
              <w:rPr>
                <w:sz w:val="21"/>
                <w:szCs w:val="21"/>
                <w:color w:val="auto"/>
              </w:rPr>
            </w:pPr>
          </w:p>
        </w:tc>
        <w:tc>
          <w:tcPr>
            <w:tcW w:w="1060" w:type="dxa"/>
            <w:vAlign w:val="bottom"/>
            <w:tcBorders>
              <w:top w:val="single" w:sz="8" w:color="auto"/>
            </w:tcBorders>
            <w:shd w:val="clear" w:color="auto" w:fill="D4EEF4"/>
          </w:tcPr>
          <w:p>
            <w:pPr>
              <w:spacing w:after="0"/>
              <w:rPr>
                <w:sz w:val="21"/>
                <w:szCs w:val="21"/>
                <w:color w:val="auto"/>
              </w:rPr>
            </w:pPr>
          </w:p>
        </w:tc>
        <w:tc>
          <w:tcPr>
            <w:tcW w:w="120" w:type="dxa"/>
            <w:vAlign w:val="bottom"/>
            <w:tcBorders>
              <w:top w:val="single" w:sz="8" w:color="D4EEF4"/>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c>
          <w:tcPr>
            <w:tcW w:w="100" w:type="dxa"/>
            <w:vAlign w:val="bottom"/>
            <w:tcBorders>
              <w:top w:val="single" w:sz="8" w:color="auto"/>
            </w:tcBorders>
            <w:shd w:val="clear" w:color="auto" w:fill="D4EEF4"/>
          </w:tcPr>
          <w:p>
            <w:pPr>
              <w:spacing w:after="0"/>
              <w:rPr>
                <w:sz w:val="21"/>
                <w:szCs w:val="21"/>
                <w:color w:val="auto"/>
              </w:rPr>
            </w:pPr>
          </w:p>
        </w:tc>
        <w:tc>
          <w:tcPr>
            <w:tcW w:w="1060" w:type="dxa"/>
            <w:vAlign w:val="bottom"/>
            <w:tcBorders>
              <w:top w:val="single" w:sz="8" w:color="auto"/>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r>
      <w:tr>
        <w:trPr>
          <w:trHeight w:val="267"/>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80" w:type="dxa"/>
            <w:vAlign w:val="bottom"/>
          </w:tcPr>
          <w:p>
            <w:pPr>
              <w:spacing w:after="0"/>
              <w:rPr>
                <w:sz w:val="23"/>
                <w:szCs w:val="23"/>
                <w:color w:val="auto"/>
              </w:rPr>
            </w:pPr>
          </w:p>
        </w:tc>
      </w:tr>
      <w:tr>
        <w:trPr>
          <w:trHeight w:val="267"/>
        </w:trPr>
        <w:tc>
          <w:tcPr>
            <w:tcW w:w="4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shd w:val="clear" w:color="auto" w:fill="D4EEF4"/>
          </w:tcPr>
          <w:p>
            <w:pPr>
              <w:spacing w:after="0"/>
              <w:rPr>
                <w:sz w:val="23"/>
                <w:szCs w:val="23"/>
                <w:color w:val="auto"/>
              </w:rPr>
            </w:pPr>
          </w:p>
        </w:tc>
        <w:tc>
          <w:tcPr>
            <w:tcW w:w="180" w:type="dxa"/>
            <w:vAlign w:val="bottom"/>
            <w:tcBorders>
              <w:bottom w:val="single" w:sz="8" w:color="auto"/>
            </w:tcBorders>
            <w:shd w:val="clear" w:color="auto" w:fill="D4EEF4"/>
          </w:tcPr>
          <w:p>
            <w:pPr>
              <w:spacing w:after="0"/>
              <w:rPr>
                <w:sz w:val="23"/>
                <w:szCs w:val="23"/>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shd w:val="clear" w:color="auto" w:fill="D4EEF4"/>
          </w:tcPr>
          <w:p>
            <w:pPr>
              <w:spacing w:after="0"/>
              <w:rPr>
                <w:sz w:val="23"/>
                <w:szCs w:val="23"/>
                <w:color w:val="auto"/>
              </w:rPr>
            </w:pPr>
          </w:p>
        </w:tc>
        <w:tc>
          <w:tcPr>
            <w:tcW w:w="120" w:type="dxa"/>
            <w:vAlign w:val="bottom"/>
            <w:tcBorders>
              <w:bottom w:val="single" w:sz="8" w:color="auto"/>
            </w:tcBorders>
            <w:shd w:val="clear" w:color="auto" w:fill="D4EEF4"/>
          </w:tcPr>
          <w:p>
            <w:pPr>
              <w:spacing w:after="0"/>
              <w:rPr>
                <w:sz w:val="23"/>
                <w:szCs w:val="23"/>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c>
          <w:tcPr>
            <w:tcW w:w="100" w:type="dxa"/>
            <w:vAlign w:val="bottom"/>
            <w:tcBorders>
              <w:bottom w:val="single" w:sz="8" w:color="auto"/>
            </w:tcBorders>
            <w:shd w:val="clear" w:color="auto" w:fill="D4EEF4"/>
          </w:tcPr>
          <w:p>
            <w:pPr>
              <w:spacing w:after="0"/>
              <w:rPr>
                <w:sz w:val="23"/>
                <w:szCs w:val="23"/>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shd w:val="clear" w:color="auto" w:fill="D4EEF4"/>
          </w:tcPr>
          <w:p>
            <w:pPr>
              <w:spacing w:after="0"/>
              <w:rPr>
                <w:sz w:val="23"/>
                <w:szCs w:val="23"/>
                <w:color w:val="auto"/>
              </w:rPr>
            </w:pPr>
          </w:p>
        </w:tc>
      </w:tr>
      <w:tr>
        <w:trPr>
          <w:trHeight w:val="24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 indefinite-lived intangible assets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80" w:type="dxa"/>
            <w:vAlign w:val="bottom"/>
          </w:tcPr>
          <w:p>
            <w:pPr>
              <w:spacing w:after="0"/>
              <w:rPr>
                <w:sz w:val="21"/>
                <w:szCs w:val="21"/>
                <w:color w:val="auto"/>
              </w:rPr>
            </w:pPr>
          </w:p>
        </w:tc>
      </w:tr>
      <w:tr>
        <w:trPr>
          <w:trHeight w:val="267"/>
        </w:trPr>
        <w:tc>
          <w:tcPr>
            <w:tcW w:w="4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2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98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106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106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r>
      <w:tr>
        <w:trPr>
          <w:trHeight w:val="267"/>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28,240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(8,322)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19,918</w:t>
            </w:r>
          </w:p>
        </w:tc>
        <w:tc>
          <w:tcPr>
            <w:tcW w:w="80" w:type="dxa"/>
            <w:vAlign w:val="bottom"/>
          </w:tcPr>
          <w:p>
            <w:pPr>
              <w:spacing w:after="0"/>
              <w:rPr>
                <w:sz w:val="23"/>
                <w:szCs w:val="23"/>
                <w:color w:val="auto"/>
              </w:rPr>
            </w:pPr>
          </w:p>
        </w:tc>
      </w:tr>
      <w:tr>
        <w:trPr>
          <w:trHeight w:val="267"/>
        </w:trPr>
        <w:tc>
          <w:tcPr>
            <w:tcW w:w="4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Management and advisory contracts</w:t>
            </w:r>
          </w:p>
        </w:tc>
        <w:tc>
          <w:tcPr>
            <w:tcW w:w="12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194,666</w:t>
            </w:r>
          </w:p>
        </w:tc>
        <w:tc>
          <w:tcPr>
            <w:tcW w:w="18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(134,494)</w:t>
            </w:r>
          </w:p>
        </w:tc>
        <w:tc>
          <w:tcPr>
            <w:tcW w:w="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60,172</w:t>
            </w:r>
          </w:p>
        </w:tc>
        <w:tc>
          <w:tcPr>
            <w:tcW w:w="80" w:type="dxa"/>
            <w:vAlign w:val="bottom"/>
            <w:shd w:val="clear" w:color="auto" w:fill="D4EEF4"/>
          </w:tcPr>
          <w:p>
            <w:pPr>
              <w:spacing w:after="0"/>
              <w:rPr>
                <w:sz w:val="23"/>
                <w:szCs w:val="23"/>
                <w:color w:val="auto"/>
              </w:rPr>
            </w:pPr>
          </w:p>
        </w:tc>
      </w:tr>
      <w:tr>
        <w:trPr>
          <w:trHeight w:val="267"/>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(2,292)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3"/>
                <w:szCs w:val="23"/>
                <w:color w:val="auto"/>
              </w:rPr>
            </w:pPr>
          </w:p>
        </w:tc>
      </w:tr>
      <w:tr>
        <w:trPr>
          <w:trHeight w:val="20"/>
        </w:trPr>
        <w:tc>
          <w:tcPr>
            <w:tcW w:w="4000" w:type="dxa"/>
            <w:vAlign w:val="bottom"/>
            <w:shd w:val="clear" w:color="auto" w:fill="D4EEF4"/>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r>
      <w:tr>
        <w:trPr>
          <w:trHeight w:val="247"/>
        </w:trPr>
        <w:tc>
          <w:tcPr>
            <w:tcW w:w="4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finite-lived intangible assets</w:t>
            </w:r>
          </w:p>
        </w:tc>
        <w:tc>
          <w:tcPr>
            <w:tcW w:w="12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225,292</w:t>
            </w:r>
          </w:p>
        </w:tc>
        <w:tc>
          <w:tcPr>
            <w:tcW w:w="18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(145,108)</w:t>
            </w:r>
          </w:p>
        </w:tc>
        <w:tc>
          <w:tcPr>
            <w:tcW w:w="8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80,184</w:t>
            </w:r>
          </w:p>
        </w:tc>
        <w:tc>
          <w:tcPr>
            <w:tcW w:w="80" w:type="dxa"/>
            <w:vAlign w:val="bottom"/>
            <w:shd w:val="clear" w:color="auto" w:fill="D4EEF4"/>
          </w:tcPr>
          <w:p>
            <w:pPr>
              <w:spacing w:after="0"/>
              <w:rPr>
                <w:sz w:val="21"/>
                <w:szCs w:val="21"/>
                <w:color w:val="auto"/>
              </w:rPr>
            </w:pPr>
          </w:p>
        </w:tc>
      </w:tr>
      <w:tr>
        <w:trPr>
          <w:trHeight w:val="20"/>
        </w:trPr>
        <w:tc>
          <w:tcPr>
            <w:tcW w:w="4000" w:type="dxa"/>
            <w:vAlign w:val="bottom"/>
            <w:shd w:val="clear" w:color="auto" w:fill="D4EEF4"/>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r>
      <w:tr>
        <w:trPr>
          <w:trHeight w:val="24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(145,108)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97,589</w:t>
            </w:r>
          </w:p>
        </w:tc>
        <w:tc>
          <w:tcPr>
            <w:tcW w:w="80" w:type="dxa"/>
            <w:vAlign w:val="bottom"/>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left="764"/>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4"/>
              <w:spacing w:after="0" w:line="169"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8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47"/>
        </w:trPr>
        <w:tc>
          <w:tcPr>
            <w:tcW w:w="400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120" w:type="dxa"/>
            <w:vAlign w:val="bottom"/>
            <w:tcBorders>
              <w:top w:val="single" w:sz="8" w:color="D4EEF4"/>
            </w:tcBorders>
            <w:shd w:val="clear" w:color="auto" w:fill="D4EEF4"/>
          </w:tcPr>
          <w:p>
            <w:pPr>
              <w:spacing w:after="0"/>
              <w:rPr>
                <w:sz w:val="21"/>
                <w:szCs w:val="21"/>
                <w:color w:val="auto"/>
              </w:rPr>
            </w:pPr>
          </w:p>
        </w:tc>
        <w:tc>
          <w:tcPr>
            <w:tcW w:w="180" w:type="dxa"/>
            <w:vAlign w:val="bottom"/>
            <w:tcBorders>
              <w:top w:val="single" w:sz="8" w:color="auto"/>
            </w:tcBorders>
            <w:shd w:val="clear" w:color="auto" w:fill="D4EEF4"/>
          </w:tcPr>
          <w:p>
            <w:pPr>
              <w:spacing w:after="0"/>
              <w:rPr>
                <w:sz w:val="21"/>
                <w:szCs w:val="21"/>
                <w:color w:val="auto"/>
              </w:rPr>
            </w:pPr>
          </w:p>
        </w:tc>
        <w:tc>
          <w:tcPr>
            <w:tcW w:w="980" w:type="dxa"/>
            <w:vAlign w:val="bottom"/>
            <w:tcBorders>
              <w:top w:val="single" w:sz="8" w:color="auto"/>
            </w:tcBorders>
            <w:shd w:val="clear" w:color="auto" w:fill="D4EEF4"/>
          </w:tcPr>
          <w:p>
            <w:pPr>
              <w:spacing w:after="0"/>
              <w:rPr>
                <w:sz w:val="21"/>
                <w:szCs w:val="21"/>
                <w:color w:val="auto"/>
              </w:rPr>
            </w:pPr>
          </w:p>
        </w:tc>
        <w:tc>
          <w:tcPr>
            <w:tcW w:w="180" w:type="dxa"/>
            <w:vAlign w:val="bottom"/>
            <w:tcBorders>
              <w:top w:val="single" w:sz="8" w:color="D4EEF4"/>
            </w:tcBorders>
            <w:shd w:val="clear" w:color="auto" w:fill="D4EEF4"/>
          </w:tcPr>
          <w:p>
            <w:pPr>
              <w:spacing w:after="0"/>
              <w:rPr>
                <w:sz w:val="21"/>
                <w:szCs w:val="21"/>
                <w:color w:val="auto"/>
              </w:rPr>
            </w:pPr>
          </w:p>
        </w:tc>
        <w:tc>
          <w:tcPr>
            <w:tcW w:w="120" w:type="dxa"/>
            <w:vAlign w:val="bottom"/>
            <w:tcBorders>
              <w:top w:val="single" w:sz="8" w:color="auto"/>
            </w:tcBorders>
            <w:shd w:val="clear" w:color="auto" w:fill="D4EEF4"/>
          </w:tcPr>
          <w:p>
            <w:pPr>
              <w:spacing w:after="0"/>
              <w:rPr>
                <w:sz w:val="21"/>
                <w:szCs w:val="21"/>
                <w:color w:val="auto"/>
              </w:rPr>
            </w:pPr>
          </w:p>
        </w:tc>
        <w:tc>
          <w:tcPr>
            <w:tcW w:w="1060" w:type="dxa"/>
            <w:vAlign w:val="bottom"/>
            <w:tcBorders>
              <w:top w:val="single" w:sz="8" w:color="auto"/>
            </w:tcBorders>
            <w:shd w:val="clear" w:color="auto" w:fill="D4EEF4"/>
          </w:tcPr>
          <w:p>
            <w:pPr>
              <w:spacing w:after="0"/>
              <w:rPr>
                <w:sz w:val="21"/>
                <w:szCs w:val="21"/>
                <w:color w:val="auto"/>
              </w:rPr>
            </w:pPr>
          </w:p>
        </w:tc>
        <w:tc>
          <w:tcPr>
            <w:tcW w:w="120" w:type="dxa"/>
            <w:vAlign w:val="bottom"/>
            <w:tcBorders>
              <w:top w:val="single" w:sz="8" w:color="D4EEF4"/>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c>
          <w:tcPr>
            <w:tcW w:w="100" w:type="dxa"/>
            <w:vAlign w:val="bottom"/>
            <w:tcBorders>
              <w:top w:val="single" w:sz="8" w:color="auto"/>
            </w:tcBorders>
            <w:shd w:val="clear" w:color="auto" w:fill="D4EEF4"/>
          </w:tcPr>
          <w:p>
            <w:pPr>
              <w:spacing w:after="0"/>
              <w:rPr>
                <w:sz w:val="21"/>
                <w:szCs w:val="21"/>
                <w:color w:val="auto"/>
              </w:rPr>
            </w:pPr>
          </w:p>
        </w:tc>
        <w:tc>
          <w:tcPr>
            <w:tcW w:w="1060" w:type="dxa"/>
            <w:vAlign w:val="bottom"/>
            <w:tcBorders>
              <w:top w:val="single" w:sz="8" w:color="auto"/>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r>
      <w:tr>
        <w:trPr>
          <w:trHeight w:val="267"/>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80" w:type="dxa"/>
            <w:vAlign w:val="bottom"/>
          </w:tcPr>
          <w:p>
            <w:pPr>
              <w:spacing w:after="0"/>
              <w:rPr>
                <w:sz w:val="23"/>
                <w:szCs w:val="23"/>
                <w:color w:val="auto"/>
              </w:rPr>
            </w:pPr>
          </w:p>
        </w:tc>
      </w:tr>
      <w:tr>
        <w:trPr>
          <w:trHeight w:val="267"/>
        </w:trPr>
        <w:tc>
          <w:tcPr>
            <w:tcW w:w="4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shd w:val="clear" w:color="auto" w:fill="D4EEF4"/>
          </w:tcPr>
          <w:p>
            <w:pPr>
              <w:spacing w:after="0"/>
              <w:rPr>
                <w:sz w:val="23"/>
                <w:szCs w:val="23"/>
                <w:color w:val="auto"/>
              </w:rPr>
            </w:pPr>
          </w:p>
        </w:tc>
        <w:tc>
          <w:tcPr>
            <w:tcW w:w="180" w:type="dxa"/>
            <w:vAlign w:val="bottom"/>
            <w:tcBorders>
              <w:bottom w:val="single" w:sz="8" w:color="auto"/>
            </w:tcBorders>
            <w:shd w:val="clear" w:color="auto" w:fill="D4EEF4"/>
          </w:tcPr>
          <w:p>
            <w:pPr>
              <w:spacing w:after="0"/>
              <w:rPr>
                <w:sz w:val="23"/>
                <w:szCs w:val="23"/>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shd w:val="clear" w:color="auto" w:fill="D4EEF4"/>
          </w:tcPr>
          <w:p>
            <w:pPr>
              <w:spacing w:after="0"/>
              <w:rPr>
                <w:sz w:val="23"/>
                <w:szCs w:val="23"/>
                <w:color w:val="auto"/>
              </w:rPr>
            </w:pPr>
          </w:p>
        </w:tc>
        <w:tc>
          <w:tcPr>
            <w:tcW w:w="120" w:type="dxa"/>
            <w:vAlign w:val="bottom"/>
            <w:tcBorders>
              <w:bottom w:val="single" w:sz="8" w:color="auto"/>
            </w:tcBorders>
            <w:shd w:val="clear" w:color="auto" w:fill="D4EEF4"/>
          </w:tcPr>
          <w:p>
            <w:pPr>
              <w:spacing w:after="0"/>
              <w:rPr>
                <w:sz w:val="23"/>
                <w:szCs w:val="23"/>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c>
          <w:tcPr>
            <w:tcW w:w="100" w:type="dxa"/>
            <w:vAlign w:val="bottom"/>
            <w:tcBorders>
              <w:bottom w:val="single" w:sz="8" w:color="auto"/>
            </w:tcBorders>
            <w:shd w:val="clear" w:color="auto" w:fill="D4EEF4"/>
          </w:tcPr>
          <w:p>
            <w:pPr>
              <w:spacing w:after="0"/>
              <w:rPr>
                <w:sz w:val="23"/>
                <w:szCs w:val="23"/>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shd w:val="clear" w:color="auto" w:fill="D4EEF4"/>
          </w:tcPr>
          <w:p>
            <w:pPr>
              <w:spacing w:after="0"/>
              <w:rPr>
                <w:sz w:val="23"/>
                <w:szCs w:val="23"/>
                <w:color w:val="auto"/>
              </w:rPr>
            </w:pPr>
          </w:p>
        </w:tc>
      </w:tr>
      <w:tr>
        <w:trPr>
          <w:trHeight w:val="24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 indefinite-lived intangible assets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80" w:type="dxa"/>
            <w:vAlign w:val="bottom"/>
          </w:tcPr>
          <w:p>
            <w:pPr>
              <w:spacing w:after="0"/>
              <w:rPr>
                <w:sz w:val="21"/>
                <w:szCs w:val="21"/>
                <w:color w:val="auto"/>
              </w:rPr>
            </w:pPr>
          </w:p>
        </w:tc>
      </w:tr>
      <w:tr>
        <w:trPr>
          <w:trHeight w:val="267"/>
        </w:trPr>
        <w:tc>
          <w:tcPr>
            <w:tcW w:w="4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2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98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106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1060" w:type="dxa"/>
            <w:vAlign w:val="bottom"/>
            <w:shd w:val="clear" w:color="auto" w:fill="D4EEF4"/>
          </w:tcPr>
          <w:p>
            <w:pPr>
              <w:spacing w:after="0"/>
              <w:rPr>
                <w:sz w:val="23"/>
                <w:szCs w:val="23"/>
                <w:color w:val="auto"/>
              </w:rPr>
            </w:pPr>
          </w:p>
        </w:tc>
        <w:tc>
          <w:tcPr>
            <w:tcW w:w="80" w:type="dxa"/>
            <w:vAlign w:val="bottom"/>
            <w:shd w:val="clear" w:color="auto" w:fill="D4EEF4"/>
          </w:tcPr>
          <w:p>
            <w:pPr>
              <w:spacing w:after="0"/>
              <w:rPr>
                <w:sz w:val="23"/>
                <w:szCs w:val="23"/>
                <w:color w:val="auto"/>
              </w:rPr>
            </w:pPr>
          </w:p>
        </w:tc>
      </w:tr>
      <w:tr>
        <w:trPr>
          <w:trHeight w:val="534"/>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28,240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(5,789)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22,451</w:t>
            </w:r>
          </w:p>
        </w:tc>
        <w:tc>
          <w:tcPr>
            <w:tcW w:w="80" w:type="dxa"/>
            <w:vAlign w:val="bottom"/>
          </w:tcPr>
          <w:p>
            <w:pPr>
              <w:spacing w:after="0"/>
              <w:rPr>
                <w:sz w:val="24"/>
                <w:szCs w:val="24"/>
                <w:color w:val="auto"/>
              </w:rPr>
            </w:pPr>
          </w:p>
        </w:tc>
      </w:tr>
      <w:tr>
        <w:trPr>
          <w:trHeight w:val="267"/>
        </w:trPr>
        <w:tc>
          <w:tcPr>
            <w:tcW w:w="40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Management and advisory contracts</w:t>
            </w:r>
          </w:p>
        </w:tc>
        <w:tc>
          <w:tcPr>
            <w:tcW w:w="120" w:type="dxa"/>
            <w:vAlign w:val="bottom"/>
            <w:shd w:val="clear" w:color="auto" w:fill="D4EEF4"/>
          </w:tcPr>
          <w:p>
            <w:pPr>
              <w:spacing w:after="0"/>
              <w:rPr>
                <w:sz w:val="23"/>
                <w:szCs w:val="23"/>
                <w:color w:val="auto"/>
              </w:rPr>
            </w:pPr>
          </w:p>
        </w:tc>
        <w:tc>
          <w:tcPr>
            <w:tcW w:w="180" w:type="dxa"/>
            <w:vAlign w:val="bottom"/>
            <w:shd w:val="clear" w:color="auto" w:fill="D4EEF4"/>
          </w:tcPr>
          <w:p>
            <w:pPr>
              <w:spacing w:after="0"/>
              <w:rPr>
                <w:sz w:val="23"/>
                <w:szCs w:val="23"/>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194,666</w:t>
            </w:r>
          </w:p>
        </w:tc>
        <w:tc>
          <w:tcPr>
            <w:tcW w:w="180" w:type="dxa"/>
            <w:vAlign w:val="bottom"/>
            <w:shd w:val="clear" w:color="auto" w:fill="D4EEF4"/>
          </w:tcPr>
          <w:p>
            <w:pPr>
              <w:spacing w:after="0"/>
              <w:rPr>
                <w:sz w:val="23"/>
                <w:szCs w:val="23"/>
                <w:color w:val="auto"/>
              </w:rPr>
            </w:pPr>
          </w:p>
        </w:tc>
        <w:tc>
          <w:tcPr>
            <w:tcW w:w="120" w:type="dxa"/>
            <w:vAlign w:val="bottom"/>
            <w:shd w:val="clear" w:color="auto" w:fill="D4EEF4"/>
          </w:tcPr>
          <w:p>
            <w:pPr>
              <w:spacing w:after="0"/>
              <w:rPr>
                <w:sz w:val="23"/>
                <w:szCs w:val="23"/>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(111,873)</w:t>
            </w:r>
          </w:p>
        </w:tc>
        <w:tc>
          <w:tcPr>
            <w:tcW w:w="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82,793</w:t>
            </w:r>
          </w:p>
        </w:tc>
        <w:tc>
          <w:tcPr>
            <w:tcW w:w="80" w:type="dxa"/>
            <w:vAlign w:val="bottom"/>
            <w:shd w:val="clear" w:color="auto" w:fill="D4EEF4"/>
          </w:tcPr>
          <w:p>
            <w:pPr>
              <w:spacing w:after="0"/>
              <w:rPr>
                <w:sz w:val="23"/>
                <w:szCs w:val="23"/>
                <w:color w:val="auto"/>
              </w:rPr>
            </w:pPr>
          </w:p>
        </w:tc>
      </w:tr>
      <w:tr>
        <w:trPr>
          <w:trHeight w:val="267"/>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80" w:type="dxa"/>
            <w:vAlign w:val="bottom"/>
          </w:tcPr>
          <w:p>
            <w:pPr>
              <w:spacing w:after="0"/>
              <w:rPr>
                <w:sz w:val="23"/>
                <w:szCs w:val="23"/>
                <w:color w:val="auto"/>
              </w:rPr>
            </w:pPr>
          </w:p>
        </w:tc>
      </w:tr>
      <w:tr>
        <w:trPr>
          <w:trHeight w:val="20"/>
        </w:trPr>
        <w:tc>
          <w:tcPr>
            <w:tcW w:w="4000" w:type="dxa"/>
            <w:vAlign w:val="bottom"/>
            <w:shd w:val="clear" w:color="auto" w:fill="D4EEF4"/>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r>
      <w:tr>
        <w:trPr>
          <w:trHeight w:val="247"/>
        </w:trPr>
        <w:tc>
          <w:tcPr>
            <w:tcW w:w="40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finite-lived intangible assets</w:t>
            </w:r>
          </w:p>
        </w:tc>
        <w:tc>
          <w:tcPr>
            <w:tcW w:w="12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225,286</w:t>
            </w:r>
          </w:p>
        </w:tc>
        <w:tc>
          <w:tcPr>
            <w:tcW w:w="18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(119,496)</w:t>
            </w:r>
          </w:p>
        </w:tc>
        <w:tc>
          <w:tcPr>
            <w:tcW w:w="8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105,790</w:t>
            </w:r>
          </w:p>
        </w:tc>
        <w:tc>
          <w:tcPr>
            <w:tcW w:w="80" w:type="dxa"/>
            <w:vAlign w:val="bottom"/>
            <w:shd w:val="clear" w:color="auto" w:fill="D4EEF4"/>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242,691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(119,496)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123,195</w:t>
            </w:r>
          </w:p>
        </w:tc>
        <w:tc>
          <w:tcPr>
            <w:tcW w:w="80" w:type="dxa"/>
            <w:vAlign w:val="bottom"/>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Management and advisory contracts and finite lived trade names are amortized over 7 - 16 years and are being amortized in line with the economic benefits that are expected to occur. Technology is amortized on a straight-line basis over 4 years. The amortization expense for each of the next five years and thereafter are as follows:</w:t>
      </w:r>
    </w:p>
    <w:p>
      <w:pPr>
        <w:spacing w:after="0" w:line="200" w:lineRule="exact"/>
        <w:rPr>
          <w:sz w:val="20"/>
          <w:szCs w:val="20"/>
          <w:color w:val="auto"/>
        </w:rPr>
      </w:pPr>
    </w:p>
    <w:p>
      <w:pPr>
        <w:spacing w:after="0" w:line="265" w:lineRule="exact"/>
        <w:rPr>
          <w:sz w:val="20"/>
          <w:szCs w:val="20"/>
          <w:color w:val="auto"/>
        </w:rPr>
      </w:pPr>
    </w:p>
    <w:tbl>
      <w:tblPr>
        <w:tblLayout w:type="fixed"/>
        <w:tblInd w:w="2020" w:type="dxa"/>
        <w:tblCellMar>
          <w:top w:w="0" w:type="dxa"/>
          <w:left w:w="0" w:type="dxa"/>
          <w:bottom w:w="0" w:type="dxa"/>
          <w:right w:w="0" w:type="dxa"/>
        </w:tblCellMar>
      </w:tblPr>
      <w:tr>
        <w:trPr>
          <w:trHeight w:val="244"/>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1"/>
                <w:szCs w:val="21"/>
                <w:color w:val="auto"/>
              </w:rPr>
            </w:pPr>
          </w:p>
        </w:tc>
        <w:tc>
          <w:tcPr>
            <w:tcW w:w="560" w:type="dxa"/>
            <w:vAlign w:val="bottom"/>
            <w:gridSpan w:val="2"/>
            <w:shd w:val="clear" w:color="auto" w:fill="D4EEF4"/>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21,271</w:t>
            </w:r>
          </w:p>
        </w:tc>
        <w:tc>
          <w:tcPr>
            <w:tcW w:w="4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13,309</w:t>
            </w:r>
          </w:p>
        </w:tc>
        <w:tc>
          <w:tcPr>
            <w:tcW w:w="4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7,743</w:t>
            </w:r>
          </w:p>
        </w:tc>
        <w:tc>
          <w:tcPr>
            <w:tcW w:w="4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amortization</w:t>
            </w:r>
          </w:p>
        </w:tc>
        <w:tc>
          <w:tcPr>
            <w:tcW w:w="20" w:type="dxa"/>
            <w:vAlign w:val="bottom"/>
            <w:vMerge w:val="continue"/>
          </w:tcPr>
          <w:p>
            <w:pPr>
              <w:spacing w:after="0"/>
              <w:rPr>
                <w:sz w:val="21"/>
                <w:szCs w:val="21"/>
                <w:color w:val="auto"/>
              </w:rPr>
            </w:pPr>
          </w:p>
        </w:tc>
        <w:tc>
          <w:tcPr>
            <w:tcW w:w="560" w:type="dxa"/>
            <w:vAlign w:val="bottom"/>
            <w:gridSpan w:val="2"/>
            <w:shd w:val="clear" w:color="auto" w:fill="D4EEF4"/>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80,184</w:t>
            </w:r>
          </w:p>
        </w:tc>
        <w:tc>
          <w:tcPr>
            <w:tcW w:w="4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20"/>
          </w:cols>
          <w:pgMar w:left="1080" w:top="696"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20"/>
          </w:cols>
          <w:pgMar w:left="1080" w:top="696" w:right="1140" w:bottom="175"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Instruments not recognized at Fair Value</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which are discussed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instruments not recognized at fair value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6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14"/>
                <w:szCs w:val="14"/>
                <w:color w:val="auto"/>
              </w:rPr>
              <w:t>Due from related party - Advisory Agreements</w:t>
            </w:r>
          </w:p>
        </w:tc>
        <w:tc>
          <w:tcPr>
            <w:tcW w:w="260" w:type="dxa"/>
            <w:vAlign w:val="bottom"/>
            <w:shd w:val="clear" w:color="auto" w:fill="D4EEF4"/>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68,010</w:t>
            </w:r>
          </w:p>
        </w:tc>
        <w:tc>
          <w:tcPr>
            <w:tcW w:w="3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42,529</w:t>
            </w:r>
          </w:p>
        </w:tc>
        <w:tc>
          <w:tcPr>
            <w:tcW w:w="460" w:type="dxa"/>
            <w:vAlign w:val="bottom"/>
            <w:gridSpan w:val="3"/>
            <w:shd w:val="clear" w:color="auto" w:fill="D4EEF4"/>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49,572</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49,572</w:t>
            </w:r>
          </w:p>
        </w:tc>
        <w:tc>
          <w:tcPr>
            <w:tcW w:w="12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D4EEF4"/>
          </w:tcPr>
          <w:p>
            <w:pPr>
              <w:spacing w:after="0"/>
              <w:rPr>
                <w:sz w:val="15"/>
                <w:szCs w:val="15"/>
                <w:color w:val="auto"/>
              </w:rPr>
            </w:pPr>
          </w:p>
        </w:tc>
        <w:tc>
          <w:tcPr>
            <w:tcW w:w="7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Note 12</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D4EEF4"/>
          </w:tcPr>
          <w:p>
            <w:pPr>
              <w:ind w:left="80"/>
              <w:spacing w:after="0"/>
              <w:rPr>
                <w:sz w:val="20"/>
                <w:szCs w:val="20"/>
                <w:color w:val="auto"/>
              </w:rPr>
            </w:pPr>
            <w:r>
              <w:rPr>
                <w:rFonts w:ascii="Times New Roman" w:cs="Times New Roman" w:eastAsia="Times New Roman" w:hAnsi="Times New Roman"/>
                <w:sz w:val="14"/>
                <w:szCs w:val="14"/>
                <w:color w:val="auto"/>
              </w:rPr>
              <w:t>Debt Obligations</w:t>
            </w:r>
          </w:p>
        </w:tc>
        <w:tc>
          <w:tcPr>
            <w:tcW w:w="260" w:type="dxa"/>
            <w:vAlign w:val="bottom"/>
            <w:shd w:val="clear" w:color="auto" w:fill="D4EEF4"/>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319,783</w:t>
            </w:r>
          </w:p>
        </w:tc>
        <w:tc>
          <w:tcPr>
            <w:tcW w:w="3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319,783</w:t>
            </w:r>
          </w:p>
        </w:tc>
        <w:tc>
          <w:tcPr>
            <w:tcW w:w="460" w:type="dxa"/>
            <w:vAlign w:val="bottom"/>
            <w:gridSpan w:val="3"/>
            <w:shd w:val="clear" w:color="auto" w:fill="D4EEF4"/>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289,844</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289,844</w:t>
            </w:r>
          </w:p>
        </w:tc>
        <w:tc>
          <w:tcPr>
            <w:tcW w:w="12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D4EEF4"/>
          </w:tcPr>
          <w:p>
            <w:pPr>
              <w:spacing w:after="0"/>
              <w:rPr>
                <w:sz w:val="15"/>
                <w:szCs w:val="15"/>
                <w:color w:val="auto"/>
              </w:rPr>
            </w:pPr>
          </w:p>
        </w:tc>
        <w:tc>
          <w:tcPr>
            <w:tcW w:w="70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Note 11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2024 and December 31, 2023, debt obligations' carrying value approximates fair value due to the recent market transaction executed and the variable rate feature of these obligations.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Earnouts associated with the acquisitions of Bonaccord and Hark</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Included in total consideration of the acquisition of Bonaccord is an earnout payment not to exceed $20 million. The amount ultimately owed to the sellers is based on achieving specific fundraising targets and any amounts paid to the sellers is required to be paid by October 2027, at which point the earnout expires. Payments are made after each close. As of December 31, 2024, the full $20.0 million earnout payment has been earned. The Company has paid $17.8 million since inception, of which $4.7 million was paid in the year ended December 31, 2024 and $5.8 million was paid in the year ended December 31, 2023. The remaining $2.2 million was paid on January 24, 2025. Total remeasurement expense recognized for the years ended December 31, 2024, 2023, and 2022 was $0.2 million, $0.5 million and $0.3 million, respectively. This is included in contingent consideration expense on the Consolidated Statements of Operations. As of December 31, 2024, with all contingent consideration for the acquisition of Bonaccord considered fully earned, the liability transfers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w:t>
      </w:r>
    </w:p>
    <w:p>
      <w:pPr>
        <w:spacing w:after="0" w:line="206"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Included in the total consideration of the acquisition of Hark is an earnout not to exceed $5.4 million. Total remeasurement expense recognized for the years ended December 31, 2024, 2023, and 2022 totaled $0, $0.1 million, and $1.5 million, respectively. This is included in contingent consideration expense on the Consolidated Statements of Operations. The entirety of the Hark contingent consideration of $5.4 million was paid during the year ended December 31, 2023.</w:t>
      </w:r>
    </w:p>
    <w:p>
      <w:pPr>
        <w:spacing w:after="0" w:line="197"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provides details regarding the classification of these liabilities within the fair value hierarchy as of the dates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3900" w:type="dxa"/>
            <w:vAlign w:val="bottom"/>
            <w:tcBorders>
              <w:bottom w:val="single" w:sz="8" w:color="D4EEF4"/>
            </w:tcBorders>
          </w:tcPr>
          <w:p>
            <w:pPr>
              <w:spacing w:after="0"/>
              <w:rPr>
                <w:sz w:val="20"/>
                <w:szCs w:val="20"/>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Level I</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D4EEF4"/>
            </w:tcBorders>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Level II</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D4EE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Level III</w:t>
            </w:r>
          </w:p>
        </w:tc>
        <w:tc>
          <w:tcPr>
            <w:tcW w:w="240" w:type="dxa"/>
            <w:vAlign w:val="bottom"/>
            <w:tcBorders>
              <w:bottom w:val="single" w:sz="8" w:color="D4EE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Borders>
              <w:bottom w:val="single" w:sz="8" w:color="D4EEF4"/>
            </w:tcBorders>
          </w:tcPr>
          <w:p>
            <w:pPr>
              <w:spacing w:after="0"/>
              <w:rPr>
                <w:sz w:val="20"/>
                <w:szCs w:val="20"/>
                <w:color w:val="auto"/>
              </w:rPr>
            </w:pPr>
          </w:p>
        </w:tc>
      </w:tr>
      <w:tr>
        <w:trPr>
          <w:trHeight w:val="234"/>
        </w:trPr>
        <w:tc>
          <w:tcPr>
            <w:tcW w:w="3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100" w:type="dxa"/>
            <w:vAlign w:val="bottom"/>
            <w:shd w:val="clear" w:color="auto" w:fill="D4EEF4"/>
          </w:tcPr>
          <w:p>
            <w:pPr>
              <w:spacing w:after="0"/>
              <w:rPr>
                <w:sz w:val="20"/>
                <w:szCs w:val="20"/>
                <w:color w:val="auto"/>
              </w:rPr>
            </w:pPr>
          </w:p>
        </w:tc>
        <w:tc>
          <w:tcPr>
            <w:tcW w:w="240" w:type="dxa"/>
            <w:vAlign w:val="bottom"/>
            <w:shd w:val="clear" w:color="auto" w:fill="D4EEF4"/>
          </w:tcPr>
          <w:p>
            <w:pPr>
              <w:spacing w:after="0"/>
              <w:rPr>
                <w:sz w:val="20"/>
                <w:szCs w:val="20"/>
                <w:color w:val="auto"/>
              </w:rPr>
            </w:pPr>
          </w:p>
        </w:tc>
        <w:tc>
          <w:tcPr>
            <w:tcW w:w="240" w:type="dxa"/>
            <w:vAlign w:val="bottom"/>
            <w:shd w:val="clear" w:color="auto" w:fill="D4EEF4"/>
          </w:tcPr>
          <w:p>
            <w:pPr>
              <w:spacing w:after="0"/>
              <w:rPr>
                <w:sz w:val="20"/>
                <w:szCs w:val="20"/>
                <w:color w:val="auto"/>
              </w:rPr>
            </w:pPr>
          </w:p>
        </w:tc>
        <w:tc>
          <w:tcPr>
            <w:tcW w:w="1120" w:type="dxa"/>
            <w:vAlign w:val="bottom"/>
            <w:shd w:val="clear" w:color="auto" w:fill="D4EEF4"/>
          </w:tcPr>
          <w:p>
            <w:pPr>
              <w:spacing w:after="0"/>
              <w:rPr>
                <w:sz w:val="20"/>
                <w:szCs w:val="20"/>
                <w:color w:val="auto"/>
              </w:rPr>
            </w:pPr>
          </w:p>
        </w:tc>
        <w:tc>
          <w:tcPr>
            <w:tcW w:w="220" w:type="dxa"/>
            <w:vAlign w:val="bottom"/>
            <w:shd w:val="clear" w:color="auto" w:fill="D4EEF4"/>
          </w:tcPr>
          <w:p>
            <w:pPr>
              <w:spacing w:after="0"/>
              <w:rPr>
                <w:sz w:val="20"/>
                <w:szCs w:val="20"/>
                <w:color w:val="auto"/>
              </w:rPr>
            </w:pPr>
          </w:p>
        </w:tc>
        <w:tc>
          <w:tcPr>
            <w:tcW w:w="240" w:type="dxa"/>
            <w:vAlign w:val="bottom"/>
            <w:shd w:val="clear" w:color="auto" w:fill="D4EEF4"/>
          </w:tcPr>
          <w:p>
            <w:pPr>
              <w:spacing w:after="0"/>
              <w:rPr>
                <w:sz w:val="20"/>
                <w:szCs w:val="20"/>
                <w:color w:val="auto"/>
              </w:rPr>
            </w:pPr>
          </w:p>
        </w:tc>
        <w:tc>
          <w:tcPr>
            <w:tcW w:w="200" w:type="dxa"/>
            <w:vAlign w:val="bottom"/>
            <w:shd w:val="clear" w:color="auto" w:fill="D4EEF4"/>
          </w:tcPr>
          <w:p>
            <w:pPr>
              <w:spacing w:after="0"/>
              <w:rPr>
                <w:sz w:val="20"/>
                <w:szCs w:val="20"/>
                <w:color w:val="auto"/>
              </w:rPr>
            </w:pPr>
          </w:p>
        </w:tc>
        <w:tc>
          <w:tcPr>
            <w:tcW w:w="1140" w:type="dxa"/>
            <w:vAlign w:val="bottom"/>
            <w:shd w:val="clear" w:color="auto" w:fill="D4EEF4"/>
          </w:tcPr>
          <w:p>
            <w:pPr>
              <w:spacing w:after="0"/>
              <w:rPr>
                <w:sz w:val="20"/>
                <w:szCs w:val="20"/>
                <w:color w:val="auto"/>
              </w:rPr>
            </w:pPr>
          </w:p>
        </w:tc>
        <w:tc>
          <w:tcPr>
            <w:tcW w:w="240" w:type="dxa"/>
            <w:vAlign w:val="bottom"/>
            <w:shd w:val="clear" w:color="auto" w:fill="D4EEF4"/>
          </w:tcPr>
          <w:p>
            <w:pPr>
              <w:spacing w:after="0"/>
              <w:rPr>
                <w:sz w:val="20"/>
                <w:szCs w:val="20"/>
                <w:color w:val="auto"/>
              </w:rPr>
            </w:pPr>
          </w:p>
        </w:tc>
        <w:tc>
          <w:tcPr>
            <w:tcW w:w="260" w:type="dxa"/>
            <w:vAlign w:val="bottom"/>
            <w:shd w:val="clear" w:color="auto" w:fill="D4EEF4"/>
          </w:tcPr>
          <w:p>
            <w:pPr>
              <w:spacing w:after="0"/>
              <w:rPr>
                <w:sz w:val="20"/>
                <w:szCs w:val="20"/>
                <w:color w:val="auto"/>
              </w:rPr>
            </w:pPr>
          </w:p>
        </w:tc>
        <w:tc>
          <w:tcPr>
            <w:tcW w:w="1080" w:type="dxa"/>
            <w:vAlign w:val="bottom"/>
            <w:shd w:val="clear" w:color="auto" w:fill="D4EEF4"/>
          </w:tcPr>
          <w:p>
            <w:pPr>
              <w:spacing w:after="0"/>
              <w:rPr>
                <w:sz w:val="20"/>
                <w:szCs w:val="20"/>
                <w:color w:val="auto"/>
              </w:rPr>
            </w:pPr>
          </w:p>
        </w:tc>
        <w:tc>
          <w:tcPr>
            <w:tcW w:w="100" w:type="dxa"/>
            <w:vAlign w:val="bottom"/>
            <w:shd w:val="clear" w:color="auto" w:fill="D4EEF4"/>
          </w:tcPr>
          <w:p>
            <w:pPr>
              <w:spacing w:after="0"/>
              <w:rPr>
                <w:sz w:val="20"/>
                <w:szCs w:val="20"/>
                <w:color w:val="auto"/>
              </w:rPr>
            </w:pPr>
          </w:p>
        </w:tc>
      </w:tr>
      <w:tr>
        <w:trPr>
          <w:trHeight w:val="244"/>
        </w:trPr>
        <w:tc>
          <w:tcPr>
            <w:tcW w:w="390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Contingent consideration obligation</w:t>
            </w:r>
          </w:p>
        </w:tc>
        <w:tc>
          <w:tcPr>
            <w:tcW w:w="110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4EEF4"/>
            </w:tcBorders>
          </w:tcPr>
          <w:p>
            <w:pPr>
              <w:spacing w:after="0"/>
              <w:rPr>
                <w:sz w:val="21"/>
                <w:szCs w:val="21"/>
                <w:color w:val="auto"/>
              </w:rPr>
            </w:pPr>
          </w:p>
        </w:tc>
        <w:tc>
          <w:tcPr>
            <w:tcW w:w="112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4EEF4"/>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240" w:type="dxa"/>
            <w:vAlign w:val="bottom"/>
            <w:tcBorders>
              <w:bottom w:val="single" w:sz="8" w:color="D4EEF4"/>
            </w:tcBorders>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tcBorders>
              <w:bottom w:val="single" w:sz="8" w:color="D4EEF4"/>
            </w:tcBorders>
          </w:tcPr>
          <w:p>
            <w:pPr>
              <w:spacing w:after="0"/>
              <w:rPr>
                <w:sz w:val="21"/>
                <w:szCs w:val="21"/>
                <w:color w:val="auto"/>
              </w:rPr>
            </w:pPr>
          </w:p>
        </w:tc>
      </w:tr>
      <w:tr>
        <w:trPr>
          <w:trHeight w:val="234"/>
        </w:trPr>
        <w:tc>
          <w:tcPr>
            <w:tcW w:w="3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1100" w:type="dxa"/>
            <w:vAlign w:val="bottom"/>
            <w:tcBorders>
              <w:bottom w:val="single" w:sz="8" w:color="auto"/>
            </w:tcBorders>
            <w:shd w:val="clear" w:color="auto" w:fill="D4EEF4"/>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20"/>
                <w:szCs w:val="20"/>
                <w:color w:val="auto"/>
              </w:rPr>
            </w:pPr>
          </w:p>
        </w:tc>
        <w:tc>
          <w:tcPr>
            <w:tcW w:w="1120" w:type="dxa"/>
            <w:vAlign w:val="bottom"/>
            <w:tcBorders>
              <w:bottom w:val="single" w:sz="8" w:color="auto"/>
            </w:tcBorders>
            <w:shd w:val="clear" w:color="auto" w:fill="D4EEF4"/>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20"/>
                <w:szCs w:val="20"/>
                <w:color w:val="auto"/>
              </w:rPr>
            </w:pPr>
          </w:p>
        </w:tc>
        <w:tc>
          <w:tcPr>
            <w:tcW w:w="2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240" w:type="dxa"/>
            <w:vAlign w:val="bottom"/>
            <w:shd w:val="clear" w:color="auto" w:fill="D4EEF4"/>
          </w:tcPr>
          <w:p>
            <w:pPr>
              <w:spacing w:after="0"/>
              <w:rPr>
                <w:sz w:val="20"/>
                <w:szCs w:val="20"/>
                <w:color w:val="auto"/>
              </w:rPr>
            </w:pPr>
          </w:p>
        </w:tc>
        <w:tc>
          <w:tcPr>
            <w:tcW w:w="260" w:type="dxa"/>
            <w:vAlign w:val="bottom"/>
            <w:tcBorders>
              <w:bottom w:val="single" w:sz="8" w:color="auto"/>
            </w:tcBorders>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shd w:val="clear" w:color="auto" w:fill="D4EEF4"/>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auto"/>
        </w:rPr>
        <w:t>For the liabilities presented in the table above, there were no changes in fair value hierarchy levels during the year ended December 31, 2023.</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696" w:right="1080" w:bottom="175"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changes in the fair value of Level III financial instruments are set forth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6"/>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For the Year Ended</w:t>
            </w:r>
          </w:p>
        </w:tc>
      </w:tr>
      <w:tr>
        <w:trPr>
          <w:trHeight w:val="253"/>
        </w:trPr>
        <w:tc>
          <w:tcPr>
            <w:tcW w:w="7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Contingent Consideration Liability</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7060" w:type="dxa"/>
            <w:vAlign w:val="bottom"/>
            <w:tcBorders>
              <w:bottom w:val="single" w:sz="8" w:color="D4EEF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bottom w:val="single" w:sz="8" w:color="D4EEF4"/>
            </w:tcBorders>
          </w:tcPr>
          <w:p>
            <w:pPr>
              <w:spacing w:after="0"/>
              <w:rPr>
                <w:sz w:val="20"/>
                <w:szCs w:val="20"/>
                <w:color w:val="auto"/>
              </w:rPr>
            </w:pPr>
          </w:p>
        </w:tc>
        <w:tc>
          <w:tcPr>
            <w:tcW w:w="100" w:type="dxa"/>
            <w:vAlign w:val="bottom"/>
            <w:tcBorders>
              <w:bottom w:val="single" w:sz="8" w:color="D4EEF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w w:val="94"/>
              </w:rPr>
              <w:t>2023</w:t>
            </w:r>
          </w:p>
        </w:tc>
        <w:tc>
          <w:tcPr>
            <w:tcW w:w="100" w:type="dxa"/>
            <w:vAlign w:val="bottom"/>
            <w:tcBorders>
              <w:bottom w:val="single" w:sz="8" w:color="D4EEF4"/>
            </w:tcBorders>
          </w:tcPr>
          <w:p>
            <w:pPr>
              <w:spacing w:after="0"/>
              <w:rPr>
                <w:sz w:val="20"/>
                <w:szCs w:val="20"/>
                <w:color w:val="auto"/>
              </w:rPr>
            </w:pPr>
          </w:p>
        </w:tc>
      </w:tr>
      <w:tr>
        <w:trPr>
          <w:trHeight w:val="234"/>
        </w:trPr>
        <w:tc>
          <w:tcPr>
            <w:tcW w:w="70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Balance, beginning of year:</w:t>
            </w:r>
          </w:p>
        </w:tc>
        <w:tc>
          <w:tcPr>
            <w:tcW w:w="280" w:type="dxa"/>
            <w:vAlign w:val="bottom"/>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40" w:type="dxa"/>
            <w:vAlign w:val="bottom"/>
            <w:shd w:val="clear" w:color="auto" w:fill="D4EEF4"/>
          </w:tcPr>
          <w:p>
            <w:pPr>
              <w:spacing w:after="0"/>
              <w:rPr>
                <w:sz w:val="20"/>
                <w:szCs w:val="20"/>
                <w:color w:val="auto"/>
              </w:rPr>
            </w:pPr>
          </w:p>
        </w:tc>
        <w:tc>
          <w:tcPr>
            <w:tcW w:w="100" w:type="dxa"/>
            <w:vAlign w:val="bottom"/>
            <w:shd w:val="clear" w:color="auto" w:fill="D4EEF4"/>
          </w:tcPr>
          <w:p>
            <w:pPr>
              <w:spacing w:after="0"/>
              <w:rPr>
                <w:sz w:val="20"/>
                <w:szCs w:val="20"/>
                <w:color w:val="auto"/>
              </w:rPr>
            </w:pPr>
          </w:p>
        </w:tc>
        <w:tc>
          <w:tcPr>
            <w:tcW w:w="460" w:type="dxa"/>
            <w:vAlign w:val="bottom"/>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100" w:type="dxa"/>
            <w:vAlign w:val="bottom"/>
            <w:shd w:val="clear" w:color="auto" w:fill="D4EEF4"/>
          </w:tcPr>
          <w:p>
            <w:pPr>
              <w:spacing w:after="0"/>
              <w:rPr>
                <w:sz w:val="20"/>
                <w:szCs w:val="20"/>
                <w:color w:val="auto"/>
              </w:rPr>
            </w:pPr>
          </w:p>
        </w:tc>
      </w:tr>
      <w:tr>
        <w:trPr>
          <w:trHeight w:val="244"/>
        </w:trPr>
        <w:tc>
          <w:tcPr>
            <w:tcW w:w="7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Change in fair value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00" w:type="dxa"/>
            <w:vAlign w:val="bottom"/>
          </w:tcPr>
          <w:p>
            <w:pPr>
              <w:spacing w:after="0"/>
              <w:rPr>
                <w:sz w:val="21"/>
                <w:szCs w:val="21"/>
                <w:color w:val="auto"/>
              </w:rPr>
            </w:pPr>
          </w:p>
        </w:tc>
      </w:tr>
      <w:tr>
        <w:trPr>
          <w:trHeight w:val="244"/>
        </w:trPr>
        <w:tc>
          <w:tcPr>
            <w:tcW w:w="7060" w:type="dxa"/>
            <w:vAlign w:val="bottom"/>
            <w:shd w:val="clear" w:color="auto" w:fill="D4EEF4"/>
          </w:tcPr>
          <w:p>
            <w:pPr>
              <w:ind w:left="260"/>
              <w:spacing w:after="0"/>
              <w:rPr>
                <w:sz w:val="20"/>
                <w:szCs w:val="20"/>
                <w:color w:val="auto"/>
              </w:rPr>
            </w:pPr>
            <w:r>
              <w:rPr>
                <w:rFonts w:ascii="Times New Roman" w:cs="Times New Roman" w:eastAsia="Times New Roman" w:hAnsi="Times New Roman"/>
                <w:sz w:val="20"/>
                <w:szCs w:val="20"/>
                <w:color w:val="auto"/>
              </w:rPr>
              <w:t>Settlements</w:t>
            </w:r>
          </w:p>
        </w:tc>
        <w:tc>
          <w:tcPr>
            <w:tcW w:w="280" w:type="dxa"/>
            <w:vAlign w:val="bottom"/>
            <w:shd w:val="clear" w:color="auto" w:fill="D4EEF4"/>
          </w:tcPr>
          <w:p>
            <w:pPr>
              <w:spacing w:after="0"/>
              <w:rPr>
                <w:sz w:val="21"/>
                <w:szCs w:val="21"/>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(2,565)</w:t>
            </w:r>
          </w:p>
        </w:tc>
        <w:tc>
          <w:tcPr>
            <w:tcW w:w="14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9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(11,204)</w:t>
            </w:r>
          </w:p>
        </w:tc>
      </w:tr>
      <w:tr>
        <w:trPr>
          <w:trHeight w:val="244"/>
        </w:trPr>
        <w:tc>
          <w:tcPr>
            <w:tcW w:w="7060" w:type="dxa"/>
            <w:vAlign w:val="bottom"/>
            <w:tcBorders>
              <w:bottom w:val="single" w:sz="8" w:color="D4EEF4"/>
            </w:tcBorders>
          </w:tcPr>
          <w:p>
            <w:pPr>
              <w:ind w:left="260"/>
              <w:spacing w:after="0"/>
              <w:rPr>
                <w:sz w:val="20"/>
                <w:szCs w:val="20"/>
                <w:color w:val="auto"/>
              </w:rPr>
            </w:pPr>
            <w:r>
              <w:rPr>
                <w:rFonts w:ascii="Times New Roman" w:cs="Times New Roman" w:eastAsia="Times New Roman" w:hAnsi="Times New Roman"/>
                <w:sz w:val="20"/>
                <w:szCs w:val="20"/>
                <w:color w:val="auto"/>
              </w:rPr>
              <w:t>Transfers out of level 3 measurement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(4,288)</w:t>
            </w:r>
          </w:p>
        </w:tc>
        <w:tc>
          <w:tcPr>
            <w:tcW w:w="140" w:type="dxa"/>
            <w:vAlign w:val="bottom"/>
            <w:tcBorders>
              <w:bottom w:val="single" w:sz="8" w:color="D4EEF4"/>
            </w:tcBorders>
          </w:tcPr>
          <w:p>
            <w:pPr>
              <w:spacing w:after="0"/>
              <w:rPr>
                <w:sz w:val="21"/>
                <w:szCs w:val="21"/>
                <w:color w:val="auto"/>
              </w:rPr>
            </w:pPr>
          </w:p>
        </w:tc>
        <w:tc>
          <w:tcPr>
            <w:tcW w:w="100" w:type="dxa"/>
            <w:vAlign w:val="bottom"/>
            <w:tcBorders>
              <w:bottom w:val="single" w:sz="8" w:color="D4EEF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EF4"/>
            </w:tcBorders>
          </w:tcPr>
          <w:p>
            <w:pPr>
              <w:spacing w:after="0"/>
              <w:rPr>
                <w:sz w:val="21"/>
                <w:szCs w:val="21"/>
                <w:color w:val="auto"/>
              </w:rPr>
            </w:pPr>
          </w:p>
        </w:tc>
      </w:tr>
      <w:tr>
        <w:trPr>
          <w:trHeight w:val="234"/>
        </w:trPr>
        <w:tc>
          <w:tcPr>
            <w:tcW w:w="70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280" w:type="dxa"/>
            <w:vAlign w:val="bottom"/>
            <w:tcBorders>
              <w:bottom w:val="single" w:sz="8" w:color="auto"/>
            </w:tcBorders>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20"/>
                <w:szCs w:val="20"/>
                <w:color w:val="auto"/>
              </w:rPr>
            </w:pPr>
          </w:p>
        </w:tc>
        <w:tc>
          <w:tcPr>
            <w:tcW w:w="100" w:type="dxa"/>
            <w:vAlign w:val="bottom"/>
            <w:shd w:val="clear" w:color="auto" w:fill="D4EEF4"/>
          </w:tcPr>
          <w:p>
            <w:pPr>
              <w:spacing w:after="0"/>
              <w:rPr>
                <w:sz w:val="20"/>
                <w:szCs w:val="20"/>
                <w:color w:val="auto"/>
              </w:rPr>
            </w:pPr>
          </w:p>
        </w:tc>
        <w:tc>
          <w:tcPr>
            <w:tcW w:w="460" w:type="dxa"/>
            <w:vAlign w:val="bottom"/>
            <w:tcBorders>
              <w:bottom w:val="single" w:sz="8" w:color="auto"/>
            </w:tcBorders>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shd w:val="clear" w:color="auto" w:fill="D4EEF4"/>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80" w:firstLine="720"/>
        <w:spacing w:after="0" w:line="247" w:lineRule="auto"/>
        <w:rPr>
          <w:sz w:val="20"/>
          <w:szCs w:val="20"/>
          <w:color w:val="auto"/>
        </w:rPr>
      </w:pPr>
      <w:r>
        <w:rPr>
          <w:rFonts w:ascii="Times New Roman" w:cs="Times New Roman" w:eastAsia="Times New Roman" w:hAnsi="Times New Roman"/>
          <w:sz w:val="20"/>
          <w:szCs w:val="20"/>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Debt Obligations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Debt obligations consists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98"/>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Revolver facility</w:t>
            </w:r>
          </w:p>
        </w:tc>
        <w:tc>
          <w:tcPr>
            <w:tcW w:w="20" w:type="dxa"/>
            <w:vAlign w:val="bottom"/>
            <w:vMerge w:val="continue"/>
          </w:tcPr>
          <w:p>
            <w:pPr>
              <w:spacing w:after="0"/>
              <w:rPr>
                <w:sz w:val="21"/>
                <w:szCs w:val="21"/>
                <w:color w:val="auto"/>
              </w:rPr>
            </w:pPr>
          </w:p>
        </w:tc>
        <w:tc>
          <w:tcPr>
            <w:tcW w:w="280" w:type="dxa"/>
            <w:vAlign w:val="bottom"/>
            <w:tcBorders>
              <w:left w:val="single" w:sz="8" w:color="D4EEF4"/>
            </w:tcBorders>
            <w:shd w:val="clear" w:color="auto" w:fill="D4EEF4"/>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D4EEF4"/>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90,700</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0" w:type="dxa"/>
            <w:vAlign w:val="bottom"/>
          </w:tcPr>
          <w:p>
            <w:pPr>
              <w:spacing w:after="0"/>
              <w:rPr>
                <w:sz w:val="1"/>
                <w:szCs w:val="1"/>
                <w:color w:val="auto"/>
              </w:rPr>
            </w:pPr>
          </w:p>
        </w:tc>
      </w:tr>
      <w:tr>
        <w:trPr>
          <w:trHeight w:val="234"/>
        </w:trPr>
        <w:tc>
          <w:tcPr>
            <w:tcW w:w="472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Revolver facility, net</w:t>
            </w:r>
          </w:p>
        </w:tc>
        <w:tc>
          <w:tcPr>
            <w:tcW w:w="20" w:type="dxa"/>
            <w:vAlign w:val="bottom"/>
          </w:tcPr>
          <w:p>
            <w:pPr>
              <w:spacing w:after="0"/>
              <w:rPr>
                <w:sz w:val="20"/>
                <w:szCs w:val="20"/>
                <w:color w:val="auto"/>
              </w:rPr>
            </w:pPr>
          </w:p>
        </w:tc>
        <w:tc>
          <w:tcPr>
            <w:tcW w:w="280" w:type="dxa"/>
            <w:vAlign w:val="bottom"/>
            <w:tcBorders>
              <w:top w:val="single" w:sz="8" w:color="auto"/>
              <w:left w:val="single" w:sz="8" w:color="D4EEF4"/>
              <w:bottom w:val="single" w:sz="8" w:color="auto"/>
            </w:tcBorders>
            <w:shd w:val="clear" w:color="auto" w:fill="D4EEF4"/>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(3,308</w:t>
            </w:r>
          </w:p>
        </w:tc>
        <w:tc>
          <w:tcPr>
            <w:tcW w:w="120" w:type="dxa"/>
            <w:vAlign w:val="bottom"/>
            <w:tcBorders>
              <w:top w:val="single" w:sz="8" w:color="D4EEF4"/>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Borders>
              <w:top w:val="single" w:sz="8" w:color="D4EEF4"/>
            </w:tcBorders>
            <w:shd w:val="clear" w:color="auto" w:fill="D4EEF4"/>
          </w:tcPr>
          <w:p>
            <w:pPr>
              <w:spacing w:after="0"/>
              <w:rPr>
                <w:sz w:val="20"/>
                <w:szCs w:val="20"/>
                <w:color w:val="auto"/>
              </w:rPr>
            </w:pPr>
          </w:p>
        </w:tc>
        <w:tc>
          <w:tcPr>
            <w:tcW w:w="200" w:type="dxa"/>
            <w:vAlign w:val="bottom"/>
            <w:tcBorders>
              <w:top w:val="single" w:sz="8" w:color="auto"/>
              <w:bottom w:val="single" w:sz="8" w:color="auto"/>
            </w:tcBorders>
            <w:shd w:val="clear" w:color="auto" w:fill="D4EEF4"/>
          </w:tcPr>
          <w:p>
            <w:pPr>
              <w:jc w:val="right"/>
              <w:ind w:right="5"/>
              <w:spacing w:after="0"/>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88,852</w:t>
            </w:r>
          </w:p>
        </w:tc>
        <w:tc>
          <w:tcPr>
            <w:tcW w:w="80" w:type="dxa"/>
            <w:vAlign w:val="bottom"/>
            <w:tcBorders>
              <w:top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Term Loan</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325,000</w:t>
            </w:r>
          </w:p>
        </w:tc>
        <w:tc>
          <w:tcPr>
            <w:tcW w:w="120" w:type="dxa"/>
            <w:vAlign w:val="bottom"/>
          </w:tcPr>
          <w:p>
            <w:pPr>
              <w:spacing w:after="0"/>
              <w:rPr>
                <w:sz w:val="24"/>
                <w:szCs w:val="24"/>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20" w:type="dxa"/>
            <w:vAlign w:val="bottom"/>
          </w:tcPr>
          <w:p>
            <w:pPr>
              <w:spacing w:after="0"/>
              <w:rPr>
                <w:sz w:val="21"/>
                <w:szCs w:val="21"/>
                <w:color w:val="auto"/>
              </w:rPr>
            </w:pPr>
          </w:p>
        </w:tc>
        <w:tc>
          <w:tcPr>
            <w:tcW w:w="280" w:type="dxa"/>
            <w:vAlign w:val="bottom"/>
            <w:tcBorders>
              <w:left w:val="single" w:sz="8" w:color="D4EEF4"/>
            </w:tcBorders>
            <w:shd w:val="clear" w:color="auto" w:fill="D4EEF4"/>
          </w:tcPr>
          <w:p>
            <w:pPr>
              <w:spacing w:after="0"/>
              <w:rPr>
                <w:sz w:val="21"/>
                <w:szCs w:val="21"/>
                <w:color w:val="auto"/>
              </w:rPr>
            </w:pPr>
          </w:p>
        </w:tc>
        <w:tc>
          <w:tcPr>
            <w:tcW w:w="9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6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8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Term loan, net</w:t>
            </w: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323,091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debt obligations, net</w:t>
            </w:r>
          </w:p>
        </w:tc>
        <w:tc>
          <w:tcPr>
            <w:tcW w:w="20" w:type="dxa"/>
            <w:vAlign w:val="bottom"/>
          </w:tcPr>
          <w:p>
            <w:pPr>
              <w:spacing w:after="0"/>
              <w:rPr>
                <w:sz w:val="20"/>
                <w:szCs w:val="20"/>
                <w:color w:val="auto"/>
              </w:rPr>
            </w:pPr>
          </w:p>
        </w:tc>
        <w:tc>
          <w:tcPr>
            <w:tcW w:w="280" w:type="dxa"/>
            <w:vAlign w:val="bottom"/>
            <w:tcBorders>
              <w:top w:val="single" w:sz="8" w:color="auto"/>
              <w:left w:val="single" w:sz="8" w:color="D4EEF4"/>
              <w:bottom w:val="single" w:sz="8" w:color="auto"/>
            </w:tcBorders>
            <w:shd w:val="clear" w:color="auto" w:fill="D4EEF4"/>
          </w:tcPr>
          <w:p>
            <w:pPr>
              <w:jc w:val="right"/>
              <w:ind w:right="24"/>
              <w:spacing w:after="0"/>
              <w:rPr>
                <w:sz w:val="20"/>
                <w:szCs w:val="20"/>
                <w:color w:val="auto"/>
              </w:rPr>
            </w:pPr>
            <w:r>
              <w:rPr>
                <w:rFonts w:ascii="Times New Roman" w:cs="Times New Roman" w:eastAsia="Times New Roman" w:hAnsi="Times New Roman"/>
                <w:sz w:val="20"/>
                <w:szCs w:val="20"/>
                <w:color w:val="auto"/>
                <w:shd w:val="clear" w:color="auto" w:fill="D4EEF4"/>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319,783</w:t>
            </w:r>
          </w:p>
        </w:tc>
        <w:tc>
          <w:tcPr>
            <w:tcW w:w="120" w:type="dxa"/>
            <w:vAlign w:val="bottom"/>
            <w:tcBorders>
              <w:top w:val="single" w:sz="8" w:color="D4EEF4"/>
            </w:tcBorders>
            <w:shd w:val="clear" w:color="auto" w:fill="D4EEF4"/>
          </w:tcPr>
          <w:p>
            <w:pPr>
              <w:spacing w:after="0"/>
              <w:rPr>
                <w:sz w:val="20"/>
                <w:szCs w:val="20"/>
                <w:color w:val="auto"/>
              </w:rPr>
            </w:pPr>
          </w:p>
        </w:tc>
        <w:tc>
          <w:tcPr>
            <w:tcW w:w="60" w:type="dxa"/>
            <w:vAlign w:val="bottom"/>
            <w:tcBorders>
              <w:top w:val="single" w:sz="8" w:color="D4EEF4"/>
            </w:tcBorders>
            <w:shd w:val="clear" w:color="auto" w:fill="D4EEF4"/>
          </w:tcPr>
          <w:p>
            <w:pPr>
              <w:spacing w:after="0"/>
              <w:rPr>
                <w:sz w:val="20"/>
                <w:szCs w:val="20"/>
                <w:color w:val="auto"/>
              </w:rPr>
            </w:pPr>
          </w:p>
        </w:tc>
        <w:tc>
          <w:tcPr>
            <w:tcW w:w="200" w:type="dxa"/>
            <w:vAlign w:val="bottom"/>
            <w:tcBorders>
              <w:top w:val="single" w:sz="8" w:color="auto"/>
              <w:bottom w:val="single" w:sz="8" w:color="auto"/>
            </w:tcBorders>
            <w:shd w:val="clear" w:color="auto" w:fill="D4EEF4"/>
          </w:tcPr>
          <w:p>
            <w:pPr>
              <w:jc w:val="right"/>
              <w:ind w:right="5"/>
              <w:spacing w:after="0"/>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top w:val="single" w:sz="8" w:color="auto"/>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289,844</w:t>
            </w:r>
          </w:p>
        </w:tc>
        <w:tc>
          <w:tcPr>
            <w:tcW w:w="80" w:type="dxa"/>
            <w:vAlign w:val="bottom"/>
            <w:tcBorders>
              <w:top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Revolving Credit Facility and Term Loan</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"New Credit Facilities"). The New Credit Facilities were used to refinance and replace the credit facilities under the Credit Agreement and for general corporate purposes, including acquisitions.</w:t>
      </w:r>
    </w:p>
    <w:p>
      <w:pPr>
        <w:spacing w:after="0" w:line="203"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Revolver Facility and one, three, or six months for the New</w:t>
      </w:r>
    </w:p>
    <w:p>
      <w:pPr>
        <w:sectPr>
          <w:pgSz w:w="12240" w:h="15840" w:orient="portrait"/>
          <w:cols w:equalWidth="0" w:num="1">
            <w:col w:w="10080"/>
          </w:cols>
          <w:pgMar w:left="1080" w:top="696" w:right="1080" w:bottom="175"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80"/>
          </w:cols>
          <w:pgMar w:left="1080" w:top="696" w:right="1080" w:bottom="175"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Term Loan, which the Company elected a six-month SOFR rate on the New Term Loan. Principal for the New Term Loan is contractually repaid at a rate of 1.25% on the New Term Loan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20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The Amended and Restated Credit Agreement contains affirmative and negative covenants typical of such financing transactions, and specific financial covenants which require P10 to maintain a minimum leverage ratio. As of December 31, 2024, P10 was in compliance with its financial and other covenants required under the facility. For the years ended December 31, 2024, 2023, and 2022, $24.1 million, $20.4 million, and $8.4 million of interest expense was incurred,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Payable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Future principal maturities of debt as of December 31, 2024 are as follows:</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3900" w:type="dxa"/>
            <w:vAlign w:val="bottom"/>
            <w:shd w:val="clear" w:color="auto" w:fill="D4EEF4"/>
          </w:tcPr>
          <w:p>
            <w:pPr>
              <w:jc w:val="right"/>
              <w:ind w:right="3400"/>
              <w:spacing w:after="0"/>
              <w:rPr>
                <w:sz w:val="20"/>
                <w:szCs w:val="20"/>
                <w:color w:val="auto"/>
              </w:rPr>
            </w:pPr>
            <w:r>
              <w:rPr>
                <w:rFonts w:ascii="Times New Roman" w:cs="Times New Roman" w:eastAsia="Times New Roman" w:hAnsi="Times New Roman"/>
                <w:sz w:val="20"/>
                <w:szCs w:val="20"/>
                <w:color w:val="auto"/>
                <w:w w:val="94"/>
              </w:rPr>
              <w:t>2025</w:t>
            </w:r>
          </w:p>
        </w:tc>
        <w:tc>
          <w:tcPr>
            <w:tcW w:w="840" w:type="dxa"/>
            <w:vAlign w:val="bottom"/>
            <w:gridSpan w:val="3"/>
            <w:shd w:val="clear" w:color="auto" w:fill="D4EEF4"/>
          </w:tcPr>
          <w:p>
            <w:pPr>
              <w:jc w:val="right"/>
              <w:ind w:right="515"/>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4,063</w:t>
            </w:r>
          </w:p>
        </w:tc>
        <w:tc>
          <w:tcPr>
            <w:tcW w:w="40" w:type="dxa"/>
            <w:vAlign w:val="bottom"/>
            <w:shd w:val="clear" w:color="auto" w:fill="D4EEF4"/>
          </w:tcPr>
          <w:p>
            <w:pPr>
              <w:spacing w:after="0"/>
              <w:rPr>
                <w:sz w:val="19"/>
                <w:szCs w:val="19"/>
                <w:color w:val="auto"/>
              </w:rPr>
            </w:pPr>
          </w:p>
        </w:tc>
      </w:tr>
      <w:tr>
        <w:trPr>
          <w:trHeight w:val="230"/>
        </w:trPr>
        <w:tc>
          <w:tcPr>
            <w:tcW w:w="3900" w:type="dxa"/>
            <w:vAlign w:val="bottom"/>
          </w:tcPr>
          <w:p>
            <w:pPr>
              <w:jc w:val="right"/>
              <w:ind w:right="3400"/>
              <w:spacing w:after="0"/>
              <w:rPr>
                <w:sz w:val="20"/>
                <w:szCs w:val="20"/>
                <w:color w:val="auto"/>
              </w:rPr>
            </w:pPr>
            <w:r>
              <w:rPr>
                <w:rFonts w:ascii="Times New Roman" w:cs="Times New Roman" w:eastAsia="Times New Roman" w:hAnsi="Times New Roman"/>
                <w:sz w:val="20"/>
                <w:szCs w:val="20"/>
                <w:color w:val="auto"/>
                <w:w w:val="94"/>
              </w:rPr>
              <w:t>2026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16,250</w:t>
            </w:r>
          </w:p>
        </w:tc>
        <w:tc>
          <w:tcPr>
            <w:tcW w:w="40" w:type="dxa"/>
            <w:vAlign w:val="bottom"/>
          </w:tcPr>
          <w:p>
            <w:pPr>
              <w:spacing w:after="0"/>
              <w:rPr>
                <w:sz w:val="19"/>
                <w:szCs w:val="19"/>
                <w:color w:val="auto"/>
              </w:rPr>
            </w:pPr>
          </w:p>
        </w:tc>
      </w:tr>
      <w:tr>
        <w:trPr>
          <w:trHeight w:val="230"/>
        </w:trPr>
        <w:tc>
          <w:tcPr>
            <w:tcW w:w="3900" w:type="dxa"/>
            <w:vAlign w:val="bottom"/>
            <w:shd w:val="clear" w:color="auto" w:fill="D4EEF4"/>
          </w:tcPr>
          <w:p>
            <w:pPr>
              <w:jc w:val="right"/>
              <w:ind w:right="3400"/>
              <w:spacing w:after="0"/>
              <w:rPr>
                <w:sz w:val="20"/>
                <w:szCs w:val="20"/>
                <w:color w:val="auto"/>
              </w:rPr>
            </w:pPr>
            <w:r>
              <w:rPr>
                <w:rFonts w:ascii="Times New Roman" w:cs="Times New Roman" w:eastAsia="Times New Roman" w:hAnsi="Times New Roman"/>
                <w:sz w:val="20"/>
                <w:szCs w:val="20"/>
                <w:color w:val="auto"/>
                <w:w w:val="94"/>
              </w:rPr>
              <w:t>2027</w:t>
            </w:r>
          </w:p>
        </w:tc>
        <w:tc>
          <w:tcPr>
            <w:tcW w:w="14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680" w:type="dxa"/>
            <w:vAlign w:val="bottom"/>
            <w:shd w:val="clear" w:color="auto" w:fill="D4EEF4"/>
          </w:tcPr>
          <w:p>
            <w:pPr>
              <w:spacing w:after="0"/>
              <w:rPr>
                <w:sz w:val="19"/>
                <w:szCs w:val="19"/>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16,250</w:t>
            </w:r>
          </w:p>
        </w:tc>
        <w:tc>
          <w:tcPr>
            <w:tcW w:w="40" w:type="dxa"/>
            <w:vAlign w:val="bottom"/>
            <w:shd w:val="clear" w:color="auto" w:fill="D4EEF4"/>
          </w:tcPr>
          <w:p>
            <w:pPr>
              <w:spacing w:after="0"/>
              <w:rPr>
                <w:sz w:val="19"/>
                <w:szCs w:val="19"/>
                <w:color w:val="auto"/>
              </w:rPr>
            </w:pPr>
          </w:p>
        </w:tc>
      </w:tr>
      <w:tr>
        <w:trPr>
          <w:trHeight w:val="230"/>
        </w:trPr>
        <w:tc>
          <w:tcPr>
            <w:tcW w:w="3900" w:type="dxa"/>
            <w:vAlign w:val="bottom"/>
          </w:tcPr>
          <w:p>
            <w:pPr>
              <w:jc w:val="right"/>
              <w:ind w:right="3400"/>
              <w:spacing w:after="0"/>
              <w:rPr>
                <w:sz w:val="20"/>
                <w:szCs w:val="20"/>
                <w:color w:val="auto"/>
              </w:rPr>
            </w:pPr>
            <w:r>
              <w:rPr>
                <w:rFonts w:ascii="Times New Roman" w:cs="Times New Roman" w:eastAsia="Times New Roman" w:hAnsi="Times New Roman"/>
                <w:sz w:val="20"/>
                <w:szCs w:val="20"/>
                <w:color w:val="auto"/>
                <w:w w:val="94"/>
              </w:rPr>
              <w:t>2028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288,437</w:t>
            </w:r>
          </w:p>
        </w:tc>
        <w:tc>
          <w:tcPr>
            <w:tcW w:w="40" w:type="dxa"/>
            <w:vAlign w:val="bottom"/>
          </w:tcPr>
          <w:p>
            <w:pPr>
              <w:spacing w:after="0"/>
              <w:rPr>
                <w:sz w:val="19"/>
                <w:szCs w:val="19"/>
                <w:color w:val="auto"/>
              </w:rPr>
            </w:pPr>
          </w:p>
        </w:tc>
      </w:tr>
      <w:tr>
        <w:trPr>
          <w:trHeight w:val="220"/>
        </w:trPr>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325,000</w:t>
            </w:r>
          </w:p>
        </w:tc>
        <w:tc>
          <w:tcPr>
            <w:tcW w:w="4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Related Party Transactions</w:t>
      </w:r>
    </w:p>
    <w:p>
      <w:pPr>
        <w:spacing w:after="0" w:line="124" w:lineRule="exact"/>
        <w:rPr>
          <w:sz w:val="20"/>
          <w:szCs w:val="20"/>
          <w:color w:val="auto"/>
        </w:rPr>
      </w:pPr>
    </w:p>
    <w:p>
      <w:pPr>
        <w:ind w:firstLine="540"/>
        <w:spacing w:after="0" w:line="247" w:lineRule="auto"/>
        <w:rPr>
          <w:sz w:val="20"/>
          <w:szCs w:val="20"/>
          <w:color w:val="auto"/>
        </w:rPr>
      </w:pPr>
      <w:r>
        <w:rPr>
          <w:rFonts w:ascii="Times New Roman" w:cs="Times New Roman" w:eastAsia="Times New Roman" w:hAnsi="Times New Roman"/>
          <w:sz w:val="20"/>
          <w:szCs w:val="20"/>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$0.3 million and $0.3 million in rent to 210 Capital, LLC for the years ended December 31, 2024, 2023, and 2022, respectively. As of December 31, 2024, this is no longer a related party transaction.</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As described in Note 1, through its subsidiaries, the Company serves as the investment manager to the Funds. Certain expenses incurred by the Funds are paid upfront and are reimbursed from the Funds as permissible per fund agreements. As of December 31, 2024, the total accounts receivable from the Funds totaled $42.5 million, of which $12.1 million related to reimbursable expenses and $30.4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206"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19"/>
          <w:szCs w:val="19"/>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December 31, 2024,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insignificant for the year ended December 31, 2024. No significant financing components were identified for the years ended December 31, 2023 and 2022. As of December 31, 2024, the total contractual advisory fees are $115.1 million over ten years. These agreements are subject to customary termination</w:t>
      </w:r>
    </w:p>
    <w:p>
      <w:pPr>
        <w:sectPr>
          <w:pgSz w:w="12240" w:h="15840" w:orient="portrait"/>
          <w:cols w:equalWidth="0" w:num="1">
            <w:col w:w="10060"/>
          </w:cols>
          <w:pgMar w:left="1080" w:top="696" w:right="1100" w:bottom="175"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60"/>
          </w:cols>
          <w:pgMar w:left="1080" w:top="696" w:right="1100" w:bottom="17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provisions. Since inception, $79.4 million of the total $115.1 million advisory fees have been recognized as revenue. There was $35.7 million in remaining performance obligations related to these agreements, which will be recognized between January 1, 2025 and December 31, 2031. For the years ended December 31, 2024, 2023, and 2022, advisory fees earned or recognized under this agreement were $17.3 million, $20.9 million and $22.2 million, respectively, and is reported in management and advisory fees on the Consolidated Statements of Operations. The Company invoices Enhanced PC quarterly in arrears and earns interest on balances not paid within 30 days. Revenues from interest were $1.1 million, $0.7 million, and $0.3 million for the years ended December 31, 2024, 2023, and 2022, respectively, which is included in management and advisory fees on the Consolidated Statements of Operations. As of December 31, 2024 and December 31, 2023, the associated receivable was $65.8 million and $48.5 million and is included in due from related parties on the Consolidated Balance Sheets. As of December 31, 2024 and December 31, 2023, the associated interest receivable was $2.2 million and $1.1 million and is included in due from related parties on the Consolidated Balance Sheets. Payment is expected to be collected as the permanent capital subsidiaries complete and liquidate multi-year projects covered under this agreement.</w:t>
      </w:r>
    </w:p>
    <w:p>
      <w:pPr>
        <w:spacing w:after="0" w:line="20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at the direction of ECG. The Company recognized $13.6 million, $13.2 million and $11.5 million for the years ended December 31, 2024, 2023 and 2022, respectively, related to this agreement within compensation and benefits on our Consolidated Statements of Operations. As of December 31, 2024 and December 31, 2023, the associated accrual was $3.4 million and $2.1 million, respectively, and is included in due to related parties on the Consolidated Balance Sheets.</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spacing w:after="0" w:line="19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$6.1 million, $8.9 million, and $4.4 million of fees for the years ended December 31, 2024, 2023, and 2022, respectively, which is included in management and advisory fees on the Consolidated Statements of Operations.</w:t>
      </w:r>
    </w:p>
    <w:p>
      <w:pPr>
        <w:spacing w:after="0" w:line="200"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are directors of Crossroads and have recused themselves from any decisions related to Crossroads or CPF. The Company recognizes an annual fee from the funds of $20 thousand of which $20 thousand, $20 thousand, and $10 thousand have been recognized for the years ended December 31, 2024, 2023, and 2022, respectively, which is included in management and advisory fees on the Consolidated Statements of Operations.</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696" w:right="1080" w:bottom="175" w:gutter="0" w:footer="0" w:header="0"/>
          <w:type w:val="continuous"/>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13 for further details.</w:t>
      </w:r>
    </w:p>
    <w:p>
      <w:pPr>
        <w:spacing w:after="0" w:line="188" w:lineRule="exact"/>
        <w:rPr>
          <w:sz w:val="20"/>
          <w:szCs w:val="20"/>
          <w:color w:val="auto"/>
        </w:rPr>
      </w:pPr>
    </w:p>
    <w:p>
      <w:pPr>
        <w:ind w:right="620" w:firstLine="490"/>
        <w:spacing w:after="0" w:line="258" w:lineRule="auto"/>
        <w:rPr>
          <w:sz w:val="20"/>
          <w:szCs w:val="20"/>
          <w:color w:val="auto"/>
        </w:rPr>
      </w:pPr>
      <w:r>
        <w:rPr>
          <w:rFonts w:ascii="Times New Roman" w:cs="Times New Roman" w:eastAsia="Times New Roman" w:hAnsi="Times New Roman"/>
          <w:sz w:val="20"/>
          <w:szCs w:val="20"/>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$4.3 million, $3.9 million, and $3.5 million for the years ended December 31, 2024, 2023, and 2022, respectively.</w:t>
      </w:r>
    </w:p>
    <w:p>
      <w:pPr>
        <w:spacing w:after="0" w:line="19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information regarding the Company’s operating leases as of December 31, 2024:</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17,497</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20,432</w:t>
            </w:r>
          </w:p>
        </w:tc>
      </w:tr>
      <w:tr>
        <w:trPr>
          <w:trHeight w:val="210"/>
        </w:trPr>
        <w:tc>
          <w:tcPr>
            <w:tcW w:w="476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Cash paid during the year ended December 31, 2024 for</w:t>
            </w:r>
          </w:p>
        </w:tc>
        <w:tc>
          <w:tcPr>
            <w:tcW w:w="480" w:type="dxa"/>
            <w:vAlign w:val="bottom"/>
            <w:shd w:val="clear" w:color="auto" w:fill="D4EEF4"/>
          </w:tcPr>
          <w:p>
            <w:pPr>
              <w:spacing w:after="0"/>
              <w:rPr>
                <w:sz w:val="18"/>
                <w:szCs w:val="18"/>
                <w:color w:val="auto"/>
              </w:rPr>
            </w:pPr>
          </w:p>
        </w:tc>
        <w:tc>
          <w:tcPr>
            <w:tcW w:w="800" w:type="dxa"/>
            <w:vAlign w:val="bottom"/>
            <w:shd w:val="clear" w:color="auto" w:fill="D4EEF4"/>
          </w:tcPr>
          <w:p>
            <w:pPr>
              <w:spacing w:after="0"/>
              <w:rPr>
                <w:sz w:val="18"/>
                <w:szCs w:val="18"/>
                <w:color w:val="auto"/>
              </w:rPr>
            </w:pPr>
          </w:p>
        </w:tc>
      </w:tr>
      <w:tr>
        <w:trPr>
          <w:trHeight w:val="249"/>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3,810</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48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6.25</w:t>
            </w:r>
          </w:p>
        </w:tc>
      </w:tr>
      <w:tr>
        <w:trPr>
          <w:trHeight w:val="230"/>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480" w:type="dxa"/>
            <w:vAlign w:val="bottom"/>
            <w:shd w:val="clear" w:color="auto" w:fill="D4EEF4"/>
          </w:tcPr>
          <w:p>
            <w:pPr>
              <w:spacing w:after="0"/>
              <w:rPr>
                <w:sz w:val="19"/>
                <w:szCs w:val="19"/>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future contractual lease payments as of December 31, 2024 are as follows:</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2025</w:t>
            </w:r>
          </w:p>
        </w:tc>
        <w:tc>
          <w:tcPr>
            <w:tcW w:w="4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2,444</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3,829</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3,549</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2029</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4,202</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D4EEF4"/>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6,543</w:t>
            </w:r>
          </w:p>
        </w:tc>
        <w:tc>
          <w:tcPr>
            <w:tcW w:w="60" w:type="dxa"/>
            <w:vAlign w:val="bottom"/>
            <w:tcBorders>
              <w:bottom w:val="single" w:sz="8" w:color="D4EEF4"/>
            </w:tcBorders>
          </w:tcPr>
          <w:p>
            <w:pPr>
              <w:spacing w:after="0"/>
              <w:rPr>
                <w:sz w:val="19"/>
                <w:szCs w:val="19"/>
                <w:color w:val="auto"/>
              </w:rPr>
            </w:pPr>
          </w:p>
        </w:tc>
      </w:tr>
      <w:tr>
        <w:trPr>
          <w:trHeight w:val="220"/>
        </w:trPr>
        <w:tc>
          <w:tcPr>
            <w:tcW w:w="48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undiscounted lease payments</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24,476</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(4,044)</w:t>
            </w:r>
          </w:p>
        </w:tc>
      </w:tr>
      <w:tr>
        <w:trPr>
          <w:trHeight w:val="220"/>
        </w:trPr>
        <w:tc>
          <w:tcPr>
            <w:tcW w:w="48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00" w:type="dxa"/>
            <w:vAlign w:val="bottom"/>
            <w:tcBorders>
              <w:top w:val="single" w:sz="8" w:color="D4EEF4"/>
            </w:tcBorders>
            <w:shd w:val="clear" w:color="auto" w:fill="D4EEF4"/>
          </w:tcPr>
          <w:p>
            <w:pPr>
              <w:spacing w:after="0"/>
              <w:rPr>
                <w:sz w:val="19"/>
                <w:szCs w:val="19"/>
                <w:color w:val="auto"/>
              </w:rPr>
            </w:pPr>
          </w:p>
        </w:tc>
        <w:tc>
          <w:tcPr>
            <w:tcW w:w="300" w:type="dxa"/>
            <w:vAlign w:val="bottom"/>
            <w:tcBorders>
              <w:top w:val="single" w:sz="8" w:color="auto"/>
              <w:bottom w:val="single" w:sz="8" w:color="auto"/>
            </w:tcBorders>
            <w:shd w:val="clear" w:color="auto" w:fill="D4EE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20,432</w:t>
            </w:r>
          </w:p>
        </w:tc>
        <w:tc>
          <w:tcPr>
            <w:tcW w:w="60" w:type="dxa"/>
            <w:vAlign w:val="bottom"/>
            <w:tcBorders>
              <w:top w:val="single" w:sz="8" w:color="D4EEF4"/>
            </w:tcBorders>
            <w:shd w:val="clear" w:color="auto" w:fill="D4EEF4"/>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 Payment</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With the acquisition of WTI, an earnout payment of up to $70.0 million of cash and common stock may be earned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meeting certain performance metrics. Upon the achievement of $20.0 million, $22.5 million, and $25.0 million of</w:t>
      </w:r>
    </w:p>
    <w:p>
      <w:pPr>
        <w:spacing w:after="0"/>
        <w:rPr>
          <w:sz w:val="20"/>
          <w:szCs w:val="20"/>
          <w:color w:val="auto"/>
        </w:rPr>
      </w:pPr>
      <w:r>
        <w:rPr>
          <w:rFonts w:ascii="Times New Roman" w:cs="Times New Roman" w:eastAsia="Times New Roman" w:hAnsi="Times New Roman"/>
          <w:sz w:val="20"/>
          <w:szCs w:val="20"/>
          <w:color w:val="auto"/>
        </w:rPr>
        <w:t>EBTIDA, $35.0 million, $17.5 million, and $17.5 million are earned, respectively. Of the total amount, $50.0 million can be</w:t>
      </w:r>
    </w:p>
    <w:p>
      <w:pPr>
        <w:spacing w:after="0"/>
        <w:rPr>
          <w:sz w:val="20"/>
          <w:szCs w:val="20"/>
          <w:color w:val="auto"/>
        </w:rPr>
      </w:pPr>
      <w:r>
        <w:rPr>
          <w:rFonts w:ascii="Times New Roman" w:cs="Times New Roman" w:eastAsia="Times New Roman" w:hAnsi="Times New Roman"/>
          <w:sz w:val="20"/>
          <w:szCs w:val="20"/>
          <w:color w:val="auto"/>
        </w:rPr>
        <w:t>earned by the sellers and the remaining $20.0 million would be allocated to employees of the Company at the time the</w:t>
      </w:r>
    </w:p>
    <w:p>
      <w:pPr>
        <w:spacing w:after="0"/>
        <w:rPr>
          <w:sz w:val="20"/>
          <w:szCs w:val="20"/>
          <w:color w:val="auto"/>
        </w:rPr>
      </w:pPr>
      <w:r>
        <w:rPr>
          <w:rFonts w:ascii="Times New Roman" w:cs="Times New Roman" w:eastAsia="Times New Roman" w:hAnsi="Times New Roman"/>
          <w:sz w:val="20"/>
          <w:szCs w:val="20"/>
          <w:color w:val="auto"/>
        </w:rPr>
        <w:t>earnout is earned. Payment to both sellers and employees is contingent on continued employment and, therefore, these</w:t>
      </w:r>
    </w:p>
    <w:p>
      <w:pPr>
        <w:spacing w:after="0"/>
        <w:rPr>
          <w:sz w:val="20"/>
          <w:szCs w:val="20"/>
          <w:color w:val="auto"/>
        </w:rPr>
      </w:pPr>
      <w:r>
        <w:rPr>
          <w:rFonts w:ascii="Times New Roman" w:cs="Times New Roman" w:eastAsia="Times New Roman" w:hAnsi="Times New Roman"/>
          <w:sz w:val="20"/>
          <w:szCs w:val="20"/>
          <w:color w:val="auto"/>
        </w:rPr>
        <w:t>earnout payments are recorded as compensation and benefits expense on the Consolidated Statements of Operations.</w:t>
      </w:r>
    </w:p>
    <w:p>
      <w:pPr>
        <w:spacing w:after="0"/>
        <w:rPr>
          <w:sz w:val="20"/>
          <w:szCs w:val="20"/>
          <w:color w:val="auto"/>
        </w:rPr>
      </w:pPr>
      <w:r>
        <w:rPr>
          <w:rFonts w:ascii="Times New Roman" w:cs="Times New Roman" w:eastAsia="Times New Roman" w:hAnsi="Times New Roman"/>
          <w:sz w:val="20"/>
          <w:szCs w:val="20"/>
          <w:color w:val="auto"/>
        </w:rPr>
        <w:t>Payments will be made in cash, with the option to pay up to 50.0% in units of P10 Intermediate, no later than 90 days</w:t>
      </w:r>
    </w:p>
    <w:p>
      <w:pPr>
        <w:spacing w:after="0"/>
        <w:rPr>
          <w:sz w:val="20"/>
          <w:szCs w:val="20"/>
          <w:color w:val="auto"/>
        </w:rPr>
      </w:pPr>
      <w:r>
        <w:rPr>
          <w:rFonts w:ascii="Times New Roman" w:cs="Times New Roman" w:eastAsia="Times New Roman" w:hAnsi="Times New Roman"/>
          <w:sz w:val="20"/>
          <w:szCs w:val="20"/>
          <w:color w:val="auto"/>
        </w:rPr>
        <w:t>following the last day of the calendar quarter in which a milestone payment is achieved. Total payments will not exceed</w:t>
      </w:r>
    </w:p>
    <w:p>
      <w:pPr>
        <w:spacing w:after="0"/>
        <w:rPr>
          <w:sz w:val="20"/>
          <w:szCs w:val="20"/>
          <w:color w:val="auto"/>
        </w:rPr>
      </w:pPr>
      <w:r>
        <w:rPr>
          <w:rFonts w:ascii="Times New Roman" w:cs="Times New Roman" w:eastAsia="Times New Roman" w:hAnsi="Times New Roman"/>
          <w:sz w:val="20"/>
          <w:szCs w:val="20"/>
          <w:color w:val="auto"/>
        </w:rPr>
        <w:t>$70.0 million and any amounts paid will be paid by October 2027. The Company will evaluate whether each earn-out hurdle</w:t>
      </w:r>
    </w:p>
    <w:p>
      <w:pPr>
        <w:spacing w:after="0"/>
        <w:rPr>
          <w:sz w:val="20"/>
          <w:szCs w:val="20"/>
          <w:color w:val="auto"/>
        </w:rPr>
      </w:pPr>
      <w:r>
        <w:rPr>
          <w:rFonts w:ascii="Times New Roman" w:cs="Times New Roman" w:eastAsia="Times New Roman" w:hAnsi="Times New Roman"/>
          <w:sz w:val="20"/>
          <w:szCs w:val="20"/>
          <w:color w:val="auto"/>
        </w:rPr>
        <w:t>is probable of occurring and recognize an expense over the period the hurdle is expected to be achieved. As of December 31,</w:t>
      </w:r>
    </w:p>
    <w:p>
      <w:pPr>
        <w:spacing w:after="0"/>
        <w:rPr>
          <w:sz w:val="20"/>
          <w:szCs w:val="20"/>
          <w:color w:val="auto"/>
        </w:rPr>
      </w:pPr>
      <w:r>
        <w:rPr>
          <w:rFonts w:ascii="Times New Roman" w:cs="Times New Roman" w:eastAsia="Times New Roman" w:hAnsi="Times New Roman"/>
          <w:sz w:val="20"/>
          <w:szCs w:val="20"/>
          <w:color w:val="auto"/>
        </w:rPr>
        <w:t>2024, the Company has determined that only the first two EBITDA hurdles are probable of being achieved. For the years</w:t>
      </w:r>
    </w:p>
    <w:p>
      <w:pPr>
        <w:sectPr>
          <w:pgSz w:w="12240" w:h="15840" w:orient="portrait"/>
          <w:cols w:equalWidth="0" w:num="1">
            <w:col w:w="10020"/>
          </w:cols>
          <w:pgMar w:left="1080" w:top="696" w:right="1140" w:bottom="175"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20"/>
          </w:cols>
          <w:pgMar w:left="1080" w:top="696" w:right="1140" w:bottom="17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2024, 2023, and 2022, $12.3 million, $21.0 million, and $5.2 million of expense was recognized,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which is included in compensation and benefits in the Consolidated Statements of Operations. As of</w:t>
      </w:r>
    </w:p>
    <w:p>
      <w:pPr>
        <w:spacing w:after="0"/>
        <w:rPr>
          <w:sz w:val="20"/>
          <w:szCs w:val="20"/>
          <w:color w:val="auto"/>
        </w:rPr>
      </w:pPr>
      <w:r>
        <w:rPr>
          <w:rFonts w:ascii="Times New Roman" w:cs="Times New Roman" w:eastAsia="Times New Roman" w:hAnsi="Times New Roman"/>
          <w:sz w:val="20"/>
          <w:szCs w:val="20"/>
          <w:color w:val="auto"/>
        </w:rPr>
        <w:t>December 31, 2024 and December 31, 2023, the balance was $38.5 million and $26.2 million, respectively, which is included</w:t>
      </w:r>
    </w:p>
    <w:p>
      <w:pPr>
        <w:spacing w:after="0"/>
        <w:rPr>
          <w:sz w:val="20"/>
          <w:szCs w:val="20"/>
          <w:color w:val="auto"/>
        </w:rPr>
      </w:pPr>
      <w:r>
        <w:rPr>
          <w:rFonts w:ascii="Times New Roman" w:cs="Times New Roman" w:eastAsia="Times New Roman" w:hAnsi="Times New Roman"/>
          <w:sz w:val="20"/>
          <w:szCs w:val="20"/>
          <w:color w:val="auto"/>
        </w:rPr>
        <w:t>in accrued compensation and benefits in the Consolidated Balance Sheets. No payments have been made on the earnout.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Payment</w:t>
      </w:r>
    </w:p>
    <w:p>
      <w:pPr>
        <w:spacing w:after="0" w:line="124"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years ended December 31, 2024, 2023, and 2022, the Company recognized $2.0 million, $2.0 million, and $0.4 million of expense, respectively, which is included in compensation and benefits on the Consolidated Statements of Operations. As of December 31, 2024 and December 31, 2023, the balance was $4.4 million and $2.4 million, respectively, and is included in accrued compensation and benefits on the Consolidated Balance Sheets.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Share Arrangement</w:t>
      </w:r>
    </w:p>
    <w:p>
      <w:pPr>
        <w:spacing w:after="0" w:line="12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revenue share agreements. As of December 31, 2024, the Company has determined that the put options are probable of being exercised and have accrued estimated contingent liabilities and contingent payments to customers. As of December 31, 2024 and December 31, 2023, the associated liabilities were $13.8 million and $16.2 million, respectively, and are included in accrued contingent liabilities on the Consolidated Balance Sheets. The associated contingent payments to customers assets were $10.0 million and $14.0 million as of December 31, 2024 and December 31, 2023, respectively. The Company recognized $1.4 million, $1.5 million, and $0.7 million of amortization of contingent payments to customers for the years ended December 31, 2024, December 31, 2023, and December 31, 2022, respectively, which is included in management and advisory fees on the Consolidated Statements of Operations. The Company will reassess each period and recognize all changes.</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December 23, 2024, the Company became a guarantor for Clifford GP on a related put option and call option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same third party party customers and terms. The Company would be required to settle either the put or call options if</w:t>
      </w:r>
    </w:p>
    <w:p>
      <w:pPr>
        <w:spacing w:after="0"/>
        <w:rPr>
          <w:sz w:val="20"/>
          <w:szCs w:val="20"/>
          <w:color w:val="auto"/>
        </w:rPr>
      </w:pPr>
      <w:r>
        <w:rPr>
          <w:rFonts w:ascii="Times New Roman" w:cs="Times New Roman" w:eastAsia="Times New Roman" w:hAnsi="Times New Roman"/>
          <w:sz w:val="20"/>
          <w:szCs w:val="20"/>
          <w:color w:val="auto"/>
        </w:rPr>
        <w:t>either are exercised and Clifford GP does not have the means to settle themselves. The Company's accrued contingent</w:t>
      </w:r>
    </w:p>
    <w:p>
      <w:pPr>
        <w:spacing w:after="0"/>
        <w:rPr>
          <w:sz w:val="20"/>
          <w:szCs w:val="20"/>
          <w:color w:val="auto"/>
        </w:rPr>
      </w:pPr>
      <w:r>
        <w:rPr>
          <w:rFonts w:ascii="Times New Roman" w:cs="Times New Roman" w:eastAsia="Times New Roman" w:hAnsi="Times New Roman"/>
          <w:sz w:val="20"/>
          <w:szCs w:val="20"/>
          <w:color w:val="auto"/>
        </w:rPr>
        <w:t>liabilities are recognized once determined that it is probable the Company would need to settle as guarantor and estimable</w:t>
      </w:r>
    </w:p>
    <w:p>
      <w:pPr>
        <w:spacing w:after="0"/>
        <w:rPr>
          <w:sz w:val="20"/>
          <w:szCs w:val="20"/>
          <w:color w:val="auto"/>
        </w:rPr>
      </w:pPr>
      <w:r>
        <w:rPr>
          <w:rFonts w:ascii="Times New Roman" w:cs="Times New Roman" w:eastAsia="Times New Roman" w:hAnsi="Times New Roman"/>
          <w:sz w:val="20"/>
          <w:szCs w:val="20"/>
          <w:color w:val="auto"/>
        </w:rPr>
        <w:t>and would record a loss at the same time. As of December 31, 2024 and December 31, 2023, the associated liabilities were</w:t>
      </w:r>
    </w:p>
    <w:p>
      <w:pPr>
        <w:spacing w:after="0"/>
        <w:rPr>
          <w:sz w:val="20"/>
          <w:szCs w:val="20"/>
          <w:color w:val="auto"/>
        </w:rPr>
      </w:pPr>
      <w:r>
        <w:rPr>
          <w:rFonts w:ascii="Times New Roman" w:cs="Times New Roman" w:eastAsia="Times New Roman" w:hAnsi="Times New Roman"/>
          <w:sz w:val="20"/>
          <w:szCs w:val="20"/>
          <w:color w:val="auto"/>
        </w:rPr>
        <w:t>$10.1 million and $0, respectively, and are included in accrued contingent liabilities on the Consolidated Balance Sheets. The</w:t>
      </w:r>
    </w:p>
    <w:p>
      <w:pPr>
        <w:spacing w:after="0"/>
        <w:rPr>
          <w:sz w:val="20"/>
          <w:szCs w:val="20"/>
          <w:color w:val="auto"/>
        </w:rPr>
      </w:pPr>
      <w:r>
        <w:rPr>
          <w:rFonts w:ascii="Times New Roman" w:cs="Times New Roman" w:eastAsia="Times New Roman" w:hAnsi="Times New Roman"/>
          <w:sz w:val="20"/>
          <w:szCs w:val="20"/>
          <w:color w:val="auto"/>
        </w:rPr>
        <w:t>Company recognized a loss of $10.1 million for the year ended December 31, 2024, which is included in other (loss)/income</w:t>
      </w:r>
    </w:p>
    <w:p>
      <w:pPr>
        <w:spacing w:after="0"/>
        <w:rPr>
          <w:sz w:val="20"/>
          <w:szCs w:val="20"/>
          <w:color w:val="auto"/>
        </w:rPr>
      </w:pPr>
      <w:r>
        <w:rPr>
          <w:rFonts w:ascii="Times New Roman" w:cs="Times New Roman" w:eastAsia="Times New Roman" w:hAnsi="Times New Roman"/>
          <w:sz w:val="20"/>
          <w:szCs w:val="20"/>
          <w:color w:val="auto"/>
        </w:rPr>
        <w:t>on the Consolidated Statements of Operations. There was no expense recognized for the years ended December 31, 2023, and</w:t>
      </w:r>
    </w:p>
    <w:p>
      <w:pPr>
        <w:spacing w:after="0"/>
        <w:rPr>
          <w:sz w:val="20"/>
          <w:szCs w:val="20"/>
          <w:color w:val="auto"/>
        </w:rPr>
      </w:pPr>
      <w:r>
        <w:rPr>
          <w:rFonts w:ascii="Times New Roman" w:cs="Times New Roman" w:eastAsia="Times New Roman" w:hAnsi="Times New Roman"/>
          <w:sz w:val="20"/>
          <w:szCs w:val="20"/>
          <w:color w:val="auto"/>
        </w:rPr>
        <w:t>December 31, 2022. The Company will reassess each period and recognize all changes.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Dispute Resolutions</w:t>
      </w:r>
    </w:p>
    <w:p>
      <w:pPr>
        <w:spacing w:after="0" w:line="24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In 2024, the Company resolved a business dispute with a service provider for $1.2 million, which was recognized in other (expense)/income on the Consolidated Statements of Operations. On January 2, 2025, the Company received the $1.2 million payment.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80"/>
          </w:cols>
          <w:pgMar w:left="1080" w:top="696" w:right="1080" w:bottom="175"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Departure of Chief Operating Officer</w:t>
      </w:r>
    </w:p>
    <w:p>
      <w:pPr>
        <w:spacing w:after="0" w:line="12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William "Fritz" Souder, the Company's Chief Operating Officer ("COO"), retired from P10 in May of 2024. Associated with his retirement, the COO received $1.2 million of severance payments. As of December 31, 2024 and December 31, 2023, the Company has $0 and $1.2 million of severance payable related to the retirement, which is included in accrued compensation and benefits in the Consolidated Balance Sheets. The Company recognized $0, $1.2 million, and $0 of severance expense related to the retirement for the years ended December 31, 2024, 2023, and 2022, respectively, which is included in compensation and benefits in the Consolidated Statements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Agreement</w:t>
      </w:r>
    </w:p>
    <w:p>
      <w:pPr>
        <w:spacing w:after="0" w:line="124" w:lineRule="exact"/>
        <w:rPr>
          <w:sz w:val="20"/>
          <w:szCs w:val="20"/>
          <w:color w:val="auto"/>
        </w:rPr>
      </w:pPr>
    </w:p>
    <w:p>
      <w:pPr>
        <w:ind w:right="300" w:firstLine="720"/>
        <w:spacing w:after="0" w:line="252" w:lineRule="auto"/>
        <w:rPr>
          <w:sz w:val="20"/>
          <w:szCs w:val="20"/>
          <w:color w:val="auto"/>
        </w:rPr>
      </w:pPr>
      <w:r>
        <w:rPr>
          <w:rFonts w:ascii="Times New Roman" w:cs="Times New Roman" w:eastAsia="Times New Roman" w:hAnsi="Times New Roman"/>
          <w:sz w:val="20"/>
          <w:szCs w:val="20"/>
          <w:color w:val="auto"/>
        </w:rPr>
        <w:t>On September 16, 2024, the Company ("Buyer") entered into an equity purchase agreement (the "Purchase Agreement") with Qualitas Equity Funds SGEIC, S.A. ("Qualitas"), Qualitas Funds Holdco, S.L. ("Seller"), Sergio Garcia Huertas and Eric Todd Halverson, pursuant to which, subject to the satisfaction or waiver of specified conditions, Buyer would acquire all of the issued and outstanding equity interests of Qualitas (the "Transaction").</w:t>
      </w:r>
    </w:p>
    <w:p>
      <w:pPr>
        <w:spacing w:after="0" w:line="194" w:lineRule="exact"/>
        <w:rPr>
          <w:sz w:val="20"/>
          <w:szCs w:val="20"/>
          <w:color w:val="auto"/>
        </w:rPr>
      </w:pPr>
    </w:p>
    <w:p>
      <w:pPr>
        <w:ind w:firstLine="720"/>
        <w:spacing w:after="0" w:line="265" w:lineRule="auto"/>
        <w:rPr>
          <w:sz w:val="20"/>
          <w:szCs w:val="20"/>
          <w:color w:val="auto"/>
        </w:rPr>
      </w:pPr>
      <w:r>
        <w:rPr>
          <w:rFonts w:ascii="Times New Roman" w:cs="Times New Roman" w:eastAsia="Times New Roman" w:hAnsi="Times New Roman"/>
          <w:sz w:val="19"/>
          <w:szCs w:val="19"/>
          <w:color w:val="auto"/>
        </w:rPr>
        <w:t>The consideration payable to complete the transaction consists of $42.3 million in cash and 2,068,794 shares of the Company's Class A Common Stock. Of this amount of Class A Common Stock, 1,669,990 shares will be delivered at closing, with 398,804 shares being subject to a five-year holdback to cover certain indemnification obligations of the Seller during the holdback period. The number of shares to be delivered was calculated based on the daily volume weighted averages of the Class A common Stock for the 20 consecutive trading days ending on September 11, 2024 which was $10.03 per share.</w:t>
      </w:r>
    </w:p>
    <w:p>
      <w:pPr>
        <w:spacing w:after="0" w:line="184"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Up to an additional €31.7 million in consideration (an Earn-Out Payment") may be payable based on the run-rate net revenue as of December 31, 2027 from new funds for Qualitas raised after closing. Any Earn-Out Payment will be paid in a mix of cash and Class A Common Stock at Seller's election, with no more than 65% payable in cash. The Transaction is expected to close in the first quarter of 2025, subject to customary closing conditions.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Contingencies</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contended that the subsidiary of Enhanced Capital omitted from the NMTC application information regarding the application of leveraged financing in the transaction and the sources and uses of funds in the proposed transactions. The subsidiary of Enhanced Capital completed non-binding mediation in July 2023 and a settlement was negotiated which was paid in the fourth quarter of 2023. The total settlement was $3.6 million of which the insurance carrier contributed $1.5 million, and the Company continues to explore additional recovery. For the year ended December 31, 2023, the total expense associated with the litigation was $2.1 million in other (expense)/income on the Consolidated Statements of Operations.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696" w:right="1080" w:bottom="175"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Income Taxes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 subject to income taxes in the United States. The components of the provision for (benefit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 for the years ended December 31, 2024, 2023, and 2022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2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37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3760" w:type="dxa"/>
            <w:vAlign w:val="bottom"/>
            <w:tcBorders>
              <w:bottom w:val="single" w:sz="8" w:color="D4EEF4"/>
            </w:tcBorders>
          </w:tcPr>
          <w:p>
            <w:pPr>
              <w:spacing w:after="0"/>
              <w:rPr>
                <w:sz w:val="19"/>
                <w:szCs w:val="19"/>
                <w:color w:val="auto"/>
              </w:rPr>
            </w:pPr>
          </w:p>
        </w:tc>
        <w:tc>
          <w:tcPr>
            <w:tcW w:w="214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D4EE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D4EEF4"/>
            </w:tcBorders>
          </w:tcPr>
          <w:p>
            <w:pPr>
              <w:spacing w:after="0"/>
              <w:rPr>
                <w:sz w:val="19"/>
                <w:szCs w:val="19"/>
                <w:color w:val="auto"/>
              </w:rPr>
            </w:pPr>
          </w:p>
        </w:tc>
      </w:tr>
      <w:tr>
        <w:trPr>
          <w:trHeight w:val="220"/>
        </w:trPr>
        <w:tc>
          <w:tcPr>
            <w:tcW w:w="3760" w:type="dxa"/>
            <w:vAlign w:val="bottom"/>
            <w:shd w:val="clear" w:color="auto" w:fill="D4EEF4"/>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Current</w:t>
            </w:r>
          </w:p>
        </w:tc>
        <w:tc>
          <w:tcPr>
            <w:tcW w:w="21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86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14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9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30"/>
        </w:trPr>
        <w:tc>
          <w:tcPr>
            <w:tcW w:w="3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19"/>
                <w:szCs w:val="19"/>
                <w:color w:val="auto"/>
              </w:rPr>
            </w:pPr>
          </w:p>
        </w:tc>
      </w:tr>
      <w:tr>
        <w:trPr>
          <w:trHeight w:val="230"/>
        </w:trPr>
        <w:tc>
          <w:tcPr>
            <w:tcW w:w="37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214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spacing w:after="0"/>
              <w:rPr>
                <w:sz w:val="19"/>
                <w:szCs w:val="19"/>
                <w:color w:val="auto"/>
              </w:rPr>
            </w:pPr>
          </w:p>
        </w:tc>
        <w:tc>
          <w:tcPr>
            <w:tcW w:w="8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4,723</w:t>
            </w:r>
          </w:p>
        </w:tc>
        <w:tc>
          <w:tcPr>
            <w:tcW w:w="260" w:type="dxa"/>
            <w:vAlign w:val="bottom"/>
            <w:shd w:val="clear" w:color="auto" w:fill="D4EEF4"/>
          </w:tcPr>
          <w:p>
            <w:pPr>
              <w:spacing w:after="0"/>
              <w:rPr>
                <w:sz w:val="19"/>
                <w:szCs w:val="19"/>
                <w:color w:val="auto"/>
              </w:rPr>
            </w:pPr>
          </w:p>
        </w:tc>
        <w:tc>
          <w:tcPr>
            <w:tcW w:w="100" w:type="dxa"/>
            <w:vAlign w:val="bottom"/>
            <w:tcBorders>
              <w:bottom w:val="single" w:sz="8" w:color="auto"/>
            </w:tcBorders>
            <w:shd w:val="clear" w:color="auto" w:fill="D4EEF4"/>
          </w:tcPr>
          <w:p>
            <w:pPr>
              <w:spacing w:after="0"/>
              <w:rPr>
                <w:sz w:val="19"/>
                <w:szCs w:val="19"/>
                <w:color w:val="auto"/>
              </w:rPr>
            </w:pPr>
          </w:p>
        </w:tc>
        <w:tc>
          <w:tcPr>
            <w:tcW w:w="11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941</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2,178</w:t>
            </w:r>
          </w:p>
        </w:tc>
        <w:tc>
          <w:tcPr>
            <w:tcW w:w="100" w:type="dxa"/>
            <w:vAlign w:val="bottom"/>
            <w:shd w:val="clear" w:color="auto" w:fill="D4EEF4"/>
          </w:tcPr>
          <w:p>
            <w:pPr>
              <w:spacing w:after="0"/>
              <w:rPr>
                <w:sz w:val="19"/>
                <w:szCs w:val="19"/>
                <w:color w:val="auto"/>
              </w:rPr>
            </w:pPr>
          </w:p>
        </w:tc>
      </w:tr>
      <w:tr>
        <w:trPr>
          <w:trHeight w:val="260"/>
        </w:trPr>
        <w:tc>
          <w:tcPr>
            <w:tcW w:w="3760" w:type="dxa"/>
            <w:vAlign w:val="bottom"/>
            <w:tcBorders>
              <w:bottom w:val="single" w:sz="8" w:color="D4EEF4"/>
            </w:tcBorders>
          </w:tcPr>
          <w:p>
            <w:pPr>
              <w:ind w:left="260"/>
              <w:spacing w:after="0" w:line="220" w:lineRule="exact"/>
              <w:rPr>
                <w:sz w:val="20"/>
                <w:szCs w:val="20"/>
                <w:color w:val="auto"/>
              </w:rPr>
            </w:pPr>
            <w:r>
              <w:rPr>
                <w:rFonts w:ascii="Times New Roman" w:cs="Times New Roman" w:eastAsia="Times New Roman" w:hAnsi="Times New Roman"/>
                <w:sz w:val="20"/>
                <w:szCs w:val="20"/>
                <w:color w:val="auto"/>
              </w:rPr>
              <w:t>Total Current</w:t>
            </w:r>
          </w:p>
        </w:tc>
        <w:tc>
          <w:tcPr>
            <w:tcW w:w="2140" w:type="dxa"/>
            <w:vAlign w:val="bottom"/>
            <w:tcBorders>
              <w:bottom w:val="single" w:sz="8" w:color="D4EEF4"/>
            </w:tcBorders>
          </w:tcPr>
          <w:p>
            <w:pPr>
              <w:spacing w:after="0"/>
              <w:rPr>
                <w:sz w:val="22"/>
                <w:szCs w:val="22"/>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4,723</w:t>
            </w:r>
          </w:p>
        </w:tc>
        <w:tc>
          <w:tcPr>
            <w:tcW w:w="260" w:type="dxa"/>
            <w:vAlign w:val="bottom"/>
            <w:tcBorders>
              <w:bottom w:val="single" w:sz="8" w:color="D4EEF4"/>
            </w:tcBorders>
          </w:tcPr>
          <w:p>
            <w:pPr>
              <w:spacing w:after="0"/>
              <w:rPr>
                <w:sz w:val="22"/>
                <w:szCs w:val="22"/>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875</w:t>
            </w:r>
          </w:p>
        </w:tc>
        <w:tc>
          <w:tcPr>
            <w:tcW w:w="16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2,371</w:t>
            </w:r>
          </w:p>
        </w:tc>
        <w:tc>
          <w:tcPr>
            <w:tcW w:w="100" w:type="dxa"/>
            <w:vAlign w:val="bottom"/>
            <w:tcBorders>
              <w:bottom w:val="single" w:sz="8" w:color="D4EEF4"/>
            </w:tcBorders>
          </w:tcPr>
          <w:p>
            <w:pPr>
              <w:spacing w:after="0"/>
              <w:rPr>
                <w:sz w:val="22"/>
                <w:szCs w:val="22"/>
                <w:color w:val="auto"/>
              </w:rPr>
            </w:pPr>
          </w:p>
        </w:tc>
      </w:tr>
      <w:tr>
        <w:trPr>
          <w:trHeight w:val="215"/>
        </w:trPr>
        <w:tc>
          <w:tcPr>
            <w:tcW w:w="3760" w:type="dxa"/>
            <w:vAlign w:val="bottom"/>
            <w:shd w:val="clear" w:color="auto" w:fill="D4EEF4"/>
          </w:tcPr>
          <w:p>
            <w:pPr>
              <w:ind w:left="60"/>
              <w:spacing w:after="0" w:line="215" w:lineRule="exact"/>
              <w:rPr>
                <w:sz w:val="20"/>
                <w:szCs w:val="20"/>
                <w:color w:val="auto"/>
              </w:rPr>
            </w:pPr>
            <w:r>
              <w:rPr>
                <w:rFonts w:ascii="Times New Roman" w:cs="Times New Roman" w:eastAsia="Times New Roman" w:hAnsi="Times New Roman"/>
                <w:sz w:val="20"/>
                <w:szCs w:val="20"/>
                <w:b w:val="1"/>
                <w:bCs w:val="1"/>
                <w:color w:val="auto"/>
              </w:rPr>
              <w:t>Deferred</w:t>
            </w:r>
          </w:p>
        </w:tc>
        <w:tc>
          <w:tcPr>
            <w:tcW w:w="214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86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14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8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r>
      <w:tr>
        <w:trPr>
          <w:trHeight w:val="230"/>
        </w:trPr>
        <w:tc>
          <w:tcPr>
            <w:tcW w:w="3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3,995</w:t>
            </w:r>
          </w:p>
        </w:tc>
        <w:tc>
          <w:tcPr>
            <w:tcW w:w="100" w:type="dxa"/>
            <w:vAlign w:val="bottom"/>
          </w:tcPr>
          <w:p>
            <w:pPr>
              <w:spacing w:after="0"/>
              <w:rPr>
                <w:sz w:val="20"/>
                <w:szCs w:val="20"/>
                <w:color w:val="auto"/>
              </w:rPr>
            </w:pPr>
          </w:p>
        </w:tc>
      </w:tr>
      <w:tr>
        <w:trPr>
          <w:trHeight w:val="230"/>
        </w:trPr>
        <w:tc>
          <w:tcPr>
            <w:tcW w:w="376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21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1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(2,620)</w:t>
            </w:r>
          </w:p>
        </w:tc>
        <w:tc>
          <w:tcPr>
            <w:tcW w:w="100" w:type="dxa"/>
            <w:vAlign w:val="bottom"/>
            <w:shd w:val="clear" w:color="auto" w:fill="D4EEF4"/>
          </w:tcPr>
          <w:p>
            <w:pPr>
              <w:spacing w:after="0"/>
              <w:rPr>
                <w:sz w:val="19"/>
                <w:szCs w:val="19"/>
                <w:color w:val="auto"/>
              </w:rPr>
            </w:pP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10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(302)</w:t>
            </w:r>
          </w:p>
        </w:tc>
      </w:tr>
      <w:tr>
        <w:trPr>
          <w:trHeight w:val="260"/>
        </w:trPr>
        <w:tc>
          <w:tcPr>
            <w:tcW w:w="3760" w:type="dxa"/>
            <w:vAlign w:val="bottom"/>
            <w:tcBorders>
              <w:bottom w:val="single" w:sz="8" w:color="D4EEF4"/>
            </w:tcBorders>
          </w:tcPr>
          <w:p>
            <w:pPr>
              <w:ind w:left="260"/>
              <w:spacing w:after="0" w:line="220" w:lineRule="exact"/>
              <w:rPr>
                <w:sz w:val="20"/>
                <w:szCs w:val="20"/>
                <w:color w:val="auto"/>
              </w:rPr>
            </w:pPr>
            <w:r>
              <w:rPr>
                <w:rFonts w:ascii="Times New Roman" w:cs="Times New Roman" w:eastAsia="Times New Roman" w:hAnsi="Times New Roman"/>
                <w:sz w:val="20"/>
                <w:szCs w:val="20"/>
                <w:color w:val="auto"/>
              </w:rPr>
              <w:t>Total Deferred</w:t>
            </w:r>
          </w:p>
        </w:tc>
        <w:tc>
          <w:tcPr>
            <w:tcW w:w="2140" w:type="dxa"/>
            <w:vAlign w:val="bottom"/>
            <w:tcBorders>
              <w:bottom w:val="single" w:sz="8" w:color="D4EEF4"/>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3,973</w:t>
            </w:r>
          </w:p>
        </w:tc>
        <w:tc>
          <w:tcPr>
            <w:tcW w:w="260" w:type="dxa"/>
            <w:vAlign w:val="bottom"/>
            <w:tcBorders>
              <w:bottom w:val="single" w:sz="8" w:color="D4EEF4"/>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3,757</w:t>
            </w:r>
          </w:p>
        </w:tc>
        <w:tc>
          <w:tcPr>
            <w:tcW w:w="16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3,693</w:t>
            </w:r>
          </w:p>
        </w:tc>
        <w:tc>
          <w:tcPr>
            <w:tcW w:w="100" w:type="dxa"/>
            <w:vAlign w:val="bottom"/>
            <w:tcBorders>
              <w:bottom w:val="single" w:sz="8" w:color="D4EEF4"/>
            </w:tcBorders>
          </w:tcPr>
          <w:p>
            <w:pPr>
              <w:spacing w:after="0"/>
              <w:rPr>
                <w:sz w:val="22"/>
                <w:szCs w:val="22"/>
                <w:color w:val="auto"/>
              </w:rPr>
            </w:pPr>
          </w:p>
        </w:tc>
      </w:tr>
      <w:tr>
        <w:trPr>
          <w:trHeight w:val="215"/>
        </w:trPr>
        <w:tc>
          <w:tcPr>
            <w:tcW w:w="3760" w:type="dxa"/>
            <w:vAlign w:val="bottom"/>
            <w:shd w:val="clear" w:color="auto" w:fill="D4EEF4"/>
          </w:tcPr>
          <w:p>
            <w:pPr>
              <w:ind w:left="60"/>
              <w:spacing w:after="0" w:line="215" w:lineRule="exact"/>
              <w:rPr>
                <w:sz w:val="20"/>
                <w:szCs w:val="20"/>
                <w:color w:val="auto"/>
              </w:rPr>
            </w:pPr>
            <w:r>
              <w:rPr>
                <w:rFonts w:ascii="Times New Roman" w:cs="Times New Roman" w:eastAsia="Times New Roman" w:hAnsi="Times New Roman"/>
                <w:sz w:val="20"/>
                <w:szCs w:val="20"/>
                <w:color w:val="auto"/>
              </w:rPr>
              <w:t>Income tax expense</w:t>
            </w:r>
          </w:p>
        </w:tc>
        <w:tc>
          <w:tcPr>
            <w:tcW w:w="2140" w:type="dxa"/>
            <w:vAlign w:val="bottom"/>
            <w:shd w:val="clear" w:color="auto" w:fill="D4EEF4"/>
          </w:tcPr>
          <w:p>
            <w:pPr>
              <w:spacing w:after="0"/>
              <w:rPr>
                <w:sz w:val="18"/>
                <w:szCs w:val="18"/>
                <w:color w:val="auto"/>
              </w:rPr>
            </w:pPr>
          </w:p>
        </w:tc>
        <w:tc>
          <w:tcPr>
            <w:tcW w:w="220" w:type="dxa"/>
            <w:vAlign w:val="bottom"/>
            <w:tcBorders>
              <w:bottom w:val="single" w:sz="8" w:color="auto"/>
            </w:tcBorders>
            <w:shd w:val="clear" w:color="auto" w:fill="D4EEF4"/>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8,696</w:t>
            </w:r>
          </w:p>
        </w:tc>
        <w:tc>
          <w:tcPr>
            <w:tcW w:w="260" w:type="dxa"/>
            <w:vAlign w:val="bottom"/>
            <w:shd w:val="clear" w:color="auto" w:fill="D4EEF4"/>
          </w:tcPr>
          <w:p>
            <w:pPr>
              <w:spacing w:after="0"/>
              <w:rPr>
                <w:sz w:val="18"/>
                <w:szCs w:val="18"/>
                <w:color w:val="auto"/>
              </w:rPr>
            </w:pPr>
          </w:p>
        </w:tc>
        <w:tc>
          <w:tcPr>
            <w:tcW w:w="10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4,632</w:t>
            </w:r>
          </w:p>
        </w:tc>
        <w:tc>
          <w:tcPr>
            <w:tcW w:w="16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80" w:type="dxa"/>
            <w:vAlign w:val="bottom"/>
            <w:tcBorders>
              <w:bottom w:val="single" w:sz="8" w:color="auto"/>
            </w:tcBorders>
            <w:shd w:val="clear" w:color="auto" w:fill="D4EEF4"/>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6,064</w:t>
            </w:r>
          </w:p>
        </w:tc>
        <w:tc>
          <w:tcPr>
            <w:tcW w:w="100" w:type="dxa"/>
            <w:vAlign w:val="bottom"/>
            <w:shd w:val="clear" w:color="auto" w:fill="D4EEF4"/>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The following is a reconciliation of the statutory federal income tax rate to the Company's effective tax rate for the years ended December 31, 2024, 2023, and 2022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60" w:type="dxa"/>
            <w:vAlign w:val="bottom"/>
            <w:tcBorders>
              <w:bottom w:val="single" w:sz="8" w:color="D4EEF4"/>
            </w:tcBorders>
            <w:gridSpan w:val="2"/>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D4EEF4"/>
            </w:tcBorders>
          </w:tcPr>
          <w:p>
            <w:pPr>
              <w:spacing w:after="0"/>
              <w:rPr>
                <w:sz w:val="19"/>
                <w:szCs w:val="19"/>
                <w:color w:val="auto"/>
              </w:rPr>
            </w:pPr>
          </w:p>
        </w:tc>
        <w:tc>
          <w:tcPr>
            <w:tcW w:w="1080" w:type="dxa"/>
            <w:vAlign w:val="bottom"/>
            <w:tcBorders>
              <w:bottom w:val="single" w:sz="8" w:color="auto"/>
            </w:tcBorders>
          </w:tcPr>
          <w:p>
            <w:pPr>
              <w:jc w:val="right"/>
              <w:ind w:right="249"/>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300" w:type="dxa"/>
            <w:vAlign w:val="bottom"/>
            <w:tcBorders>
              <w:bottom w:val="single" w:sz="8" w:color="D4EEF4"/>
            </w:tcBorders>
          </w:tcPr>
          <w:p>
            <w:pPr>
              <w:spacing w:after="0"/>
              <w:rPr>
                <w:sz w:val="19"/>
                <w:szCs w:val="19"/>
                <w:color w:val="auto"/>
              </w:rPr>
            </w:pPr>
          </w:p>
        </w:tc>
        <w:tc>
          <w:tcPr>
            <w:tcW w:w="640" w:type="dxa"/>
            <w:vAlign w:val="bottom"/>
            <w:tcBorders>
              <w:bottom w:val="single" w:sz="8" w:color="auto"/>
            </w:tcBorders>
          </w:tcPr>
          <w:p>
            <w:pPr>
              <w:jc w:val="right"/>
              <w:ind w:right="29"/>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22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Federal statutory rate</w:t>
            </w:r>
          </w:p>
        </w:tc>
        <w:tc>
          <w:tcPr>
            <w:tcW w:w="136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62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w w:val="94"/>
              </w:rPr>
              <w:t>21.0%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136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62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Expiration of net operating losses and tax credits</w:t>
            </w:r>
          </w:p>
        </w:tc>
        <w:tc>
          <w:tcPr>
            <w:tcW w:w="136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62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increase/decrease</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Uncertain tax positions</w:t>
            </w:r>
          </w:p>
        </w:tc>
        <w:tc>
          <w:tcPr>
            <w:tcW w:w="136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62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Return to provision adjustments and change in tax rates</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36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62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rate</w:t>
            </w: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30.7%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696" w:right="1080" w:bottom="175"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deferred tax assets as of December 31, 2024 and December 31, 2023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As of</w:t>
            </w:r>
          </w:p>
        </w:tc>
      </w:tr>
      <w:tr>
        <w:trPr>
          <w:trHeight w:val="244"/>
        </w:trPr>
        <w:tc>
          <w:tcPr>
            <w:tcW w:w="5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21"/>
                <w:szCs w:val="21"/>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3"/>
        </w:trPr>
        <w:tc>
          <w:tcPr>
            <w:tcW w:w="5660" w:type="dxa"/>
            <w:vAlign w:val="bottom"/>
            <w:tcBorders>
              <w:bottom w:val="single" w:sz="8" w:color="D4EEF4"/>
            </w:tcBorders>
          </w:tcPr>
          <w:p>
            <w:pPr>
              <w:spacing w:after="0"/>
              <w:rPr>
                <w:sz w:val="22"/>
                <w:szCs w:val="22"/>
                <w:color w:val="auto"/>
              </w:rPr>
            </w:pPr>
          </w:p>
        </w:tc>
        <w:tc>
          <w:tcPr>
            <w:tcW w:w="1540" w:type="dxa"/>
            <w:vAlign w:val="bottom"/>
            <w:tcBorders>
              <w:bottom w:val="single" w:sz="8" w:color="D4EEF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6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Borders>
              <w:bottom w:val="single" w:sz="8" w:color="D4EEF4"/>
            </w:tcBorders>
          </w:tcPr>
          <w:p>
            <w:pPr>
              <w:spacing w:after="0"/>
              <w:rPr>
                <w:sz w:val="22"/>
                <w:szCs w:val="22"/>
                <w:color w:val="auto"/>
              </w:rPr>
            </w:pPr>
          </w:p>
        </w:tc>
      </w:tr>
      <w:tr>
        <w:trPr>
          <w:trHeight w:val="224"/>
        </w:trPr>
        <w:tc>
          <w:tcPr>
            <w:tcW w:w="5660" w:type="dxa"/>
            <w:vAlign w:val="bottom"/>
            <w:shd w:val="clear" w:color="auto" w:fill="D4EEF4"/>
          </w:tcPr>
          <w:p>
            <w:pPr>
              <w:spacing w:after="0" w:line="224" w:lineRule="exact"/>
              <w:rPr>
                <w:sz w:val="20"/>
                <w:szCs w:val="20"/>
                <w:color w:val="auto"/>
              </w:rPr>
            </w:pPr>
            <w:r>
              <w:rPr>
                <w:rFonts w:ascii="Times New Roman" w:cs="Times New Roman" w:eastAsia="Times New Roman" w:hAnsi="Times New Roman"/>
                <w:sz w:val="20"/>
                <w:szCs w:val="20"/>
                <w:color w:val="auto"/>
              </w:rPr>
              <w:t>Deferred tax assets:</w:t>
            </w:r>
          </w:p>
        </w:tc>
        <w:tc>
          <w:tcPr>
            <w:tcW w:w="15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44"/>
        </w:trPr>
        <w:tc>
          <w:tcPr>
            <w:tcW w:w="5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 compensation</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7,206</w:t>
            </w:r>
          </w:p>
        </w:tc>
        <w:tc>
          <w:tcPr>
            <w:tcW w:w="16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5,760</w:t>
            </w:r>
          </w:p>
        </w:tc>
        <w:tc>
          <w:tcPr>
            <w:tcW w:w="100" w:type="dxa"/>
            <w:vAlign w:val="bottom"/>
          </w:tcPr>
          <w:p>
            <w:pPr>
              <w:spacing w:after="0"/>
              <w:rPr>
                <w:sz w:val="21"/>
                <w:szCs w:val="21"/>
                <w:color w:val="auto"/>
              </w:rPr>
            </w:pPr>
          </w:p>
        </w:tc>
      </w:tr>
      <w:tr>
        <w:trPr>
          <w:trHeight w:val="244"/>
        </w:trPr>
        <w:tc>
          <w:tcPr>
            <w:tcW w:w="56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1540" w:type="dxa"/>
            <w:vAlign w:val="bottom"/>
            <w:shd w:val="clear" w:color="auto" w:fill="D4EEF4"/>
          </w:tcPr>
          <w:p>
            <w:pPr>
              <w:spacing w:after="0"/>
              <w:rPr>
                <w:sz w:val="21"/>
                <w:szCs w:val="21"/>
                <w:color w:val="auto"/>
              </w:rPr>
            </w:pPr>
          </w:p>
        </w:tc>
        <w:tc>
          <w:tcPr>
            <w:tcW w:w="240" w:type="dxa"/>
            <w:vAlign w:val="bottom"/>
            <w:shd w:val="clear" w:color="auto" w:fill="D4EEF4"/>
          </w:tcPr>
          <w:p>
            <w:pPr>
              <w:spacing w:after="0"/>
              <w:rPr>
                <w:sz w:val="21"/>
                <w:szCs w:val="21"/>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21"/>
                <w:szCs w:val="21"/>
                <w:color w:val="auto"/>
              </w:rPr>
            </w:pPr>
          </w:p>
        </w:tc>
      </w:tr>
      <w:tr>
        <w:trPr>
          <w:trHeight w:val="244"/>
        </w:trPr>
        <w:tc>
          <w:tcPr>
            <w:tcW w:w="5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Passthrough activity—investment in partnerships</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9,932</w:t>
            </w:r>
          </w:p>
        </w:tc>
        <w:tc>
          <w:tcPr>
            <w:tcW w:w="100" w:type="dxa"/>
            <w:vAlign w:val="bottom"/>
          </w:tcPr>
          <w:p>
            <w:pPr>
              <w:spacing w:after="0"/>
              <w:rPr>
                <w:sz w:val="21"/>
                <w:szCs w:val="21"/>
                <w:color w:val="auto"/>
              </w:rPr>
            </w:pPr>
          </w:p>
        </w:tc>
      </w:tr>
      <w:tr>
        <w:trPr>
          <w:trHeight w:val="244"/>
        </w:trPr>
        <w:tc>
          <w:tcPr>
            <w:tcW w:w="56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Intangibles</w:t>
            </w:r>
          </w:p>
        </w:tc>
        <w:tc>
          <w:tcPr>
            <w:tcW w:w="1540" w:type="dxa"/>
            <w:vAlign w:val="bottom"/>
            <w:shd w:val="clear" w:color="auto" w:fill="D4EEF4"/>
          </w:tcPr>
          <w:p>
            <w:pPr>
              <w:spacing w:after="0"/>
              <w:rPr>
                <w:sz w:val="21"/>
                <w:szCs w:val="21"/>
                <w:color w:val="auto"/>
              </w:rPr>
            </w:pPr>
          </w:p>
        </w:tc>
        <w:tc>
          <w:tcPr>
            <w:tcW w:w="240" w:type="dxa"/>
            <w:vAlign w:val="bottom"/>
            <w:shd w:val="clear" w:color="auto" w:fill="D4EEF4"/>
          </w:tcPr>
          <w:p>
            <w:pPr>
              <w:spacing w:after="0"/>
              <w:rPr>
                <w:sz w:val="21"/>
                <w:szCs w:val="21"/>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21"/>
                <w:szCs w:val="21"/>
                <w:color w:val="auto"/>
              </w:rPr>
            </w:pPr>
          </w:p>
        </w:tc>
      </w:tr>
      <w:tr>
        <w:trPr>
          <w:trHeight w:val="244"/>
        </w:trPr>
        <w:tc>
          <w:tcPr>
            <w:tcW w:w="566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Net operating losses and credit carryforwards</w:t>
            </w:r>
          </w:p>
        </w:tc>
        <w:tc>
          <w:tcPr>
            <w:tcW w:w="1540" w:type="dxa"/>
            <w:vAlign w:val="bottom"/>
            <w:tcBorders>
              <w:bottom w:val="single" w:sz="8" w:color="D4EE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13,614</w:t>
            </w:r>
          </w:p>
        </w:tc>
        <w:tc>
          <w:tcPr>
            <w:tcW w:w="160" w:type="dxa"/>
            <w:vAlign w:val="bottom"/>
            <w:tcBorders>
              <w:bottom w:val="single" w:sz="8" w:color="D4EEF4"/>
            </w:tcBorders>
          </w:tcPr>
          <w:p>
            <w:pPr>
              <w:spacing w:after="0"/>
              <w:rPr>
                <w:sz w:val="21"/>
                <w:szCs w:val="21"/>
                <w:color w:val="auto"/>
              </w:rPr>
            </w:pPr>
          </w:p>
        </w:tc>
        <w:tc>
          <w:tcPr>
            <w:tcW w:w="80" w:type="dxa"/>
            <w:vAlign w:val="bottom"/>
            <w:tcBorders>
              <w:bottom w:val="single" w:sz="8" w:color="D4EE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34,644</w:t>
            </w:r>
          </w:p>
        </w:tc>
        <w:tc>
          <w:tcPr>
            <w:tcW w:w="100" w:type="dxa"/>
            <w:vAlign w:val="bottom"/>
            <w:tcBorders>
              <w:bottom w:val="single" w:sz="8" w:color="D4EEF4"/>
            </w:tcBorders>
          </w:tcPr>
          <w:p>
            <w:pPr>
              <w:spacing w:after="0"/>
              <w:rPr>
                <w:sz w:val="21"/>
                <w:szCs w:val="21"/>
                <w:color w:val="auto"/>
              </w:rPr>
            </w:pPr>
          </w:p>
        </w:tc>
      </w:tr>
      <w:tr>
        <w:trPr>
          <w:trHeight w:val="234"/>
        </w:trPr>
        <w:tc>
          <w:tcPr>
            <w:tcW w:w="56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540" w:type="dxa"/>
            <w:vAlign w:val="bottom"/>
            <w:shd w:val="clear" w:color="auto" w:fill="D4EEF4"/>
          </w:tcPr>
          <w:p>
            <w:pPr>
              <w:spacing w:after="0"/>
              <w:rPr>
                <w:sz w:val="20"/>
                <w:szCs w:val="20"/>
                <w:color w:val="auto"/>
              </w:rPr>
            </w:pPr>
          </w:p>
        </w:tc>
        <w:tc>
          <w:tcPr>
            <w:tcW w:w="240" w:type="dxa"/>
            <w:vAlign w:val="bottom"/>
            <w:shd w:val="clear" w:color="auto" w:fill="D4EEF4"/>
          </w:tcPr>
          <w:p>
            <w:pPr>
              <w:spacing w:after="0"/>
              <w:rPr>
                <w:sz w:val="20"/>
                <w:szCs w:val="20"/>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46,363</w:t>
            </w:r>
          </w:p>
        </w:tc>
        <w:tc>
          <w:tcPr>
            <w:tcW w:w="160" w:type="dxa"/>
            <w:vAlign w:val="bottom"/>
            <w:shd w:val="clear" w:color="auto" w:fill="D4EEF4"/>
          </w:tcPr>
          <w:p>
            <w:pPr>
              <w:spacing w:after="0"/>
              <w:rPr>
                <w:sz w:val="20"/>
                <w:szCs w:val="20"/>
                <w:color w:val="auto"/>
              </w:rPr>
            </w:pPr>
          </w:p>
        </w:tc>
        <w:tc>
          <w:tcPr>
            <w:tcW w:w="80" w:type="dxa"/>
            <w:vAlign w:val="bottom"/>
            <w:shd w:val="clear" w:color="auto" w:fill="D4EEF4"/>
          </w:tcPr>
          <w:p>
            <w:pPr>
              <w:spacing w:after="0"/>
              <w:rPr>
                <w:sz w:val="20"/>
                <w:szCs w:val="20"/>
                <w:color w:val="auto"/>
              </w:rPr>
            </w:pPr>
          </w:p>
        </w:tc>
        <w:tc>
          <w:tcPr>
            <w:tcW w:w="260" w:type="dxa"/>
            <w:vAlign w:val="bottom"/>
            <w:shd w:val="clear" w:color="auto" w:fill="D4EEF4"/>
          </w:tcPr>
          <w:p>
            <w:pPr>
              <w:spacing w:after="0"/>
              <w:rPr>
                <w:sz w:val="20"/>
                <w:szCs w:val="20"/>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50,336</w:t>
            </w:r>
          </w:p>
        </w:tc>
        <w:tc>
          <w:tcPr>
            <w:tcW w:w="100" w:type="dxa"/>
            <w:vAlign w:val="bottom"/>
            <w:shd w:val="clear" w:color="auto" w:fill="D4EEF4"/>
          </w:tcPr>
          <w:p>
            <w:pPr>
              <w:spacing w:after="0"/>
              <w:rPr>
                <w:sz w:val="20"/>
                <w:szCs w:val="20"/>
                <w:color w:val="auto"/>
              </w:rPr>
            </w:pPr>
          </w:p>
        </w:tc>
      </w:tr>
      <w:tr>
        <w:trPr>
          <w:trHeight w:val="244"/>
        </w:trPr>
        <w:tc>
          <w:tcPr>
            <w:tcW w:w="5660" w:type="dxa"/>
            <w:vAlign w:val="bottom"/>
            <w:tcBorders>
              <w:bottom w:val="single" w:sz="8" w:color="D4EEF4"/>
            </w:tcBorders>
          </w:tcPr>
          <w:p>
            <w:pPr>
              <w:ind w:left="300"/>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1540" w:type="dxa"/>
            <w:vAlign w:val="bottom"/>
            <w:tcBorders>
              <w:bottom w:val="single" w:sz="8" w:color="D4EE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(12,818)</w:t>
            </w:r>
          </w:p>
        </w:tc>
        <w:tc>
          <w:tcPr>
            <w:tcW w:w="160" w:type="dxa"/>
            <w:vAlign w:val="bottom"/>
            <w:tcBorders>
              <w:bottom w:val="single" w:sz="8" w:color="D4EEF4"/>
            </w:tcBorders>
          </w:tcPr>
          <w:p>
            <w:pPr>
              <w:spacing w:after="0"/>
              <w:rPr>
                <w:sz w:val="21"/>
                <w:szCs w:val="21"/>
                <w:color w:val="auto"/>
              </w:rPr>
            </w:pPr>
          </w:p>
        </w:tc>
        <w:tc>
          <w:tcPr>
            <w:tcW w:w="80" w:type="dxa"/>
            <w:vAlign w:val="bottom"/>
            <w:tcBorders>
              <w:bottom w:val="single" w:sz="8" w:color="D4EE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(12,818)</w:t>
            </w:r>
          </w:p>
        </w:tc>
        <w:tc>
          <w:tcPr>
            <w:tcW w:w="100" w:type="dxa"/>
            <w:vAlign w:val="bottom"/>
            <w:tcBorders>
              <w:bottom w:val="single" w:sz="8" w:color="D4EEF4"/>
            </w:tcBorders>
          </w:tcPr>
          <w:p>
            <w:pPr>
              <w:spacing w:after="0"/>
              <w:rPr>
                <w:sz w:val="21"/>
                <w:szCs w:val="21"/>
                <w:color w:val="auto"/>
              </w:rPr>
            </w:pPr>
          </w:p>
        </w:tc>
      </w:tr>
      <w:tr>
        <w:trPr>
          <w:trHeight w:val="234"/>
        </w:trPr>
        <w:tc>
          <w:tcPr>
            <w:tcW w:w="5660" w:type="dxa"/>
            <w:vAlign w:val="bottom"/>
            <w:tcBorders>
              <w:bottom w:val="single" w:sz="8" w:color="D4EEF4"/>
            </w:tcBorders>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540" w:type="dxa"/>
            <w:vAlign w:val="bottom"/>
            <w:tcBorders>
              <w:bottom w:val="single" w:sz="8" w:color="D4EEF4"/>
            </w:tcBorders>
            <w:shd w:val="clear" w:color="auto" w:fill="D4EEF4"/>
          </w:tcPr>
          <w:p>
            <w:pPr>
              <w:spacing w:after="0"/>
              <w:rPr>
                <w:sz w:val="20"/>
                <w:szCs w:val="20"/>
                <w:color w:val="auto"/>
              </w:rPr>
            </w:pPr>
          </w:p>
        </w:tc>
        <w:tc>
          <w:tcPr>
            <w:tcW w:w="240" w:type="dxa"/>
            <w:vAlign w:val="bottom"/>
            <w:tcBorders>
              <w:bottom w:val="single" w:sz="8" w:color="auto"/>
            </w:tcBorders>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33,545</w:t>
            </w:r>
          </w:p>
        </w:tc>
        <w:tc>
          <w:tcPr>
            <w:tcW w:w="160" w:type="dxa"/>
            <w:vAlign w:val="bottom"/>
            <w:tcBorders>
              <w:bottom w:val="single" w:sz="8" w:color="D4EEF4"/>
            </w:tcBorders>
            <w:shd w:val="clear" w:color="auto" w:fill="D4EEF4"/>
          </w:tcPr>
          <w:p>
            <w:pPr>
              <w:spacing w:after="0"/>
              <w:rPr>
                <w:sz w:val="20"/>
                <w:szCs w:val="20"/>
                <w:color w:val="auto"/>
              </w:rPr>
            </w:pPr>
          </w:p>
        </w:tc>
        <w:tc>
          <w:tcPr>
            <w:tcW w:w="80" w:type="dxa"/>
            <w:vAlign w:val="bottom"/>
            <w:tcBorders>
              <w:bottom w:val="single" w:sz="8" w:color="D4EEF4"/>
            </w:tcBorders>
            <w:shd w:val="clear" w:color="auto" w:fill="D4EEF4"/>
          </w:tcPr>
          <w:p>
            <w:pPr>
              <w:spacing w:after="0"/>
              <w:rPr>
                <w:sz w:val="20"/>
                <w:szCs w:val="20"/>
                <w:color w:val="auto"/>
              </w:rPr>
            </w:pPr>
          </w:p>
        </w:tc>
        <w:tc>
          <w:tcPr>
            <w:tcW w:w="260" w:type="dxa"/>
            <w:vAlign w:val="bottom"/>
            <w:tcBorders>
              <w:bottom w:val="single" w:sz="8" w:color="auto"/>
            </w:tcBorders>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37,518</w:t>
            </w:r>
          </w:p>
        </w:tc>
        <w:tc>
          <w:tcPr>
            <w:tcW w:w="100" w:type="dxa"/>
            <w:vAlign w:val="bottom"/>
            <w:tcBorders>
              <w:bottom w:val="single" w:sz="8" w:color="D4EEF4"/>
            </w:tcBorders>
            <w:shd w:val="clear" w:color="auto" w:fill="D4EEF4"/>
          </w:tcPr>
          <w:p>
            <w:pPr>
              <w:spacing w:after="0"/>
              <w:rPr>
                <w:sz w:val="20"/>
                <w:szCs w:val="20"/>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Valuation allowances are established when necessary to reduce deferred tax assets to the amount that are more-likely-than-not expected to be realized based on the weighing of positive and negative evidence. Future realization of the deferred tax assets ultimately depends on the existence of sufficient taxable income of the appropriate character (for example, ordinary income or capital gain) within the carryback or carryforward periods available under the applicable tax law. The Company regularly reviews the deferred tax assets for recoverability based on the historical taxable income, projected future taxable income, the expected timing of the reversals of existing temporary differences and tax planning strategies. This may change due to many factors, including future market conditions and the ability to successfully execute the business plan and/or tax planning strategies.</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Company had a valuation allowance against net deferred tax asset of $12.8 million as of December 31, 2024. The components of the existing valuation allowance primarily include a valuation allowance recorded in 2020 against its net deferred tax asset of $11.4 million due to the write-off of an intercompany debt which is capital in nature. Management believes that it is not more-likely-than-not that future operations will generate sufficient taxable capital gain income to realize the deferred tax asset. This assessment remains valid for 2024, and no adjustments have been made to this valuation allowance. The remaining $1.4 million valuation allowance is against the NOLs that are expected to expire without being used. However, should there be a change in the ability to recover deferred tax assets, the income tax provision would either increase or decrease in the period when the assessment is modified.</w:t>
      </w:r>
    </w:p>
    <w:p>
      <w:pPr>
        <w:spacing w:after="0" w:line="20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2024, the Company had federal carryforwards of approximately $60.2 million (net of $4.1 million uncertain tax reserve). The federal NOL carryforward may expire beginning in 2033, if not utilized. This includes $64.3 million that may expire between 2033-2039. The Company is expected to use the majority of the federal NOLs before expiration based on historical taxable income, projected future taxable income, and the expected timing of the reversals of existing temporary differences. The Company had post-rate effected state NOLs (net of valuation allowance on expected expire unused) of approximately $0.6 million as of December 31, 2024.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20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Company accounts for uncertainty in tax positions recognized in the consolidated financial statements by recognizing a tax benefit from an uncertain tax position when it is more-likely-than-not that the position will be sustained upon examination based on the technical merits. Recording an uncertain tax position is inherently uncertain and requires making judgments, assumptions, and estimates. The Company believes the judgments, assumptions and estimates made are reasonable and appropriate, no assurance can be given that the final tax outcome of these matters will not be different. To the extent that the final tax outcome of these matters is different than the amount recorded, such difference will affect the provision for income taxes and the effective tax rate in the period in which such determination is made.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696" w:right="1080" w:bottom="175"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reconciliation of the Company's unrecognized tax benefits, which is included in deferred tax assets, net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at the beginning and end of the year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5"/>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53"/>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gridSpan w:val="5"/>
          </w:tcPr>
          <w:p>
            <w:pPr>
              <w:jc w:val="right"/>
              <w:ind w:right="9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7240" w:type="dxa"/>
            <w:vAlign w:val="bottom"/>
            <w:tcBorders>
              <w:bottom w:val="single" w:sz="8" w:color="D4EEF4"/>
            </w:tcBorders>
          </w:tcPr>
          <w:p>
            <w:pPr>
              <w:spacing w:after="0"/>
              <w:rPr>
                <w:sz w:val="19"/>
                <w:szCs w:val="19"/>
                <w:color w:val="auto"/>
              </w:rPr>
            </w:pPr>
          </w:p>
        </w:tc>
        <w:tc>
          <w:tcPr>
            <w:tcW w:w="20" w:type="dxa"/>
            <w:vAlign w:val="bottom"/>
            <w:tcBorders>
              <w:bottom w:val="single" w:sz="8" w:color="D4EEF4"/>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top w:val="single" w:sz="8" w:color="auto"/>
              <w:bottom w:val="single" w:sz="8" w:color="D4EEF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D4EEF4"/>
            </w:tcBorders>
          </w:tcPr>
          <w:p>
            <w:pPr>
              <w:spacing w:after="0"/>
              <w:rPr>
                <w:sz w:val="19"/>
                <w:szCs w:val="19"/>
                <w:color w:val="auto"/>
              </w:rPr>
            </w:pPr>
          </w:p>
        </w:tc>
      </w:tr>
      <w:tr>
        <w:trPr>
          <w:trHeight w:val="220"/>
        </w:trPr>
        <w:tc>
          <w:tcPr>
            <w:tcW w:w="72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Balance at January 1</w:t>
            </w:r>
          </w:p>
        </w:tc>
        <w:tc>
          <w:tcPr>
            <w:tcW w:w="20" w:type="dxa"/>
            <w:vAlign w:val="bottom"/>
            <w:shd w:val="clear" w:color="auto" w:fill="D4EEF4"/>
          </w:tcPr>
          <w:p>
            <w:pPr>
              <w:spacing w:after="0"/>
              <w:rPr>
                <w:sz w:val="19"/>
                <w:szCs w:val="19"/>
                <w:color w:val="auto"/>
              </w:rPr>
            </w:pPr>
          </w:p>
        </w:tc>
        <w:tc>
          <w:tcPr>
            <w:tcW w:w="240" w:type="dxa"/>
            <w:vAlign w:val="bottom"/>
            <w:shd w:val="clear" w:color="auto" w:fill="D4EEF4"/>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6,192</w:t>
            </w:r>
          </w:p>
        </w:tc>
        <w:tc>
          <w:tcPr>
            <w:tcW w:w="240" w:type="dxa"/>
            <w:vAlign w:val="bottom"/>
            <w:shd w:val="clear" w:color="auto" w:fill="D4EEF4"/>
          </w:tcPr>
          <w:p>
            <w:pPr>
              <w:spacing w:after="0"/>
              <w:rPr>
                <w:sz w:val="19"/>
                <w:szCs w:val="19"/>
                <w:color w:val="auto"/>
              </w:rPr>
            </w:pPr>
          </w:p>
        </w:tc>
        <w:tc>
          <w:tcPr>
            <w:tcW w:w="280" w:type="dxa"/>
            <w:vAlign w:val="bottom"/>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6,742</w:t>
            </w:r>
          </w:p>
        </w:tc>
        <w:tc>
          <w:tcPr>
            <w:tcW w:w="100" w:type="dxa"/>
            <w:vAlign w:val="bottom"/>
            <w:shd w:val="clear" w:color="auto" w:fill="D4EEF4"/>
          </w:tcPr>
          <w:p>
            <w:pPr>
              <w:spacing w:after="0"/>
              <w:rPr>
                <w:sz w:val="19"/>
                <w:szCs w:val="19"/>
                <w:color w:val="auto"/>
              </w:rPr>
            </w:pPr>
          </w:p>
        </w:tc>
      </w:tr>
      <w:tr>
        <w:trPr>
          <w:trHeight w:val="230"/>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30"/>
        </w:trPr>
        <w:tc>
          <w:tcPr>
            <w:tcW w:w="724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2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r>
      <w:tr>
        <w:trPr>
          <w:trHeight w:val="230"/>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(550)</w:t>
            </w:r>
          </w:p>
        </w:tc>
      </w:tr>
      <w:tr>
        <w:trPr>
          <w:trHeight w:val="230"/>
        </w:trPr>
        <w:tc>
          <w:tcPr>
            <w:tcW w:w="724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Settlements</w:t>
            </w:r>
          </w:p>
        </w:tc>
        <w:tc>
          <w:tcPr>
            <w:tcW w:w="2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r>
      <w:tr>
        <w:trPr>
          <w:trHeight w:val="220"/>
        </w:trPr>
        <w:tc>
          <w:tcPr>
            <w:tcW w:w="7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6,192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6,192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auto"/>
        </w:rPr>
        <w:t>The uncertain tax position is primarily related to imputed interest, and research and development credits. The 2023 decrease of $0.5 million resulted from the release of the state exposure related to the intercompany interest expense. This release was due to the statute of the limitation expired in the states where the uncertain tax positions existed.</w:t>
      </w:r>
    </w:p>
    <w:p>
      <w:pPr>
        <w:spacing w:after="0" w:line="188" w:lineRule="exact"/>
        <w:rPr>
          <w:sz w:val="20"/>
          <w:szCs w:val="20"/>
          <w:color w:val="auto"/>
        </w:rPr>
      </w:pPr>
    </w:p>
    <w:p>
      <w:pPr>
        <w:jc w:val="both"/>
        <w:ind w:right="540" w:firstLine="490"/>
        <w:spacing w:after="0" w:line="278" w:lineRule="auto"/>
        <w:rPr>
          <w:sz w:val="20"/>
          <w:szCs w:val="20"/>
          <w:color w:val="auto"/>
        </w:rPr>
      </w:pPr>
      <w:r>
        <w:rPr>
          <w:rFonts w:ascii="Times New Roman" w:cs="Times New Roman" w:eastAsia="Times New Roman" w:hAnsi="Times New Roman"/>
          <w:sz w:val="19"/>
          <w:szCs w:val="19"/>
          <w:color w:val="auto"/>
        </w:rPr>
        <w:t>The Company does not anticipate any significant changes to the unrecognized tax benefits within the next twelve months. The Company recognizes interest and penalties related to uncertain tax positions in income tax expense. As of December 31, 2024, the Company has $0.1 million of accrued interest and penalties related to uncertain tax positions.</w:t>
      </w:r>
    </w:p>
    <w:p>
      <w:pPr>
        <w:spacing w:after="0" w:line="171"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206"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8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December 31, 2024, there are 10,532,611 shares available for grant under the Plan.</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696" w:right="1080" w:bottom="175"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 summary of stock option activity for the years ended December 31, 2024 and December 31, 2023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(whole dollars)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10,612,231</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39,004,141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20" w:type="dxa"/>
            <w:vAlign w:val="bottom"/>
            <w:gridSpan w:val="2"/>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3,825,842</w:t>
            </w:r>
          </w:p>
        </w:tc>
        <w:tc>
          <w:tcPr>
            <w:tcW w:w="260" w:type="dxa"/>
            <w:vAlign w:val="bottom"/>
            <w:shd w:val="clear" w:color="auto" w:fill="D4EEF4"/>
          </w:tcPr>
          <w:p>
            <w:pPr>
              <w:spacing w:after="0"/>
              <w:rPr>
                <w:sz w:val="23"/>
                <w:szCs w:val="23"/>
                <w:color w:val="auto"/>
              </w:rPr>
            </w:pPr>
          </w:p>
        </w:tc>
        <w:tc>
          <w:tcPr>
            <w:tcW w:w="160" w:type="dxa"/>
            <w:vAlign w:val="bottom"/>
            <w:shd w:val="clear" w:color="auto" w:fill="D4EEF4"/>
          </w:tcPr>
          <w:p>
            <w:pPr>
              <w:spacing w:after="0"/>
              <w:rPr>
                <w:sz w:val="23"/>
                <w:szCs w:val="23"/>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220" w:type="dxa"/>
            <w:vAlign w:val="bottom"/>
            <w:shd w:val="clear" w:color="auto" w:fill="D4EEF4"/>
          </w:tcPr>
          <w:p>
            <w:pPr>
              <w:spacing w:after="0"/>
              <w:rPr>
                <w:sz w:val="23"/>
                <w:szCs w:val="23"/>
                <w:color w:val="auto"/>
              </w:rPr>
            </w:pPr>
          </w:p>
        </w:tc>
        <w:tc>
          <w:tcPr>
            <w:tcW w:w="20" w:type="dxa"/>
            <w:vAlign w:val="bottom"/>
            <w:shd w:val="clear" w:color="auto" w:fill="D4EEF4"/>
          </w:tcPr>
          <w:p>
            <w:pPr>
              <w:spacing w:after="0"/>
              <w:rPr>
                <w:sz w:val="23"/>
                <w:szCs w:val="23"/>
                <w:color w:val="auto"/>
              </w:rPr>
            </w:pPr>
          </w:p>
        </w:tc>
        <w:tc>
          <w:tcPr>
            <w:tcW w:w="1460" w:type="dxa"/>
            <w:vAlign w:val="bottom"/>
            <w:shd w:val="clear" w:color="auto" w:fill="D4EEF4"/>
          </w:tcPr>
          <w:p>
            <w:pPr>
              <w:spacing w:after="0"/>
              <w:rPr>
                <w:sz w:val="23"/>
                <w:szCs w:val="23"/>
                <w:color w:val="auto"/>
              </w:rPr>
            </w:pPr>
          </w:p>
        </w:tc>
        <w:tc>
          <w:tcPr>
            <w:tcW w:w="260" w:type="dxa"/>
            <w:vAlign w:val="bottom"/>
            <w:shd w:val="clear" w:color="auto" w:fill="D4EEF4"/>
          </w:tcPr>
          <w:p>
            <w:pPr>
              <w:spacing w:after="0"/>
              <w:rPr>
                <w:sz w:val="23"/>
                <w:szCs w:val="23"/>
                <w:color w:val="auto"/>
              </w:rPr>
            </w:pPr>
          </w:p>
        </w:tc>
        <w:tc>
          <w:tcPr>
            <w:tcW w:w="2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12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(721,222)</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Expired/Forfeited</w:t>
            </w:r>
          </w:p>
        </w:tc>
        <w:tc>
          <w:tcPr>
            <w:tcW w:w="20" w:type="dxa"/>
            <w:vAlign w:val="bottom"/>
            <w:tcBorders>
              <w:bottom w:val="single" w:sz="8" w:color="auto"/>
            </w:tcBorders>
            <w:shd w:val="clear" w:color="auto" w:fill="D4EEF4"/>
          </w:tcPr>
          <w:p>
            <w:pPr>
              <w:spacing w:after="0"/>
              <w:rPr>
                <w:sz w:val="23"/>
                <w:szCs w:val="23"/>
                <w:color w:val="auto"/>
              </w:rPr>
            </w:pPr>
          </w:p>
        </w:tc>
        <w:tc>
          <w:tcPr>
            <w:tcW w:w="14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(1,001,470)</w:t>
            </w:r>
          </w:p>
        </w:tc>
        <w:tc>
          <w:tcPr>
            <w:tcW w:w="260" w:type="dxa"/>
            <w:vAlign w:val="bottom"/>
            <w:shd w:val="clear" w:color="auto" w:fill="D4EEF4"/>
          </w:tcPr>
          <w:p>
            <w:pPr>
              <w:spacing w:after="0"/>
              <w:rPr>
                <w:sz w:val="23"/>
                <w:szCs w:val="23"/>
                <w:color w:val="auto"/>
              </w:rPr>
            </w:pPr>
          </w:p>
        </w:tc>
        <w:tc>
          <w:tcPr>
            <w:tcW w:w="160" w:type="dxa"/>
            <w:vAlign w:val="bottom"/>
            <w:tcBorders>
              <w:bottom w:val="single" w:sz="8" w:color="auto"/>
            </w:tcBorders>
            <w:shd w:val="clear" w:color="auto" w:fill="D4EEF4"/>
          </w:tcPr>
          <w:p>
            <w:pPr>
              <w:spacing w:after="0"/>
              <w:rPr>
                <w:sz w:val="23"/>
                <w:szCs w:val="23"/>
                <w:color w:val="auto"/>
              </w:rPr>
            </w:pPr>
          </w:p>
        </w:tc>
        <w:tc>
          <w:tcPr>
            <w:tcW w:w="12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220" w:type="dxa"/>
            <w:vAlign w:val="bottom"/>
            <w:shd w:val="clear" w:color="auto" w:fill="D4EEF4"/>
          </w:tcPr>
          <w:p>
            <w:pPr>
              <w:spacing w:after="0"/>
              <w:rPr>
                <w:sz w:val="23"/>
                <w:szCs w:val="23"/>
                <w:color w:val="auto"/>
              </w:rPr>
            </w:pPr>
          </w:p>
        </w:tc>
        <w:tc>
          <w:tcPr>
            <w:tcW w:w="20" w:type="dxa"/>
            <w:vAlign w:val="bottom"/>
            <w:tcBorders>
              <w:bottom w:val="single" w:sz="8" w:color="auto"/>
            </w:tcBorders>
            <w:shd w:val="clear" w:color="auto" w:fill="D4EEF4"/>
          </w:tcPr>
          <w:p>
            <w:pPr>
              <w:spacing w:after="0"/>
              <w:rPr>
                <w:sz w:val="23"/>
                <w:szCs w:val="23"/>
                <w:color w:val="auto"/>
              </w:rPr>
            </w:pPr>
          </w:p>
        </w:tc>
        <w:tc>
          <w:tcPr>
            <w:tcW w:w="1460" w:type="dxa"/>
            <w:vAlign w:val="bottom"/>
            <w:tcBorders>
              <w:bottom w:val="single" w:sz="8" w:color="auto"/>
            </w:tcBorders>
            <w:shd w:val="clear" w:color="auto" w:fill="D4EEF4"/>
          </w:tcPr>
          <w:p>
            <w:pPr>
              <w:spacing w:after="0"/>
              <w:rPr>
                <w:sz w:val="23"/>
                <w:szCs w:val="23"/>
                <w:color w:val="auto"/>
              </w:rPr>
            </w:pPr>
          </w:p>
        </w:tc>
        <w:tc>
          <w:tcPr>
            <w:tcW w:w="260" w:type="dxa"/>
            <w:vAlign w:val="bottom"/>
            <w:shd w:val="clear" w:color="auto" w:fill="D4EEF4"/>
          </w:tcPr>
          <w:p>
            <w:pPr>
              <w:spacing w:after="0"/>
              <w:rPr>
                <w:sz w:val="23"/>
                <w:szCs w:val="23"/>
                <w:color w:val="auto"/>
              </w:rPr>
            </w:pPr>
          </w:p>
        </w:tc>
        <w:tc>
          <w:tcPr>
            <w:tcW w:w="20" w:type="dxa"/>
            <w:vAlign w:val="bottom"/>
            <w:tcBorders>
              <w:bottom w:val="single" w:sz="8" w:color="auto"/>
            </w:tcBorders>
            <w:shd w:val="clear" w:color="auto" w:fill="D4EEF4"/>
          </w:tcPr>
          <w:p>
            <w:pPr>
              <w:spacing w:after="0"/>
              <w:rPr>
                <w:sz w:val="23"/>
                <w:szCs w:val="23"/>
                <w:color w:val="auto"/>
              </w:rPr>
            </w:pPr>
          </w:p>
        </w:tc>
        <w:tc>
          <w:tcPr>
            <w:tcW w:w="140" w:type="dxa"/>
            <w:vAlign w:val="bottom"/>
            <w:tcBorders>
              <w:bottom w:val="single" w:sz="8" w:color="auto"/>
            </w:tcBorders>
            <w:shd w:val="clear" w:color="auto" w:fill="D4EEF4"/>
          </w:tcPr>
          <w:p>
            <w:pPr>
              <w:spacing w:after="0"/>
              <w:rPr>
                <w:sz w:val="23"/>
                <w:szCs w:val="23"/>
                <w:color w:val="auto"/>
              </w:rPr>
            </w:pPr>
          </w:p>
        </w:tc>
        <w:tc>
          <w:tcPr>
            <w:tcW w:w="1280" w:type="dxa"/>
            <w:vAlign w:val="bottom"/>
            <w:tcBorders>
              <w:bottom w:val="single" w:sz="8" w:color="auto"/>
            </w:tcBorders>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0" w:type="dxa"/>
            <w:vAlign w:val="bottom"/>
          </w:tcPr>
          <w:p>
            <w:pPr>
              <w:spacing w:after="0"/>
              <w:rPr>
                <w:sz w:val="1"/>
                <w:szCs w:val="1"/>
                <w:color w:val="auto"/>
              </w:rPr>
            </w:pPr>
          </w:p>
        </w:tc>
      </w:tr>
      <w:tr>
        <w:trPr>
          <w:trHeight w:val="524"/>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12,715,381</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30,872,113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4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Exercisable as of December 31, 2023</w:t>
            </w: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1,683,231</w:t>
            </w:r>
          </w:p>
        </w:tc>
        <w:tc>
          <w:tcPr>
            <w:tcW w:w="260" w:type="dxa"/>
            <w:vAlign w:val="bottom"/>
            <w:shd w:val="clear" w:color="auto" w:fill="D4EEF4"/>
          </w:tcPr>
          <w:p>
            <w:pPr>
              <w:spacing w:after="0"/>
              <w:rPr>
                <w:sz w:val="24"/>
                <w:szCs w:val="24"/>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70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42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7,019,738</w:t>
            </w:r>
          </w:p>
        </w:tc>
        <w:tc>
          <w:tcPr>
            <w:tcW w:w="100" w:type="dxa"/>
            <w:vAlign w:val="bottom"/>
            <w:shd w:val="clear" w:color="auto" w:fill="D4EEF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D4EE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4EEF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4EE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4EE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4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4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12,715,381</w:t>
            </w:r>
          </w:p>
        </w:tc>
        <w:tc>
          <w:tcPr>
            <w:tcW w:w="260" w:type="dxa"/>
            <w:vAlign w:val="bottom"/>
            <w:shd w:val="clear" w:color="auto" w:fill="D4EEF4"/>
          </w:tcPr>
          <w:p>
            <w:pPr>
              <w:spacing w:after="0"/>
              <w:rPr>
                <w:sz w:val="23"/>
                <w:szCs w:val="23"/>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70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42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30,872,113</w:t>
            </w:r>
          </w:p>
        </w:tc>
        <w:tc>
          <w:tcPr>
            <w:tcW w:w="100" w:type="dxa"/>
            <w:vAlign w:val="bottom"/>
            <w:shd w:val="clear" w:color="auto" w:fill="D4EEF4"/>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2,541,289</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gridSpan w:val="2"/>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(1,080,527)</w:t>
            </w:r>
          </w:p>
        </w:tc>
        <w:tc>
          <w:tcPr>
            <w:tcW w:w="260" w:type="dxa"/>
            <w:vAlign w:val="bottom"/>
            <w:shd w:val="clear" w:color="auto" w:fill="D4EEF4"/>
          </w:tcPr>
          <w:p>
            <w:pPr>
              <w:spacing w:after="0"/>
              <w:rPr>
                <w:sz w:val="23"/>
                <w:szCs w:val="23"/>
                <w:color w:val="auto"/>
              </w:rPr>
            </w:pPr>
          </w:p>
        </w:tc>
        <w:tc>
          <w:tcPr>
            <w:tcW w:w="160" w:type="dxa"/>
            <w:vAlign w:val="bottom"/>
            <w:shd w:val="clear" w:color="auto" w:fill="D4EEF4"/>
          </w:tcPr>
          <w:p>
            <w:pPr>
              <w:spacing w:after="0"/>
              <w:rPr>
                <w:sz w:val="23"/>
                <w:szCs w:val="23"/>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20" w:type="dxa"/>
            <w:vAlign w:val="bottom"/>
            <w:shd w:val="clear" w:color="auto" w:fill="D4EEF4"/>
          </w:tcPr>
          <w:p>
            <w:pPr>
              <w:spacing w:after="0"/>
              <w:rPr>
                <w:sz w:val="23"/>
                <w:szCs w:val="23"/>
                <w:color w:val="auto"/>
              </w:rPr>
            </w:pPr>
          </w:p>
        </w:tc>
        <w:tc>
          <w:tcPr>
            <w:tcW w:w="20" w:type="dxa"/>
            <w:vAlign w:val="bottom"/>
            <w:shd w:val="clear" w:color="auto" w:fill="D4EEF4"/>
          </w:tcPr>
          <w:p>
            <w:pPr>
              <w:spacing w:after="0"/>
              <w:rPr>
                <w:sz w:val="23"/>
                <w:szCs w:val="23"/>
                <w:color w:val="auto"/>
              </w:rPr>
            </w:pPr>
          </w:p>
        </w:tc>
        <w:tc>
          <w:tcPr>
            <w:tcW w:w="1460" w:type="dxa"/>
            <w:vAlign w:val="bottom"/>
            <w:shd w:val="clear" w:color="auto" w:fill="D4EEF4"/>
          </w:tcPr>
          <w:p>
            <w:pPr>
              <w:spacing w:after="0"/>
              <w:rPr>
                <w:sz w:val="23"/>
                <w:szCs w:val="23"/>
                <w:color w:val="auto"/>
              </w:rPr>
            </w:pPr>
          </w:p>
        </w:tc>
        <w:tc>
          <w:tcPr>
            <w:tcW w:w="260" w:type="dxa"/>
            <w:vAlign w:val="bottom"/>
            <w:shd w:val="clear" w:color="auto" w:fill="D4EEF4"/>
          </w:tcPr>
          <w:p>
            <w:pPr>
              <w:spacing w:after="0"/>
              <w:rPr>
                <w:sz w:val="23"/>
                <w:szCs w:val="23"/>
                <w:color w:val="auto"/>
              </w:rPr>
            </w:pPr>
          </w:p>
        </w:tc>
        <w:tc>
          <w:tcPr>
            <w:tcW w:w="20" w:type="dxa"/>
            <w:vAlign w:val="bottom"/>
            <w:shd w:val="clear" w:color="auto" w:fill="D4EEF4"/>
          </w:tcPr>
          <w:p>
            <w:pPr>
              <w:spacing w:after="0"/>
              <w:rPr>
                <w:sz w:val="23"/>
                <w:szCs w:val="23"/>
                <w:color w:val="auto"/>
              </w:rPr>
            </w:pPr>
          </w:p>
        </w:tc>
        <w:tc>
          <w:tcPr>
            <w:tcW w:w="140" w:type="dxa"/>
            <w:vAlign w:val="bottom"/>
            <w:shd w:val="clear" w:color="auto" w:fill="D4EEF4"/>
          </w:tcPr>
          <w:p>
            <w:pPr>
              <w:spacing w:after="0"/>
              <w:rPr>
                <w:sz w:val="23"/>
                <w:szCs w:val="23"/>
                <w:color w:val="auto"/>
              </w:rPr>
            </w:pPr>
          </w:p>
        </w:tc>
        <w:tc>
          <w:tcPr>
            <w:tcW w:w="1280" w:type="dxa"/>
            <w:vAlign w:val="bottom"/>
            <w:shd w:val="clear" w:color="auto" w:fill="D4EEF4"/>
          </w:tcPr>
          <w:p>
            <w:pPr>
              <w:spacing w:after="0"/>
              <w:rPr>
                <w:sz w:val="23"/>
                <w:szCs w:val="23"/>
                <w:color w:val="auto"/>
              </w:rPr>
            </w:pPr>
          </w:p>
        </w:tc>
        <w:tc>
          <w:tcPr>
            <w:tcW w:w="100" w:type="dxa"/>
            <w:vAlign w:val="bottom"/>
            <w:shd w:val="clear" w:color="auto" w:fill="D4EEF4"/>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Expired/Forfeited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(1,210,246)</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D4EEF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D4EE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D4EEF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gridSpan w:val="2"/>
            <w:shd w:val="clear" w:color="auto" w:fill="D4EE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D4EE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4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12,965,897</w:t>
            </w:r>
          </w:p>
        </w:tc>
        <w:tc>
          <w:tcPr>
            <w:tcW w:w="260" w:type="dxa"/>
            <w:vAlign w:val="bottom"/>
            <w:shd w:val="clear" w:color="auto" w:fill="D4EEF4"/>
          </w:tcPr>
          <w:p>
            <w:pPr>
              <w:spacing w:after="0"/>
              <w:rPr>
                <w:sz w:val="21"/>
                <w:szCs w:val="21"/>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8.58</w:t>
            </w:r>
          </w:p>
        </w:tc>
        <w:tc>
          <w:tcPr>
            <w:tcW w:w="240" w:type="dxa"/>
            <w:vAlign w:val="bottom"/>
            <w:gridSpan w:val="2"/>
            <w:shd w:val="clear" w:color="auto" w:fill="D4EEF4"/>
          </w:tcPr>
          <w:p>
            <w:pPr>
              <w:spacing w:after="0"/>
              <w:rPr>
                <w:sz w:val="21"/>
                <w:szCs w:val="21"/>
                <w:color w:val="auto"/>
              </w:rPr>
            </w:pPr>
          </w:p>
        </w:tc>
        <w:tc>
          <w:tcPr>
            <w:tcW w:w="14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42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52,343,412</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20" w:type="dxa"/>
            <w:vAlign w:val="bottom"/>
            <w:gridSpan w:val="2"/>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1,787,695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12,199,062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$9.1 million, $10.3 million, and $3.9 million for the years ended December 31, 2024, 2023, and 2022, respectively, which is included in compensation and benefits on the Consolidated Statements of Operations. The total associated income tax benefit was $9.9 million, $6.1 million, and $0.2 million for the years ended December 31, 2024, 2023, and 2022, respectively. Unrecognized stock-based compensation expense related to outstanding unvested stock options as of December 31, 2024 was $23.0 million and is expected to be recognized over a weighted average period of 2.59 years. Any future forfeitures will impact this amount.</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weighted average assumptions used in calculating the fair value of stock options granted during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December 31, 2023 were as follows:</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03"/>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458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5"/>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D4EEF4"/>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8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4EEF4"/>
            </w:tcBorders>
          </w:tcPr>
          <w:p>
            <w:pPr>
              <w:spacing w:after="0"/>
              <w:rPr>
                <w:sz w:val="15"/>
                <w:szCs w:val="15"/>
                <w:color w:val="auto"/>
              </w:rPr>
            </w:pPr>
          </w:p>
        </w:tc>
      </w:tr>
      <w:tr>
        <w:trPr>
          <w:trHeight w:val="220"/>
        </w:trPr>
        <w:tc>
          <w:tcPr>
            <w:tcW w:w="45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Expected life (in years)</w:t>
            </w:r>
          </w:p>
        </w:tc>
        <w:tc>
          <w:tcPr>
            <w:tcW w:w="8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6.75</w:t>
            </w:r>
          </w:p>
        </w:tc>
        <w:tc>
          <w:tcPr>
            <w:tcW w:w="26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7.5</w:t>
            </w:r>
          </w:p>
        </w:tc>
        <w:tc>
          <w:tcPr>
            <w:tcW w:w="160" w:type="dxa"/>
            <w:vAlign w:val="bottom"/>
            <w:shd w:val="clear" w:color="auto" w:fill="D4EEF4"/>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37.50%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38.28%</w:t>
            </w:r>
          </w:p>
        </w:tc>
      </w:tr>
      <w:tr>
        <w:trPr>
          <w:trHeight w:val="230"/>
        </w:trPr>
        <w:tc>
          <w:tcPr>
            <w:tcW w:w="45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220" w:type="dxa"/>
            <w:vAlign w:val="bottom"/>
            <w:gridSpan w:val="3"/>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4.23%</w:t>
            </w:r>
          </w:p>
        </w:tc>
        <w:tc>
          <w:tcPr>
            <w:tcW w:w="10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66"/>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spacing w:after="0" w:line="144"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auto"/>
        </w:rPr>
        <w:t>The Company has granted restricted stock awards ("RSAs") to certain non-employee directors. Holders of RSAs have no voting rights and accrue dividends until vesting with payment being made once they vest. When RSAs vest, the awards</w:t>
      </w:r>
    </w:p>
    <w:p>
      <w:pPr>
        <w:sectPr>
          <w:pgSz w:w="12240" w:h="15840" w:orient="portrait"/>
          <w:cols w:equalWidth="0" w:num="1">
            <w:col w:w="10080"/>
          </w:cols>
          <w:pgMar w:left="1080" w:top="696" w:right="1080" w:bottom="175"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696" w:right="1080" w:bottom="175"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$0.7 million, $0.4 million, and $0.5 million for the years ended December 31, 2024, 2023, and 2022, respectively, which is included in compensation and benefits on the Consolidated Statements of Operations. The total associated income tax benefit was $0.6 million, $0.4 million, and $0.5 million for the years ended December 31, 2024, 2023, and 2022, respectively. Unrecognized stock-based compensation expense related to outstanding unvested stock options as of December 31, 2024 was $0.4 million and is expected to be recognized over a weighted average period of 0.45 years. Any future forfeitures will impact this amount.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D4EEF4"/>
            </w:tcBorders>
          </w:tcPr>
          <w:p>
            <w:pPr>
              <w:spacing w:after="0"/>
              <w:rPr>
                <w:sz w:val="17"/>
                <w:szCs w:val="17"/>
                <w:color w:val="auto"/>
              </w:rPr>
            </w:pPr>
          </w:p>
        </w:tc>
        <w:tc>
          <w:tcPr>
            <w:tcW w:w="240" w:type="dxa"/>
            <w:vAlign w:val="bottom"/>
            <w:tcBorders>
              <w:bottom w:val="single" w:sz="8" w:color="D4EEF4"/>
            </w:tcBorders>
          </w:tcPr>
          <w:p>
            <w:pPr>
              <w:spacing w:after="0"/>
              <w:rPr>
                <w:sz w:val="17"/>
                <w:szCs w:val="17"/>
                <w:color w:val="auto"/>
              </w:rPr>
            </w:pPr>
          </w:p>
        </w:tc>
        <w:tc>
          <w:tcPr>
            <w:tcW w:w="1620" w:type="dxa"/>
            <w:vAlign w:val="bottom"/>
            <w:tcBorders>
              <w:bottom w:val="single" w:sz="8" w:color="auto"/>
            </w:tcBorders>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9"/>
              </w:rPr>
              <w:t>RSAs</w:t>
            </w: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D4EEF4"/>
            </w:tcBorders>
          </w:tcPr>
          <w:p>
            <w:pPr>
              <w:spacing w:after="0"/>
              <w:rPr>
                <w:sz w:val="17"/>
                <w:szCs w:val="17"/>
                <w:color w:val="auto"/>
              </w:rPr>
            </w:pPr>
          </w:p>
        </w:tc>
        <w:tc>
          <w:tcPr>
            <w:tcW w:w="140" w:type="dxa"/>
            <w:vAlign w:val="bottom"/>
            <w:tcBorders>
              <w:bottom w:val="single" w:sz="8" w:color="D4EE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Date Fair Value Per RSA</w:t>
            </w:r>
          </w:p>
        </w:tc>
        <w:tc>
          <w:tcPr>
            <w:tcW w:w="10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shd w:val="clear" w:color="auto" w:fill="D4EEF4"/>
          </w:tcPr>
          <w:p>
            <w:pPr>
              <w:spacing w:after="0"/>
              <w:rPr>
                <w:sz w:val="19"/>
                <w:szCs w:val="19"/>
                <w:color w:val="auto"/>
              </w:rPr>
            </w:pPr>
          </w:p>
        </w:tc>
        <w:tc>
          <w:tcPr>
            <w:tcW w:w="162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33,346</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12.37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860" w:type="dxa"/>
            <w:vAlign w:val="bottom"/>
            <w:gridSpan w:val="2"/>
            <w:shd w:val="clear" w:color="auto" w:fill="D4EEF4"/>
          </w:tcPr>
          <w:p>
            <w:pPr>
              <w:spacing w:after="0"/>
              <w:rPr>
                <w:sz w:val="19"/>
                <w:szCs w:val="19"/>
                <w:color w:val="auto"/>
              </w:rPr>
            </w:pPr>
          </w:p>
        </w:tc>
        <w:tc>
          <w:tcPr>
            <w:tcW w:w="9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(33,346)</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8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tcBorders>
              <w:top w:val="single" w:sz="8" w:color="D4EEF4"/>
            </w:tcBorders>
            <w:shd w:val="clear" w:color="auto" w:fill="D4EEF4"/>
          </w:tcPr>
          <w:p>
            <w:pPr>
              <w:spacing w:after="0"/>
              <w:rPr>
                <w:sz w:val="19"/>
                <w:szCs w:val="19"/>
                <w:color w:val="auto"/>
              </w:rPr>
            </w:pPr>
          </w:p>
        </w:tc>
        <w:tc>
          <w:tcPr>
            <w:tcW w:w="1620" w:type="dxa"/>
            <w:vAlign w:val="bottom"/>
            <w:tcBorders>
              <w:top w:val="single" w:sz="8" w:color="auto"/>
              <w:bottom w:val="single" w:sz="8" w:color="auto"/>
            </w:tcBorders>
            <w:shd w:val="clear" w:color="auto" w:fill="D4EEF4"/>
          </w:tcPr>
          <w:p>
            <w:pPr>
              <w:spacing w:after="0"/>
              <w:rPr>
                <w:sz w:val="19"/>
                <w:szCs w:val="19"/>
                <w:color w:val="auto"/>
              </w:rPr>
            </w:pP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32,722</w:t>
            </w:r>
          </w:p>
        </w:tc>
        <w:tc>
          <w:tcPr>
            <w:tcW w:w="2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spacing w:after="0"/>
              <w:rPr>
                <w:sz w:val="19"/>
                <w:szCs w:val="19"/>
                <w:color w:val="auto"/>
              </w:rPr>
            </w:pPr>
          </w:p>
        </w:tc>
        <w:tc>
          <w:tcPr>
            <w:tcW w:w="2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11.46</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32,722</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860" w:type="dxa"/>
            <w:vAlign w:val="bottom"/>
            <w:gridSpan w:val="2"/>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93,473</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860" w:type="dxa"/>
            <w:vAlign w:val="bottom"/>
            <w:gridSpan w:val="2"/>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(32,722)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860" w:type="dxa"/>
            <w:vAlign w:val="bottom"/>
            <w:gridSpan w:val="2"/>
            <w:shd w:val="clear" w:color="auto" w:fill="D4EEF4"/>
          </w:tcPr>
          <w:p>
            <w:pPr>
              <w:spacing w:after="0"/>
              <w:rPr>
                <w:sz w:val="19"/>
                <w:szCs w:val="19"/>
                <w:color w:val="auto"/>
              </w:rPr>
            </w:pPr>
          </w:p>
        </w:tc>
        <w:tc>
          <w:tcPr>
            <w:tcW w:w="900" w:type="dxa"/>
            <w:vAlign w:val="bottom"/>
            <w:gridSpan w:val="2"/>
            <w:shd w:val="clear" w:color="auto" w:fill="D4EEF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2024</w:t>
            </w:r>
          </w:p>
        </w:tc>
        <w:tc>
          <w:tcPr>
            <w:tcW w:w="240" w:type="dxa"/>
            <w:vAlign w:val="bottom"/>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93,473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Company has granted restricted stock units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one of the following methods: (1) the closing market price on the day of the grant, (2) the closing market price on the day prior to grant, or (3) a 30-day volume weighted average price (VWAP) is recognized as expense ratably over the requisite service period of the awards. Most of the shares currently vest one year from the grant date excluding certain executive RSUs, the Hark, Bonaccord, and Executive Market Units, which are discussed in more detail below. The stock-based compensation expense for RSUs excluding the Hark, Bonaccord, Executive Transition, and Executive Market Units, which are discussed in more detail below, was $9.6 million, $17.1 million, and $6.0 million for the years ended December 31, 2024, 2023, and 2022, respectively, which is included in compensation and benefits on the Consolidated Statements of Operations. The total associated income tax benefit was $8.8 million, $16.0 million, and $0.6 million for the years ended December 31, 2024, 2023, and 2022, respectively. Unrecognized stock-based compensation expense related to outstanding unvested stock options as of December 31, 2024 was $7.3 million and is expected to be recognized over a weighted average period of 1.01 years. Any future forfeitures will impact this amount.</w:t>
      </w:r>
    </w:p>
    <w:p>
      <w:pPr>
        <w:spacing w:after="0" w:line="20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The Company evaluates whether it is probable that the Bonaccord Units will vest and applies the tranche method to determine the amount of expense to recognize during the period. As of December 31, 2024, certain performance metrics have been met and specific employees have earned $17.5 million in value, of which $6.6 million was issued in shares and $6.9 million was issued in cash. As of December 31, 2024, the remaining amount of $4.0 million is included in accrued compensation and benefits on the Consolidated Balance Sheets and was settled in cash on February 19, 2025. An expense of $4.9 million, $5.6 million, and $7.0 million has been recorded for the years ended December 31, 2024, 2023, and 2022, respectively, which is included in compensation and benefits on the Consolidated Statements of Operations. The associated income tax benefit was $5.7 million, $4.0 million, and $3.8 million for the years ended December 31, 2024, 2023, and 2022, respectively.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696" w:right="1080" w:bottom="175"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$0.3 million and $1.3 million have been recorded for the years ended December 31, 2024, 2023, and 2022, respectively, which is included in compensation and benefits on the Consolidated Statements of Operations. The associated income tax benefit was $0, $1.0 million, and $0 for the years ended December 31, 2024, 2023, and 2022, respectively.</w:t>
      </w:r>
    </w:p>
    <w:p>
      <w:pPr>
        <w:spacing w:after="0" w:line="20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 2. As of December 31, 2024, all Executive Transition Units have vested and been issued. For the years ended December 31, 2024 and December 31, 2023, $3.5 million and $0.5 million, respectively, of stock compensation expense was recognized on the Consolidated Statements of Operations. No stock compensation expense for these units was incurred for the year ended December 31, 2022. The associated income tax benefit was $5.0 million for the year ended December 31, 2024. There was no associated income tax benefit for the years ended December 31, 2023 and December 31, 2022.</w:t>
      </w:r>
    </w:p>
    <w:p>
      <w:pPr>
        <w:spacing w:after="0" w:line="20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 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December 31, 2024, none of the Executive Market Units have vested. For the years ended December 31, 2024 and December 31, 2023, $2.7 million and $0.5 million, respectively, of stock compensation was recognized on the Consolidated Statements of Operations. No stock compensation expense for these units was incurred for the year ended December 31, 2022. There was no associated income tax benefit for the years ended December 31, 2024, 2023, and 2022. The unrecognized expense associated with the Executive Market Units was $7.6 million as of December 31, 2024.</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below table shows the assumptions used in the Monte Carlo simulation for the Executive Market Units' fair value.</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5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Expected life</w:t>
            </w:r>
          </w:p>
        </w:tc>
        <w:tc>
          <w:tcPr>
            <w:tcW w:w="1160" w:type="dxa"/>
            <w:vAlign w:val="bottom"/>
            <w:tcBorders>
              <w:bottom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151"/>
        </w:trPr>
        <w:tc>
          <w:tcPr>
            <w:tcW w:w="5400" w:type="dxa"/>
            <w:vAlign w:val="bottom"/>
            <w:vMerge w:val="continue"/>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5.0 (yrs)</w:t>
            </w:r>
          </w:p>
        </w:tc>
        <w:tc>
          <w:tcPr>
            <w:tcW w:w="0" w:type="dxa"/>
            <w:vAlign w:val="bottom"/>
          </w:tcPr>
          <w:p>
            <w:pPr>
              <w:spacing w:after="0"/>
              <w:rPr>
                <w:sz w:val="1"/>
                <w:szCs w:val="1"/>
                <w:color w:val="auto"/>
              </w:rPr>
            </w:pPr>
          </w:p>
        </w:tc>
      </w:tr>
      <w:tr>
        <w:trPr>
          <w:trHeight w:val="161"/>
        </w:trPr>
        <w:tc>
          <w:tcPr>
            <w:tcW w:w="540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6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4.81%</w:t>
            </w:r>
          </w:p>
        </w:tc>
        <w:tc>
          <w:tcPr>
            <w:tcW w:w="0" w:type="dxa"/>
            <w:vAlign w:val="bottom"/>
          </w:tcPr>
          <w:p>
            <w:pPr>
              <w:spacing w:after="0"/>
              <w:rPr>
                <w:sz w:val="1"/>
                <w:szCs w:val="1"/>
                <w:color w:val="auto"/>
              </w:rPr>
            </w:pPr>
          </w:p>
        </w:tc>
      </w:tr>
      <w:tr>
        <w:trPr>
          <w:trHeight w:val="161"/>
        </w:trPr>
        <w:tc>
          <w:tcPr>
            <w:tcW w:w="540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6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w w:val="99"/>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696" w:right="1080" w:bottom="175"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The below table excludes Executive Market Units that the market conditions have not been satisfied, and Bonaccord or Hark Units that were issued outside of the Plan, that have not vested and are recorded as a liability or vested and settled in cash.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tcBorders>
              <w:top w:val="single" w:sz="8" w:color="D4EEF4"/>
            </w:tcBorders>
            <w:shd w:val="clear" w:color="auto" w:fill="D4EEF4"/>
          </w:tcPr>
          <w:p>
            <w:pPr>
              <w:spacing w:after="0"/>
              <w:rPr>
                <w:sz w:val="19"/>
                <w:szCs w:val="19"/>
                <w:color w:val="auto"/>
              </w:rPr>
            </w:pPr>
          </w:p>
        </w:tc>
        <w:tc>
          <w:tcPr>
            <w:tcW w:w="232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508,135</w:t>
            </w:r>
          </w:p>
        </w:tc>
        <w:tc>
          <w:tcPr>
            <w:tcW w:w="2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11.34</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2,911,391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760" w:type="dxa"/>
            <w:vAlign w:val="bottom"/>
            <w:gridSpan w:val="3"/>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(2,001,432)</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tcBorders>
              <w:top w:val="single" w:sz="8" w:color="D4EEF4"/>
            </w:tcBorders>
            <w:shd w:val="clear" w:color="auto" w:fill="D4EEF4"/>
          </w:tcPr>
          <w:p>
            <w:pPr>
              <w:spacing w:after="0"/>
              <w:rPr>
                <w:sz w:val="19"/>
                <w:szCs w:val="19"/>
                <w:color w:val="auto"/>
              </w:rPr>
            </w:pPr>
          </w:p>
        </w:tc>
        <w:tc>
          <w:tcPr>
            <w:tcW w:w="23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1,418,094</w:t>
            </w:r>
          </w:p>
        </w:tc>
        <w:tc>
          <w:tcPr>
            <w:tcW w:w="2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spacing w:after="0"/>
              <w:rPr>
                <w:sz w:val="19"/>
                <w:szCs w:val="19"/>
                <w:color w:val="auto"/>
              </w:rPr>
            </w:pPr>
          </w:p>
        </w:tc>
        <w:tc>
          <w:tcPr>
            <w:tcW w:w="2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9.15</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vMerge w:val="restart"/>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3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1,418,094</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5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1,445,758</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(1,437,764)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760" w:type="dxa"/>
            <w:vAlign w:val="bottom"/>
            <w:gridSpan w:val="3"/>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(3,819)</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2024</w:t>
            </w:r>
          </w:p>
        </w:tc>
        <w:tc>
          <w:tcPr>
            <w:tcW w:w="240" w:type="dxa"/>
            <w:vAlign w:val="bottom"/>
          </w:tcPr>
          <w:p>
            <w:pPr>
              <w:spacing w:after="0"/>
              <w:rPr>
                <w:sz w:val="19"/>
                <w:szCs w:val="19"/>
                <w:color w:val="auto"/>
              </w:rPr>
            </w:pPr>
          </w:p>
        </w:tc>
        <w:tc>
          <w:tcPr>
            <w:tcW w:w="23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1,422,269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Earnings (Loss) Per Share</w:t>
      </w:r>
    </w:p>
    <w:p>
      <w:pPr>
        <w:spacing w:after="0" w:line="14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Company presents basic EPS and diluted EPS for our common stock. Basic EPS excludes potential dilution and is computed by dividing net income/(loss) by the weighted-average number of common shares outstanding for the period. Diluted EPS reflects the potential dilution that could occur if shares of common stock were issued pursuant to our stock-based compensation awards. For the years ended December 31, 2024 and December 31, 2022,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20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696" w:right="1080" w:bottom="175"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presents a reconciliation of the numerators and denominators used in the computation of basic and diluted EPS:</w:t>
      </w:r>
    </w:p>
    <w:p>
      <w:pPr>
        <w:spacing w:after="0" w:line="15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6"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5320" w:type="dxa"/>
            <w:vAlign w:val="bottom"/>
            <w:tcBorders>
              <w:bottom w:val="single" w:sz="8" w:color="D4EEF4"/>
            </w:tcBorders>
          </w:tcPr>
          <w:p>
            <w:pPr>
              <w:spacing w:after="0"/>
              <w:rPr>
                <w:sz w:val="16"/>
                <w:szCs w:val="16"/>
                <w:color w:val="auto"/>
              </w:rPr>
            </w:pPr>
          </w:p>
        </w:tc>
        <w:tc>
          <w:tcPr>
            <w:tcW w:w="200" w:type="dxa"/>
            <w:vAlign w:val="bottom"/>
            <w:tcBorders>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D4EEF4"/>
            </w:tcBorders>
          </w:tcPr>
          <w:p>
            <w:pPr>
              <w:spacing w:after="0"/>
              <w:rPr>
                <w:sz w:val="16"/>
                <w:szCs w:val="16"/>
                <w:color w:val="auto"/>
              </w:rPr>
            </w:pPr>
          </w:p>
        </w:tc>
        <w:tc>
          <w:tcPr>
            <w:tcW w:w="8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4EEF4"/>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Numerator:</w:t>
            </w:r>
          </w:p>
        </w:tc>
        <w:tc>
          <w:tcPr>
            <w:tcW w:w="20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2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Numerator for basic calculation—Net income/(loss)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Numerator for basic calculation—Net income/(loss)</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attributable to P10</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18,700</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(7,133)</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29,206</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 for: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D4EEF4"/>
          </w:tcPr>
          <w:p>
            <w:pPr>
              <w:ind w:left="400"/>
              <w:spacing w:after="0" w:line="210" w:lineRule="exact"/>
              <w:rPr>
                <w:sz w:val="20"/>
                <w:szCs w:val="20"/>
                <w:color w:val="auto"/>
              </w:rPr>
            </w:pPr>
            <w:r>
              <w:rPr>
                <w:rFonts w:ascii="Times New Roman" w:cs="Times New Roman" w:eastAsia="Times New Roman" w:hAnsi="Times New Roman"/>
                <w:sz w:val="20"/>
                <w:szCs w:val="20"/>
                <w:color w:val="auto"/>
              </w:rPr>
              <w:t>Net income/(loss) attributable to noncontrolling interests in</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P10 Intermediate</w:t>
            </w:r>
          </w:p>
        </w:tc>
        <w:tc>
          <w:tcPr>
            <w:tcW w:w="20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22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0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(639)</w:t>
            </w: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3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Numerator for earnings/(loss) per share</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Numerator for earnings/(loss) per share assuming dilution</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19,667</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(7,772)</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29,399</w:t>
            </w: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Denominator for basic calculation—Weighted-</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average shares outstanding, basic attributable to P10</w:t>
            </w:r>
          </w:p>
        </w:tc>
        <w:tc>
          <w:tcPr>
            <w:tcW w:w="20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112,549</w:t>
            </w:r>
          </w:p>
        </w:tc>
        <w:tc>
          <w:tcPr>
            <w:tcW w:w="22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14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116,751</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shares assumed upon exercise of partnership units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Weighted shares assumed upon exercise of stock</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options and vesting of restricted stock units</w:t>
            </w:r>
          </w:p>
        </w:tc>
        <w:tc>
          <w:tcPr>
            <w:tcW w:w="20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22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32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Denominator for earnings/(loss) per share assuming dilution</w:t>
            </w:r>
          </w:p>
        </w:tc>
        <w:tc>
          <w:tcPr>
            <w:tcW w:w="20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120,375</w:t>
            </w:r>
          </w:p>
        </w:tc>
        <w:tc>
          <w:tcPr>
            <w:tcW w:w="22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116,104</w:t>
            </w:r>
          </w:p>
        </w:tc>
        <w:tc>
          <w:tcPr>
            <w:tcW w:w="14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121,655</w:t>
            </w:r>
          </w:p>
        </w:tc>
        <w:tc>
          <w:tcPr>
            <w:tcW w:w="80" w:type="dxa"/>
            <w:vAlign w:val="bottom"/>
            <w:tcBorders>
              <w:bottom w:val="single" w:sz="8" w:color="D4EEF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D4EEF4"/>
          </w:tcPr>
          <w:p>
            <w:pPr>
              <w:ind w:left="200"/>
              <w:spacing w:after="0" w:line="215" w:lineRule="exact"/>
              <w:rPr>
                <w:sz w:val="20"/>
                <w:szCs w:val="20"/>
                <w:color w:val="auto"/>
              </w:rPr>
            </w:pPr>
            <w:r>
              <w:rPr>
                <w:rFonts w:ascii="Times New Roman" w:cs="Times New Roman" w:eastAsia="Times New Roman" w:hAnsi="Times New Roman"/>
                <w:sz w:val="20"/>
                <w:szCs w:val="20"/>
                <w:color w:val="auto"/>
              </w:rPr>
              <w:t>Earnings/(loss) per Class A share—basic</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0.17</w:t>
            </w: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(0.06)</w:t>
            </w: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0.25</w:t>
            </w: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Earnings/(loss) per Class A share—diluted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Earnings/(loss) per Class B share—basic</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Earnings/(loss) per Class B share—diluted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auto"/>
        </w:rPr>
        <w:t>The computations of diluted earnings per share on a weighted average basis would exclude 8.8 million options for the year ended December 31, 2024 and 6.7 million shares of common stock for the year ended December 31, 2022, respectively, because the options were anti-dilutive. If the Company was in a net income position, the computations of diluted earnings per share excluded options to purchase 7.0 million shares of common stock for the year ended December 31, 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Segment Reporting</w:t>
      </w:r>
    </w:p>
    <w:p>
      <w:pPr>
        <w:spacing w:after="0" w:line="12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The accounting policies of the Company's single operating segment are the same as those described in the summary of significant accounting policies in Note 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Information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derived 6.2%, 9.0%,and 11.2% of its total revenues from Enhanced P.C.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2023, and 2022, respectively. See Note 12 for further discussion. From time to time, a fund managed by</w:t>
      </w:r>
    </w:p>
    <w:p>
      <w:pPr>
        <w:spacing w:after="0"/>
        <w:rPr>
          <w:sz w:val="20"/>
          <w:szCs w:val="20"/>
          <w:color w:val="auto"/>
        </w:rPr>
      </w:pPr>
      <w:r>
        <w:rPr>
          <w:rFonts w:ascii="Times New Roman" w:cs="Times New Roman" w:eastAsia="Times New Roman" w:hAnsi="Times New Roman"/>
          <w:sz w:val="20"/>
          <w:szCs w:val="20"/>
          <w:color w:val="auto"/>
        </w:rPr>
        <w:t>the Company will constitute more than 10% of the Company's total revenue due to catch-up fees, which are described in Note</w:t>
      </w:r>
    </w:p>
    <w:p>
      <w:pPr>
        <w:ind w:right="160"/>
        <w:spacing w:after="0" w:line="242" w:lineRule="auto"/>
        <w:tabs>
          <w:tab w:leader="none" w:pos="2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Catch-up fees are non-recurring in nature and as such these funds do not represent a concentration risk for the Company's revenue. No other individual client constituted more than 10% of the Company's total revenues for the years ended December 31, 2024, 2023, and 2022, respectively. Refer to Note 3 for further details provided on the Company's source of revenues.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Geographic Information</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The primary geographic region in which the Company invests is in the United States and the majority of its revenues are generated in the United States. For the years ended December 31, 2024, 2023, and 2022, most of the Company's revenues were generated in the United States. No individual foreign country constituted more than 10% of the Company's revenues for the years ended December 31, 2024, 2023, and 2022.</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696" w:right="1080" w:bottom="175"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Company's long-lived assets consist of property and equipment, lease right-of-use assets, and finite-lived intangibles. As of December 31, 2024 and December 31, 2023, most of the Company's long-lived assets were in the United States. No individual foreign country constituted more than 10% of the Company's long-lived assets as of December 31, 2024 and December 31, 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Segment Expense</w:t>
      </w:r>
    </w:p>
    <w:p>
      <w:pPr>
        <w:spacing w:after="0" w:line="244"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presents information about reported segment revenue, segment profit or loss, and significant segment expenses for the years ended December 31, 2024, 2023, and 2022:</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1300" w:type="dxa"/>
            <w:vAlign w:val="bottom"/>
            <w:tcBorders>
              <w:bottom w:val="single" w:sz="8" w:color="auto"/>
            </w:tcBorders>
          </w:tcPr>
          <w:p>
            <w:pPr>
              <w:spacing w:after="0"/>
              <w:rPr>
                <w:sz w:val="22"/>
                <w:szCs w:val="22"/>
                <w:color w:val="auto"/>
              </w:rPr>
            </w:pPr>
          </w:p>
        </w:tc>
      </w:tr>
      <w:tr>
        <w:trPr>
          <w:trHeight w:val="234"/>
        </w:trPr>
        <w:tc>
          <w:tcPr>
            <w:tcW w:w="3900" w:type="dxa"/>
            <w:vAlign w:val="bottom"/>
          </w:tcPr>
          <w:p>
            <w:pPr>
              <w:spacing w:after="0"/>
              <w:rPr>
                <w:sz w:val="20"/>
                <w:szCs w:val="20"/>
                <w:color w:val="auto"/>
              </w:rPr>
            </w:pP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38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34"/>
        </w:trPr>
        <w:tc>
          <w:tcPr>
            <w:tcW w:w="390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280" w:type="dxa"/>
            <w:vAlign w:val="bottom"/>
            <w:tcBorders>
              <w:top w:val="single" w:sz="8" w:color="auto"/>
            </w:tcBorders>
            <w:shd w:val="clear" w:color="auto" w:fill="D4EEF4"/>
          </w:tcPr>
          <w:p>
            <w:pPr>
              <w:jc w:val="center"/>
              <w:ind w:left="340"/>
              <w:spacing w:after="0"/>
              <w:rPr>
                <w:sz w:val="20"/>
                <w:szCs w:val="20"/>
                <w:color w:val="auto"/>
              </w:rPr>
            </w:pPr>
            <w:r>
              <w:rPr>
                <w:rFonts w:ascii="Times New Roman" w:cs="Times New Roman" w:eastAsia="Times New Roman" w:hAnsi="Times New Roman"/>
                <w:sz w:val="20"/>
                <w:szCs w:val="20"/>
                <w:color w:val="auto"/>
              </w:rPr>
              <w:t>$296,448</w:t>
            </w:r>
          </w:p>
        </w:tc>
        <w:tc>
          <w:tcPr>
            <w:tcW w:w="460" w:type="dxa"/>
            <w:vAlign w:val="bottom"/>
            <w:tcBorders>
              <w:top w:val="single" w:sz="8" w:color="auto"/>
            </w:tcBorders>
            <w:shd w:val="clear" w:color="auto" w:fill="D4EEF4"/>
          </w:tcPr>
          <w:p>
            <w:pPr>
              <w:spacing w:after="0"/>
              <w:rPr>
                <w:sz w:val="20"/>
                <w:szCs w:val="20"/>
                <w:color w:val="auto"/>
              </w:rPr>
            </w:pPr>
          </w:p>
        </w:tc>
        <w:tc>
          <w:tcPr>
            <w:tcW w:w="180" w:type="dxa"/>
            <w:vAlign w:val="bottom"/>
            <w:tcBorders>
              <w:top w:val="single" w:sz="8" w:color="D4EEF4"/>
            </w:tcBorders>
            <w:shd w:val="clear" w:color="auto" w:fill="D4EEF4"/>
          </w:tcPr>
          <w:p>
            <w:pPr>
              <w:spacing w:after="0"/>
              <w:rPr>
                <w:sz w:val="20"/>
                <w:szCs w:val="20"/>
                <w:color w:val="auto"/>
              </w:rPr>
            </w:pPr>
          </w:p>
        </w:tc>
        <w:tc>
          <w:tcPr>
            <w:tcW w:w="1740" w:type="dxa"/>
            <w:vAlign w:val="bottom"/>
            <w:tcBorders>
              <w:top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$241,734</w:t>
            </w:r>
          </w:p>
        </w:tc>
        <w:tc>
          <w:tcPr>
            <w:tcW w:w="180" w:type="dxa"/>
            <w:vAlign w:val="bottom"/>
            <w:tcBorders>
              <w:top w:val="single" w:sz="8" w:color="D4EEF4"/>
            </w:tcBorders>
            <w:shd w:val="clear" w:color="auto" w:fill="D4EEF4"/>
          </w:tcPr>
          <w:p>
            <w:pPr>
              <w:spacing w:after="0"/>
              <w:rPr>
                <w:sz w:val="20"/>
                <w:szCs w:val="20"/>
                <w:color w:val="auto"/>
              </w:rPr>
            </w:pPr>
          </w:p>
        </w:tc>
        <w:tc>
          <w:tcPr>
            <w:tcW w:w="440" w:type="dxa"/>
            <w:vAlign w:val="bottom"/>
            <w:tcBorders>
              <w:top w:val="single" w:sz="8" w:color="auto"/>
            </w:tcBorders>
            <w:shd w:val="clear" w:color="auto" w:fill="D4EEF4"/>
          </w:tcPr>
          <w:p>
            <w:pPr>
              <w:spacing w:after="0"/>
              <w:rPr>
                <w:sz w:val="20"/>
                <w:szCs w:val="20"/>
                <w:color w:val="auto"/>
              </w:rPr>
            </w:pPr>
          </w:p>
        </w:tc>
        <w:tc>
          <w:tcPr>
            <w:tcW w:w="1300" w:type="dxa"/>
            <w:vAlign w:val="bottom"/>
            <w:tcBorders>
              <w:top w:val="single" w:sz="8" w:color="auto"/>
            </w:tcBorders>
            <w:shd w:val="clear" w:color="auto" w:fill="D4EEF4"/>
          </w:tcPr>
          <w:p>
            <w:pPr>
              <w:jc w:val="center"/>
              <w:ind w:right="340"/>
              <w:spacing w:after="0"/>
              <w:rPr>
                <w:sz w:val="20"/>
                <w:szCs w:val="20"/>
                <w:color w:val="auto"/>
              </w:rPr>
            </w:pPr>
            <w:r>
              <w:rPr>
                <w:rFonts w:ascii="Times New Roman" w:cs="Times New Roman" w:eastAsia="Times New Roman" w:hAnsi="Times New Roman"/>
                <w:sz w:val="20"/>
                <w:szCs w:val="20"/>
                <w:color w:val="auto"/>
                <w:w w:val="98"/>
              </w:rPr>
              <w:t>$198,360</w:t>
            </w:r>
          </w:p>
        </w:tc>
      </w:tr>
      <w:tr>
        <w:trPr>
          <w:trHeight w:val="224"/>
        </w:trPr>
        <w:tc>
          <w:tcPr>
            <w:tcW w:w="39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Less: cash compensation and benefits, net</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9"/>
        </w:trPr>
        <w:tc>
          <w:tcPr>
            <w:tcW w:w="3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of one-time expenses</w:t>
            </w: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auto"/>
                <w:w w:val="99"/>
              </w:rPr>
              <w:t>(99,520)</w:t>
            </w:r>
          </w:p>
        </w:tc>
        <w:tc>
          <w:tcPr>
            <w:tcW w:w="238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color w:val="auto"/>
                <w:w w:val="99"/>
              </w:rPr>
              <w:t>(88,471)</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(68,344)</w:t>
            </w:r>
          </w:p>
        </w:tc>
      </w:tr>
      <w:tr>
        <w:trPr>
          <w:trHeight w:val="244"/>
        </w:trPr>
        <w:tc>
          <w:tcPr>
            <w:tcW w:w="3900" w:type="dxa"/>
            <w:vAlign w:val="bottom"/>
            <w:shd w:val="clear" w:color="auto" w:fill="D4EEF4"/>
          </w:tcPr>
          <w:p>
            <w:pPr>
              <w:ind w:left="300"/>
              <w:spacing w:after="0"/>
              <w:rPr>
                <w:sz w:val="20"/>
                <w:szCs w:val="20"/>
                <w:color w:val="auto"/>
              </w:rPr>
            </w:pPr>
            <w:r>
              <w:rPr>
                <w:rFonts w:ascii="Times New Roman" w:cs="Times New Roman" w:eastAsia="Times New Roman" w:hAnsi="Times New Roman"/>
                <w:sz w:val="20"/>
                <w:szCs w:val="20"/>
                <w:color w:val="auto"/>
              </w:rPr>
              <w:t>Less: stock based compensation</w:t>
            </w:r>
          </w:p>
        </w:tc>
        <w:tc>
          <w:tcPr>
            <w:tcW w:w="1280" w:type="dxa"/>
            <w:vAlign w:val="bottom"/>
            <w:shd w:val="clear" w:color="auto" w:fill="D4EEF4"/>
          </w:tcPr>
          <w:p>
            <w:pPr>
              <w:jc w:val="center"/>
              <w:ind w:left="340"/>
              <w:spacing w:after="0"/>
              <w:rPr>
                <w:sz w:val="20"/>
                <w:szCs w:val="20"/>
                <w:color w:val="auto"/>
              </w:rPr>
            </w:pPr>
            <w:r>
              <w:rPr>
                <w:rFonts w:ascii="Times New Roman" w:cs="Times New Roman" w:eastAsia="Times New Roman" w:hAnsi="Times New Roman"/>
                <w:sz w:val="20"/>
                <w:szCs w:val="20"/>
                <w:color w:val="auto"/>
                <w:w w:val="99"/>
              </w:rPr>
              <w:t>(30,451)</w:t>
            </w:r>
          </w:p>
        </w:tc>
        <w:tc>
          <w:tcPr>
            <w:tcW w:w="460" w:type="dxa"/>
            <w:vAlign w:val="bottom"/>
            <w:shd w:val="clear" w:color="auto" w:fill="D4EEF4"/>
          </w:tcPr>
          <w:p>
            <w:pPr>
              <w:spacing w:after="0"/>
              <w:rPr>
                <w:sz w:val="21"/>
                <w:szCs w:val="21"/>
                <w:color w:val="auto"/>
              </w:rPr>
            </w:pPr>
          </w:p>
        </w:tc>
        <w:tc>
          <w:tcPr>
            <w:tcW w:w="1920" w:type="dxa"/>
            <w:vAlign w:val="bottom"/>
            <w:gridSpan w:val="2"/>
            <w:shd w:val="clear" w:color="auto" w:fill="D4EEF4"/>
          </w:tcPr>
          <w:p>
            <w:pPr>
              <w:jc w:val="center"/>
              <w:ind w:left="60"/>
              <w:spacing w:after="0"/>
              <w:rPr>
                <w:sz w:val="20"/>
                <w:szCs w:val="20"/>
                <w:color w:val="auto"/>
              </w:rPr>
            </w:pPr>
            <w:r>
              <w:rPr>
                <w:rFonts w:ascii="Times New Roman" w:cs="Times New Roman" w:eastAsia="Times New Roman" w:hAnsi="Times New Roman"/>
                <w:sz w:val="20"/>
                <w:szCs w:val="20"/>
                <w:color w:val="auto"/>
                <w:w w:val="99"/>
              </w:rPr>
              <w:t>(34,653)</w:t>
            </w:r>
          </w:p>
        </w:tc>
        <w:tc>
          <w:tcPr>
            <w:tcW w:w="180" w:type="dxa"/>
            <w:vAlign w:val="bottom"/>
            <w:shd w:val="clear" w:color="auto" w:fill="D4EEF4"/>
          </w:tcPr>
          <w:p>
            <w:pPr>
              <w:spacing w:after="0"/>
              <w:rPr>
                <w:sz w:val="21"/>
                <w:szCs w:val="21"/>
                <w:color w:val="auto"/>
              </w:rPr>
            </w:pPr>
          </w:p>
        </w:tc>
        <w:tc>
          <w:tcPr>
            <w:tcW w:w="440" w:type="dxa"/>
            <w:vAlign w:val="bottom"/>
            <w:shd w:val="clear" w:color="auto" w:fill="D4EEF4"/>
          </w:tcPr>
          <w:p>
            <w:pPr>
              <w:spacing w:after="0"/>
              <w:rPr>
                <w:sz w:val="21"/>
                <w:szCs w:val="21"/>
                <w:color w:val="auto"/>
              </w:rPr>
            </w:pPr>
          </w:p>
        </w:tc>
        <w:tc>
          <w:tcPr>
            <w:tcW w:w="1300" w:type="dxa"/>
            <w:vAlign w:val="bottom"/>
            <w:shd w:val="clear" w:color="auto" w:fill="D4EEF4"/>
          </w:tcPr>
          <w:p>
            <w:pPr>
              <w:jc w:val="center"/>
              <w:ind w:right="360"/>
              <w:spacing w:after="0"/>
              <w:rPr>
                <w:sz w:val="20"/>
                <w:szCs w:val="20"/>
                <w:color w:val="auto"/>
              </w:rPr>
            </w:pPr>
            <w:r>
              <w:rPr>
                <w:rFonts w:ascii="Times New Roman" w:cs="Times New Roman" w:eastAsia="Times New Roman" w:hAnsi="Times New Roman"/>
                <w:sz w:val="20"/>
                <w:szCs w:val="20"/>
                <w:color w:val="auto"/>
                <w:w w:val="99"/>
              </w:rPr>
              <w:t>(18,616)</w:t>
            </w:r>
          </w:p>
        </w:tc>
      </w:tr>
      <w:tr>
        <w:trPr>
          <w:trHeight w:val="244"/>
        </w:trPr>
        <w:tc>
          <w:tcPr>
            <w:tcW w:w="3900" w:type="dxa"/>
            <w:vAlign w:val="bottom"/>
          </w:tcPr>
          <w:p>
            <w:pPr>
              <w:ind w:left="300"/>
              <w:spacing w:after="0" w:line="243" w:lineRule="exact"/>
              <w:rPr>
                <w:sz w:val="20"/>
                <w:szCs w:val="20"/>
                <w:color w:val="auto"/>
              </w:rPr>
            </w:pPr>
            <w:r>
              <w:rPr>
                <w:rFonts w:ascii="Times New Roman" w:cs="Times New Roman" w:eastAsia="Times New Roman" w:hAnsi="Times New Roman"/>
                <w:sz w:val="20"/>
                <w:szCs w:val="20"/>
                <w:color w:val="auto"/>
              </w:rPr>
              <w:t>Less: management profit share</w:t>
            </w:r>
            <w:r>
              <w:rPr>
                <w:rFonts w:ascii="Times New Roman" w:cs="Times New Roman" w:eastAsia="Times New Roman" w:hAnsi="Times New Roman"/>
                <w:sz w:val="26"/>
                <w:szCs w:val="26"/>
                <w:color w:val="auto"/>
                <w:vertAlign w:val="superscript"/>
              </w:rPr>
              <w:t>(2)</w:t>
            </w: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auto"/>
                <w:w w:val="99"/>
              </w:rPr>
              <w:t>(11,033)</w:t>
            </w:r>
          </w:p>
        </w:tc>
        <w:tc>
          <w:tcPr>
            <w:tcW w:w="460" w:type="dxa"/>
            <w:vAlign w:val="bottom"/>
          </w:tcPr>
          <w:p>
            <w:pPr>
              <w:spacing w:after="0"/>
              <w:rPr>
                <w:sz w:val="21"/>
                <w:szCs w:val="21"/>
                <w:color w:val="auto"/>
              </w:rPr>
            </w:pPr>
          </w:p>
        </w:tc>
        <w:tc>
          <w:tcPr>
            <w:tcW w:w="19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(2,058)</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auto"/>
                <w:w w:val="89"/>
              </w:rPr>
              <w:t>-</w:t>
            </w:r>
          </w:p>
        </w:tc>
      </w:tr>
      <w:tr>
        <w:trPr>
          <w:trHeight w:val="224"/>
        </w:trPr>
        <w:tc>
          <w:tcPr>
            <w:tcW w:w="3900" w:type="dxa"/>
            <w:vAlign w:val="bottom"/>
            <w:shd w:val="clear" w:color="auto" w:fill="D4EEF4"/>
          </w:tcPr>
          <w:p>
            <w:pPr>
              <w:ind w:left="300"/>
              <w:spacing w:after="0" w:line="225" w:lineRule="exact"/>
              <w:rPr>
                <w:sz w:val="20"/>
                <w:szCs w:val="20"/>
                <w:color w:val="auto"/>
              </w:rPr>
            </w:pPr>
            <w:r>
              <w:rPr>
                <w:rFonts w:ascii="Times New Roman" w:cs="Times New Roman" w:eastAsia="Times New Roman" w:hAnsi="Times New Roman"/>
                <w:sz w:val="20"/>
                <w:szCs w:val="20"/>
                <w:color w:val="auto"/>
              </w:rPr>
              <w:t>Less: professional fees, net of one-time</w:t>
            </w:r>
          </w:p>
        </w:tc>
        <w:tc>
          <w:tcPr>
            <w:tcW w:w="128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7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440" w:type="dxa"/>
            <w:vAlign w:val="bottom"/>
            <w:shd w:val="clear" w:color="auto" w:fill="D4EEF4"/>
          </w:tcPr>
          <w:p>
            <w:pPr>
              <w:spacing w:after="0"/>
              <w:rPr>
                <w:sz w:val="19"/>
                <w:szCs w:val="19"/>
                <w:color w:val="auto"/>
              </w:rPr>
            </w:pPr>
          </w:p>
        </w:tc>
        <w:tc>
          <w:tcPr>
            <w:tcW w:w="1300" w:type="dxa"/>
            <w:vAlign w:val="bottom"/>
            <w:shd w:val="clear" w:color="auto" w:fill="D4EEF4"/>
          </w:tcPr>
          <w:p>
            <w:pPr>
              <w:spacing w:after="0"/>
              <w:rPr>
                <w:sz w:val="19"/>
                <w:szCs w:val="19"/>
                <w:color w:val="auto"/>
              </w:rPr>
            </w:pPr>
          </w:p>
        </w:tc>
      </w:tr>
      <w:tr>
        <w:trPr>
          <w:trHeight w:val="249"/>
        </w:trPr>
        <w:tc>
          <w:tcPr>
            <w:tcW w:w="3900" w:type="dxa"/>
            <w:vAlign w:val="bottom"/>
            <w:shd w:val="clear" w:color="auto" w:fill="D4EEF4"/>
          </w:tcPr>
          <w:p>
            <w:pPr>
              <w:ind w:left="300"/>
              <w:spacing w:after="0"/>
              <w:rPr>
                <w:sz w:val="20"/>
                <w:szCs w:val="20"/>
                <w:color w:val="auto"/>
              </w:rPr>
            </w:pPr>
            <w:r>
              <w:rPr>
                <w:rFonts w:ascii="Times New Roman" w:cs="Times New Roman" w:eastAsia="Times New Roman" w:hAnsi="Times New Roman"/>
                <w:sz w:val="20"/>
                <w:szCs w:val="20"/>
                <w:color w:val="auto"/>
              </w:rPr>
              <w:t>expenses</w:t>
            </w:r>
          </w:p>
        </w:tc>
        <w:tc>
          <w:tcPr>
            <w:tcW w:w="1280" w:type="dxa"/>
            <w:vAlign w:val="bottom"/>
            <w:shd w:val="clear" w:color="auto" w:fill="D4EEF4"/>
          </w:tcPr>
          <w:p>
            <w:pPr>
              <w:jc w:val="center"/>
              <w:ind w:left="340"/>
              <w:spacing w:after="0"/>
              <w:rPr>
                <w:sz w:val="20"/>
                <w:szCs w:val="20"/>
                <w:color w:val="auto"/>
              </w:rPr>
            </w:pPr>
            <w:r>
              <w:rPr>
                <w:rFonts w:ascii="Times New Roman" w:cs="Times New Roman" w:eastAsia="Times New Roman" w:hAnsi="Times New Roman"/>
                <w:sz w:val="20"/>
                <w:szCs w:val="20"/>
                <w:color w:val="auto"/>
                <w:w w:val="99"/>
              </w:rPr>
              <w:t>(13,408)</w:t>
            </w:r>
          </w:p>
        </w:tc>
        <w:tc>
          <w:tcPr>
            <w:tcW w:w="460" w:type="dxa"/>
            <w:vAlign w:val="bottom"/>
            <w:shd w:val="clear" w:color="auto" w:fill="D4EEF4"/>
          </w:tcPr>
          <w:p>
            <w:pPr>
              <w:spacing w:after="0"/>
              <w:rPr>
                <w:sz w:val="21"/>
                <w:szCs w:val="21"/>
                <w:color w:val="auto"/>
              </w:rPr>
            </w:pPr>
          </w:p>
        </w:tc>
        <w:tc>
          <w:tcPr>
            <w:tcW w:w="1920" w:type="dxa"/>
            <w:vAlign w:val="bottom"/>
            <w:gridSpan w:val="2"/>
            <w:shd w:val="clear" w:color="auto" w:fill="D4EEF4"/>
          </w:tcPr>
          <w:p>
            <w:pPr>
              <w:jc w:val="center"/>
              <w:ind w:left="80"/>
              <w:spacing w:after="0"/>
              <w:rPr>
                <w:sz w:val="20"/>
                <w:szCs w:val="20"/>
                <w:color w:val="auto"/>
              </w:rPr>
            </w:pPr>
            <w:r>
              <w:rPr>
                <w:rFonts w:ascii="Times New Roman" w:cs="Times New Roman" w:eastAsia="Times New Roman" w:hAnsi="Times New Roman"/>
                <w:sz w:val="20"/>
                <w:szCs w:val="20"/>
                <w:color w:val="auto"/>
                <w:w w:val="99"/>
              </w:rPr>
              <w:t>(8,482)</w:t>
            </w:r>
          </w:p>
        </w:tc>
        <w:tc>
          <w:tcPr>
            <w:tcW w:w="180" w:type="dxa"/>
            <w:vAlign w:val="bottom"/>
            <w:shd w:val="clear" w:color="auto" w:fill="D4EEF4"/>
          </w:tcPr>
          <w:p>
            <w:pPr>
              <w:spacing w:after="0"/>
              <w:rPr>
                <w:sz w:val="21"/>
                <w:szCs w:val="21"/>
                <w:color w:val="auto"/>
              </w:rPr>
            </w:pPr>
          </w:p>
        </w:tc>
        <w:tc>
          <w:tcPr>
            <w:tcW w:w="440" w:type="dxa"/>
            <w:vAlign w:val="bottom"/>
            <w:shd w:val="clear" w:color="auto" w:fill="D4EEF4"/>
          </w:tcPr>
          <w:p>
            <w:pPr>
              <w:spacing w:after="0"/>
              <w:rPr>
                <w:sz w:val="21"/>
                <w:szCs w:val="21"/>
                <w:color w:val="auto"/>
              </w:rPr>
            </w:pPr>
          </w:p>
        </w:tc>
        <w:tc>
          <w:tcPr>
            <w:tcW w:w="1300" w:type="dxa"/>
            <w:vAlign w:val="bottom"/>
            <w:shd w:val="clear" w:color="auto" w:fill="D4EEF4"/>
          </w:tcPr>
          <w:p>
            <w:pPr>
              <w:jc w:val="center"/>
              <w:ind w:right="340"/>
              <w:spacing w:after="0"/>
              <w:rPr>
                <w:sz w:val="20"/>
                <w:szCs w:val="20"/>
                <w:color w:val="auto"/>
              </w:rPr>
            </w:pPr>
            <w:r>
              <w:rPr>
                <w:rFonts w:ascii="Times New Roman" w:cs="Times New Roman" w:eastAsia="Times New Roman" w:hAnsi="Times New Roman"/>
                <w:sz w:val="20"/>
                <w:szCs w:val="20"/>
                <w:color w:val="auto"/>
                <w:w w:val="99"/>
              </w:rPr>
              <w:t>(6,989)</w:t>
            </w:r>
          </w:p>
        </w:tc>
      </w:tr>
      <w:tr>
        <w:trPr>
          <w:trHeight w:val="224"/>
        </w:trPr>
        <w:tc>
          <w:tcPr>
            <w:tcW w:w="39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Less: general, administrative and other,</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9"/>
        </w:trPr>
        <w:tc>
          <w:tcPr>
            <w:tcW w:w="3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net of one-time expenses</w:t>
            </w: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auto"/>
                <w:w w:val="99"/>
              </w:rPr>
              <w:t>(21,354)</w:t>
            </w:r>
          </w:p>
        </w:tc>
        <w:tc>
          <w:tcPr>
            <w:tcW w:w="238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color w:val="auto"/>
                <w:w w:val="99"/>
              </w:rPr>
              <w:t>(16,610)</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(15,453)</w:t>
            </w:r>
          </w:p>
        </w:tc>
      </w:tr>
      <w:tr>
        <w:trPr>
          <w:trHeight w:val="244"/>
        </w:trPr>
        <w:tc>
          <w:tcPr>
            <w:tcW w:w="3900" w:type="dxa"/>
            <w:vAlign w:val="bottom"/>
            <w:shd w:val="clear" w:color="auto" w:fill="D4EEF4"/>
          </w:tcPr>
          <w:p>
            <w:pPr>
              <w:ind w:left="300"/>
              <w:spacing w:after="0"/>
              <w:rPr>
                <w:sz w:val="20"/>
                <w:szCs w:val="20"/>
                <w:color w:val="auto"/>
              </w:rPr>
            </w:pPr>
            <w:r>
              <w:rPr>
                <w:rFonts w:ascii="Times New Roman" w:cs="Times New Roman" w:eastAsia="Times New Roman" w:hAnsi="Times New Roman"/>
                <w:sz w:val="20"/>
                <w:szCs w:val="20"/>
                <w:color w:val="auto"/>
              </w:rPr>
              <w:t>Less: placement agent expenses</w:t>
            </w:r>
          </w:p>
        </w:tc>
        <w:tc>
          <w:tcPr>
            <w:tcW w:w="1280" w:type="dxa"/>
            <w:vAlign w:val="bottom"/>
            <w:shd w:val="clear" w:color="auto" w:fill="D4EEF4"/>
          </w:tcPr>
          <w:p>
            <w:pPr>
              <w:jc w:val="center"/>
              <w:ind w:left="360"/>
              <w:spacing w:after="0"/>
              <w:rPr>
                <w:sz w:val="20"/>
                <w:szCs w:val="20"/>
                <w:color w:val="auto"/>
              </w:rPr>
            </w:pPr>
            <w:r>
              <w:rPr>
                <w:rFonts w:ascii="Times New Roman" w:cs="Times New Roman" w:eastAsia="Times New Roman" w:hAnsi="Times New Roman"/>
                <w:sz w:val="20"/>
                <w:szCs w:val="20"/>
                <w:color w:val="auto"/>
                <w:w w:val="99"/>
              </w:rPr>
              <w:t>(6,039)</w:t>
            </w:r>
          </w:p>
        </w:tc>
        <w:tc>
          <w:tcPr>
            <w:tcW w:w="460" w:type="dxa"/>
            <w:vAlign w:val="bottom"/>
            <w:shd w:val="clear" w:color="auto" w:fill="D4EEF4"/>
          </w:tcPr>
          <w:p>
            <w:pPr>
              <w:spacing w:after="0"/>
              <w:rPr>
                <w:sz w:val="21"/>
                <w:szCs w:val="21"/>
                <w:color w:val="auto"/>
              </w:rPr>
            </w:pPr>
          </w:p>
        </w:tc>
        <w:tc>
          <w:tcPr>
            <w:tcW w:w="1920" w:type="dxa"/>
            <w:vAlign w:val="bottom"/>
            <w:gridSpan w:val="2"/>
            <w:shd w:val="clear" w:color="auto" w:fill="D4EEF4"/>
          </w:tcPr>
          <w:p>
            <w:pPr>
              <w:jc w:val="center"/>
              <w:ind w:left="80"/>
              <w:spacing w:after="0"/>
              <w:rPr>
                <w:sz w:val="20"/>
                <w:szCs w:val="20"/>
                <w:color w:val="auto"/>
              </w:rPr>
            </w:pPr>
            <w:r>
              <w:rPr>
                <w:rFonts w:ascii="Times New Roman" w:cs="Times New Roman" w:eastAsia="Times New Roman" w:hAnsi="Times New Roman"/>
                <w:sz w:val="20"/>
                <w:szCs w:val="20"/>
                <w:color w:val="auto"/>
                <w:w w:val="99"/>
              </w:rPr>
              <w:t>(3,422)</w:t>
            </w:r>
          </w:p>
        </w:tc>
        <w:tc>
          <w:tcPr>
            <w:tcW w:w="180" w:type="dxa"/>
            <w:vAlign w:val="bottom"/>
            <w:shd w:val="clear" w:color="auto" w:fill="D4EEF4"/>
          </w:tcPr>
          <w:p>
            <w:pPr>
              <w:spacing w:after="0"/>
              <w:rPr>
                <w:sz w:val="21"/>
                <w:szCs w:val="21"/>
                <w:color w:val="auto"/>
              </w:rPr>
            </w:pPr>
          </w:p>
        </w:tc>
        <w:tc>
          <w:tcPr>
            <w:tcW w:w="440" w:type="dxa"/>
            <w:vAlign w:val="bottom"/>
            <w:shd w:val="clear" w:color="auto" w:fill="D4EEF4"/>
          </w:tcPr>
          <w:p>
            <w:pPr>
              <w:spacing w:after="0"/>
              <w:rPr>
                <w:sz w:val="21"/>
                <w:szCs w:val="21"/>
                <w:color w:val="auto"/>
              </w:rPr>
            </w:pPr>
          </w:p>
        </w:tc>
        <w:tc>
          <w:tcPr>
            <w:tcW w:w="1300" w:type="dxa"/>
            <w:vAlign w:val="bottom"/>
            <w:shd w:val="clear" w:color="auto" w:fill="D4EEF4"/>
          </w:tcPr>
          <w:p>
            <w:pPr>
              <w:jc w:val="center"/>
              <w:ind w:right="340"/>
              <w:spacing w:after="0"/>
              <w:rPr>
                <w:sz w:val="20"/>
                <w:szCs w:val="20"/>
                <w:color w:val="auto"/>
              </w:rPr>
            </w:pPr>
            <w:r>
              <w:rPr>
                <w:rFonts w:ascii="Times New Roman" w:cs="Times New Roman" w:eastAsia="Times New Roman" w:hAnsi="Times New Roman"/>
                <w:sz w:val="20"/>
                <w:szCs w:val="20"/>
                <w:color w:val="auto"/>
                <w:w w:val="99"/>
              </w:rPr>
              <w:t>(2,306)</w:t>
            </w:r>
          </w:p>
        </w:tc>
      </w:tr>
      <w:tr>
        <w:trPr>
          <w:trHeight w:val="244"/>
        </w:trPr>
        <w:tc>
          <w:tcPr>
            <w:tcW w:w="3900" w:type="dxa"/>
            <w:vAlign w:val="bottom"/>
          </w:tcPr>
          <w:p>
            <w:pPr>
              <w:ind w:left="300"/>
              <w:spacing w:after="0" w:line="243" w:lineRule="exact"/>
              <w:rPr>
                <w:sz w:val="20"/>
                <w:szCs w:val="20"/>
                <w:color w:val="auto"/>
              </w:rPr>
            </w:pPr>
            <w:r>
              <w:rPr>
                <w:rFonts w:ascii="Times New Roman" w:cs="Times New Roman" w:eastAsia="Times New Roman" w:hAnsi="Times New Roman"/>
                <w:sz w:val="20"/>
                <w:szCs w:val="20"/>
                <w:color w:val="auto"/>
              </w:rPr>
              <w:t xml:space="preserve">Less: other segment items </w:t>
            </w:r>
            <w:r>
              <w:rPr>
                <w:rFonts w:ascii="Times New Roman" w:cs="Times New Roman" w:eastAsia="Times New Roman" w:hAnsi="Times New Roman"/>
                <w:sz w:val="26"/>
                <w:szCs w:val="26"/>
                <w:color w:val="auto"/>
                <w:vertAlign w:val="superscript"/>
              </w:rPr>
              <w:t>(1)</w:t>
            </w: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auto"/>
                <w:w w:val="99"/>
              </w:rPr>
              <w:t>(94,976)</w:t>
            </w:r>
          </w:p>
        </w:tc>
        <w:tc>
          <w:tcPr>
            <w:tcW w:w="460" w:type="dxa"/>
            <w:vAlign w:val="bottom"/>
          </w:tcPr>
          <w:p>
            <w:pPr>
              <w:spacing w:after="0"/>
              <w:rPr>
                <w:sz w:val="21"/>
                <w:szCs w:val="21"/>
                <w:color w:val="auto"/>
              </w:rPr>
            </w:pPr>
          </w:p>
        </w:tc>
        <w:tc>
          <w:tcPr>
            <w:tcW w:w="19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(95,810)</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(57,253)</w:t>
            </w:r>
          </w:p>
        </w:tc>
      </w:tr>
      <w:tr>
        <w:trPr>
          <w:trHeight w:val="234"/>
        </w:trPr>
        <w:tc>
          <w:tcPr>
            <w:tcW w:w="3900" w:type="dxa"/>
            <w:vAlign w:val="bottom"/>
            <w:tcBorders>
              <w:top w:val="single" w:sz="8" w:color="D4EEF4"/>
            </w:tcBorders>
            <w:shd w:val="clear" w:color="auto" w:fill="D4EEF4"/>
          </w:tcPr>
          <w:p>
            <w:pPr>
              <w:ind w:left="500"/>
              <w:spacing w:after="0"/>
              <w:rPr>
                <w:sz w:val="20"/>
                <w:szCs w:val="20"/>
                <w:color w:val="auto"/>
              </w:rPr>
            </w:pPr>
            <w:r>
              <w:rPr>
                <w:rFonts w:ascii="Times New Roman" w:cs="Times New Roman" w:eastAsia="Times New Roman" w:hAnsi="Times New Roman"/>
                <w:sz w:val="20"/>
                <w:szCs w:val="20"/>
                <w:color w:val="auto"/>
              </w:rPr>
              <w:t>Net income/(loss)</w:t>
            </w:r>
          </w:p>
        </w:tc>
        <w:tc>
          <w:tcPr>
            <w:tcW w:w="1280" w:type="dxa"/>
            <w:vAlign w:val="bottom"/>
            <w:tcBorders>
              <w:top w:val="single" w:sz="8" w:color="auto"/>
              <w:bottom w:val="single" w:sz="8" w:color="auto"/>
            </w:tcBorders>
            <w:shd w:val="clear" w:color="auto" w:fill="D4EEF4"/>
          </w:tcPr>
          <w:p>
            <w:pPr>
              <w:jc w:val="center"/>
              <w:ind w:left="340"/>
              <w:spacing w:after="0"/>
              <w:rPr>
                <w:sz w:val="20"/>
                <w:szCs w:val="20"/>
                <w:color w:val="auto"/>
              </w:rPr>
            </w:pPr>
            <w:r>
              <w:rPr>
                <w:rFonts w:ascii="Times New Roman" w:cs="Times New Roman" w:eastAsia="Times New Roman" w:hAnsi="Times New Roman"/>
                <w:sz w:val="20"/>
                <w:szCs w:val="20"/>
                <w:color w:val="auto"/>
                <w:w w:val="98"/>
              </w:rPr>
              <w:t>$19,667</w:t>
            </w:r>
          </w:p>
        </w:tc>
        <w:tc>
          <w:tcPr>
            <w:tcW w:w="460" w:type="dxa"/>
            <w:vAlign w:val="bottom"/>
            <w:tcBorders>
              <w:top w:val="single" w:sz="8" w:color="auto"/>
              <w:bottom w:val="single" w:sz="8" w:color="auto"/>
            </w:tcBorders>
            <w:shd w:val="clear" w:color="auto" w:fill="D4EEF4"/>
          </w:tcPr>
          <w:p>
            <w:pPr>
              <w:spacing w:after="0"/>
              <w:rPr>
                <w:sz w:val="20"/>
                <w:szCs w:val="20"/>
                <w:color w:val="auto"/>
              </w:rPr>
            </w:pPr>
          </w:p>
        </w:tc>
        <w:tc>
          <w:tcPr>
            <w:tcW w:w="180" w:type="dxa"/>
            <w:vAlign w:val="bottom"/>
            <w:tcBorders>
              <w:top w:val="single" w:sz="8" w:color="D4EEF4"/>
            </w:tcBorders>
            <w:shd w:val="clear" w:color="auto" w:fill="D4EEF4"/>
          </w:tcPr>
          <w:p>
            <w:pPr>
              <w:spacing w:after="0"/>
              <w:rPr>
                <w:sz w:val="20"/>
                <w:szCs w:val="20"/>
                <w:color w:val="auto"/>
              </w:rPr>
            </w:pPr>
          </w:p>
        </w:tc>
        <w:tc>
          <w:tcPr>
            <w:tcW w:w="1740" w:type="dxa"/>
            <w:vAlign w:val="bottom"/>
            <w:tcBorders>
              <w:top w:val="single" w:sz="8" w:color="auto"/>
              <w:bottom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9"/>
              </w:rPr>
              <w:t>$(7,772)</w:t>
            </w:r>
          </w:p>
        </w:tc>
        <w:tc>
          <w:tcPr>
            <w:tcW w:w="180" w:type="dxa"/>
            <w:vAlign w:val="bottom"/>
            <w:tcBorders>
              <w:top w:val="single" w:sz="8" w:color="D4EEF4"/>
            </w:tcBorders>
            <w:shd w:val="clear" w:color="auto" w:fill="D4EEF4"/>
          </w:tcPr>
          <w:p>
            <w:pPr>
              <w:spacing w:after="0"/>
              <w:rPr>
                <w:sz w:val="20"/>
                <w:szCs w:val="20"/>
                <w:color w:val="auto"/>
              </w:rPr>
            </w:pPr>
          </w:p>
        </w:tc>
        <w:tc>
          <w:tcPr>
            <w:tcW w:w="440" w:type="dxa"/>
            <w:vAlign w:val="bottom"/>
            <w:tcBorders>
              <w:top w:val="single" w:sz="8" w:color="auto"/>
              <w:bottom w:val="single" w:sz="8" w:color="auto"/>
            </w:tcBorders>
            <w:shd w:val="clear" w:color="auto" w:fill="D4EEF4"/>
          </w:tcPr>
          <w:p>
            <w:pPr>
              <w:spacing w:after="0"/>
              <w:rPr>
                <w:sz w:val="20"/>
                <w:szCs w:val="20"/>
                <w:color w:val="auto"/>
              </w:rPr>
            </w:pPr>
          </w:p>
        </w:tc>
        <w:tc>
          <w:tcPr>
            <w:tcW w:w="1300" w:type="dxa"/>
            <w:vAlign w:val="bottom"/>
            <w:tcBorders>
              <w:top w:val="single" w:sz="8" w:color="auto"/>
              <w:bottom w:val="single" w:sz="8" w:color="auto"/>
            </w:tcBorders>
            <w:shd w:val="clear" w:color="auto" w:fill="D4EEF4"/>
          </w:tcPr>
          <w:p>
            <w:pPr>
              <w:jc w:val="center"/>
              <w:ind w:right="340"/>
              <w:spacing w:after="0"/>
              <w:rPr>
                <w:sz w:val="20"/>
                <w:szCs w:val="20"/>
                <w:color w:val="auto"/>
              </w:rPr>
            </w:pPr>
            <w:r>
              <w:rPr>
                <w:rFonts w:ascii="Times New Roman" w:cs="Times New Roman" w:eastAsia="Times New Roman" w:hAnsi="Times New Roman"/>
                <w:sz w:val="20"/>
                <w:szCs w:val="20"/>
                <w:color w:val="auto"/>
              </w:rPr>
              <w:t>$29,399</w:t>
            </w:r>
          </w:p>
        </w:tc>
      </w:tr>
      <w:tr>
        <w:trPr>
          <w:trHeight w:val="20"/>
        </w:trPr>
        <w:tc>
          <w:tcPr>
            <w:tcW w:w="3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500" w:right="140" w:hanging="10"/>
        <w:spacing w:after="0" w:line="258" w:lineRule="auto"/>
        <w:tabs>
          <w:tab w:leader="none" w:pos="78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items included in net income/(loss) includes (i) contingent consideration expense, amortization of intangibles, strategic alliance expense, income tax expense, interest expense, net, as well as other (losses)/income, and (ii) one-time expenses excluded from the significant segment expenses.</w:t>
      </w:r>
    </w:p>
    <w:p>
      <w:pPr>
        <w:spacing w:after="0" w:line="8" w:lineRule="exact"/>
        <w:rPr>
          <w:rFonts w:ascii="Times New Roman" w:cs="Times New Roman" w:eastAsia="Times New Roman" w:hAnsi="Times New Roman"/>
          <w:sz w:val="20"/>
          <w:szCs w:val="20"/>
          <w:color w:val="auto"/>
        </w:rPr>
      </w:pPr>
    </w:p>
    <w:p>
      <w:pPr>
        <w:ind w:left="500" w:right="180" w:hanging="10"/>
        <w:spacing w:after="0" w:line="277" w:lineRule="auto"/>
        <w:tabs>
          <w:tab w:leader="none" w:pos="78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profit share represents compensation expense attributable to variable compensation structures tied to the profitability of our business, paid to senior employees.</w:t>
      </w:r>
    </w:p>
    <w:p>
      <w:pPr>
        <w:spacing w:after="0" w:line="169"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following table reconciles the components of cash compensation and benefits, net of one-time expenses to their equivalent GAAP measures, reported in the Consolidated Statement of Operations for the years ended December 31, 2024,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1380" w:type="dxa"/>
            <w:vAlign w:val="bottom"/>
            <w:tcBorders>
              <w:bottom w:val="single" w:sz="8" w:color="auto"/>
            </w:tcBorders>
          </w:tcPr>
          <w:p>
            <w:pPr>
              <w:spacing w:after="0"/>
              <w:rPr>
                <w:sz w:val="22"/>
                <w:szCs w:val="22"/>
                <w:color w:val="auto"/>
              </w:rPr>
            </w:pPr>
          </w:p>
        </w:tc>
      </w:tr>
      <w:tr>
        <w:trPr>
          <w:trHeight w:val="234"/>
        </w:trPr>
        <w:tc>
          <w:tcPr>
            <w:tcW w:w="4160" w:type="dxa"/>
            <w:vAlign w:val="bottom"/>
          </w:tcPr>
          <w:p>
            <w:pPr>
              <w:spacing w:after="0"/>
              <w:rPr>
                <w:sz w:val="20"/>
                <w:szCs w:val="20"/>
                <w:color w:val="auto"/>
              </w:rPr>
            </w:pPr>
          </w:p>
        </w:tc>
        <w:tc>
          <w:tcPr>
            <w:tcW w:w="1380" w:type="dxa"/>
            <w:vAlign w:val="bottom"/>
          </w:tcPr>
          <w:p>
            <w:pPr>
              <w:jc w:val="center"/>
              <w:ind w:left="32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500" w:type="dxa"/>
            <w:vAlign w:val="bottom"/>
            <w:gridSpan w:val="3"/>
          </w:tcPr>
          <w:p>
            <w:pPr>
              <w:jc w:val="center"/>
              <w:ind w:left="5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34"/>
        </w:trPr>
        <w:tc>
          <w:tcPr>
            <w:tcW w:w="416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380" w:type="dxa"/>
            <w:vAlign w:val="bottom"/>
            <w:tcBorders>
              <w:top w:val="single" w:sz="8" w:color="auto"/>
            </w:tcBorders>
            <w:shd w:val="clear" w:color="auto" w:fill="D4EEF4"/>
          </w:tcPr>
          <w:p>
            <w:pPr>
              <w:jc w:val="center"/>
              <w:ind w:left="340"/>
              <w:spacing w:after="0"/>
              <w:rPr>
                <w:sz w:val="20"/>
                <w:szCs w:val="20"/>
                <w:color w:val="auto"/>
              </w:rPr>
            </w:pPr>
            <w:r>
              <w:rPr>
                <w:rFonts w:ascii="Times New Roman" w:cs="Times New Roman" w:eastAsia="Times New Roman" w:hAnsi="Times New Roman"/>
                <w:sz w:val="20"/>
                <w:szCs w:val="20"/>
                <w:color w:val="auto"/>
                <w:w w:val="98"/>
              </w:rPr>
              <w:t>$155,316</w:t>
            </w:r>
          </w:p>
        </w:tc>
        <w:tc>
          <w:tcPr>
            <w:tcW w:w="460" w:type="dxa"/>
            <w:vAlign w:val="bottom"/>
            <w:tcBorders>
              <w:top w:val="single" w:sz="8" w:color="auto"/>
            </w:tcBorders>
            <w:shd w:val="clear" w:color="auto" w:fill="D4EEF4"/>
          </w:tcPr>
          <w:p>
            <w:pPr>
              <w:spacing w:after="0"/>
              <w:rPr>
                <w:sz w:val="20"/>
                <w:szCs w:val="20"/>
                <w:color w:val="auto"/>
              </w:rPr>
            </w:pPr>
          </w:p>
        </w:tc>
        <w:tc>
          <w:tcPr>
            <w:tcW w:w="200" w:type="dxa"/>
            <w:vAlign w:val="bottom"/>
            <w:tcBorders>
              <w:top w:val="single" w:sz="8" w:color="D4EEF4"/>
            </w:tcBorders>
            <w:shd w:val="clear" w:color="auto" w:fill="D4EEF4"/>
          </w:tcPr>
          <w:p>
            <w:pPr>
              <w:spacing w:after="0"/>
              <w:rPr>
                <w:sz w:val="20"/>
                <w:szCs w:val="20"/>
                <w:color w:val="auto"/>
              </w:rPr>
            </w:pPr>
          </w:p>
        </w:tc>
        <w:tc>
          <w:tcPr>
            <w:tcW w:w="1840" w:type="dxa"/>
            <w:vAlign w:val="bottom"/>
            <w:tcBorders>
              <w:top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$154,286</w:t>
            </w:r>
          </w:p>
        </w:tc>
        <w:tc>
          <w:tcPr>
            <w:tcW w:w="20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tcBorders>
            <w:shd w:val="clear" w:color="auto" w:fill="D4EEF4"/>
          </w:tcPr>
          <w:p>
            <w:pPr>
              <w:spacing w:after="0"/>
              <w:rPr>
                <w:sz w:val="20"/>
                <w:szCs w:val="20"/>
                <w:color w:val="auto"/>
              </w:rPr>
            </w:pPr>
          </w:p>
        </w:tc>
        <w:tc>
          <w:tcPr>
            <w:tcW w:w="1380" w:type="dxa"/>
            <w:vAlign w:val="bottom"/>
            <w:tcBorders>
              <w:top w:val="single" w:sz="8" w:color="auto"/>
            </w:tcBorders>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rPr>
              <w:t>$94,297</w:t>
            </w:r>
          </w:p>
        </w:tc>
      </w:tr>
      <w:tr>
        <w:trPr>
          <w:trHeight w:val="244"/>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4"/>
        </w:trPr>
        <w:tc>
          <w:tcPr>
            <w:tcW w:w="4160" w:type="dxa"/>
            <w:vAlign w:val="bottom"/>
            <w:shd w:val="clear" w:color="auto" w:fill="D4EEF4"/>
          </w:tcPr>
          <w:p>
            <w:pPr>
              <w:ind w:left="3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1380" w:type="dxa"/>
            <w:vAlign w:val="bottom"/>
            <w:shd w:val="clear" w:color="auto" w:fill="D4EEF4"/>
          </w:tcPr>
          <w:p>
            <w:pPr>
              <w:jc w:val="center"/>
              <w:ind w:left="320"/>
              <w:spacing w:after="0"/>
              <w:rPr>
                <w:sz w:val="20"/>
                <w:szCs w:val="20"/>
                <w:color w:val="auto"/>
              </w:rPr>
            </w:pPr>
            <w:r>
              <w:rPr>
                <w:rFonts w:ascii="Times New Roman" w:cs="Times New Roman" w:eastAsia="Times New Roman" w:hAnsi="Times New Roman"/>
                <w:sz w:val="20"/>
                <w:szCs w:val="20"/>
                <w:color w:val="auto"/>
                <w:w w:val="99"/>
              </w:rPr>
              <w:t>(30,451)</w:t>
            </w:r>
          </w:p>
        </w:tc>
        <w:tc>
          <w:tcPr>
            <w:tcW w:w="460" w:type="dxa"/>
            <w:vAlign w:val="bottom"/>
            <w:shd w:val="clear" w:color="auto" w:fill="D4EEF4"/>
          </w:tcPr>
          <w:p>
            <w:pPr>
              <w:spacing w:after="0"/>
              <w:rPr>
                <w:sz w:val="21"/>
                <w:szCs w:val="21"/>
                <w:color w:val="auto"/>
              </w:rPr>
            </w:pPr>
          </w:p>
        </w:tc>
        <w:tc>
          <w:tcPr>
            <w:tcW w:w="2040" w:type="dxa"/>
            <w:vAlign w:val="bottom"/>
            <w:gridSpan w:val="2"/>
            <w:shd w:val="clear" w:color="auto" w:fill="D4EEF4"/>
          </w:tcPr>
          <w:p>
            <w:pPr>
              <w:jc w:val="center"/>
              <w:ind w:left="80"/>
              <w:spacing w:after="0"/>
              <w:rPr>
                <w:sz w:val="20"/>
                <w:szCs w:val="20"/>
                <w:color w:val="auto"/>
              </w:rPr>
            </w:pPr>
            <w:r>
              <w:rPr>
                <w:rFonts w:ascii="Times New Roman" w:cs="Times New Roman" w:eastAsia="Times New Roman" w:hAnsi="Times New Roman"/>
                <w:sz w:val="20"/>
                <w:szCs w:val="20"/>
                <w:color w:val="auto"/>
              </w:rPr>
              <w:t>(34,653)</w:t>
            </w:r>
          </w:p>
        </w:tc>
        <w:tc>
          <w:tcPr>
            <w:tcW w:w="2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1380" w:type="dxa"/>
            <w:vAlign w:val="bottom"/>
            <w:shd w:val="clear" w:color="auto" w:fill="D4EEF4"/>
          </w:tcPr>
          <w:p>
            <w:pPr>
              <w:jc w:val="center"/>
              <w:ind w:right="360"/>
              <w:spacing w:after="0"/>
              <w:rPr>
                <w:sz w:val="20"/>
                <w:szCs w:val="20"/>
                <w:color w:val="auto"/>
              </w:rPr>
            </w:pPr>
            <w:r>
              <w:rPr>
                <w:rFonts w:ascii="Times New Roman" w:cs="Times New Roman" w:eastAsia="Times New Roman" w:hAnsi="Times New Roman"/>
                <w:sz w:val="20"/>
                <w:szCs w:val="20"/>
                <w:color w:val="auto"/>
                <w:w w:val="99"/>
              </w:rPr>
              <w:t>(18,616)</w:t>
            </w:r>
          </w:p>
        </w:tc>
      </w:tr>
      <w:tr>
        <w:trPr>
          <w:trHeight w:val="244"/>
        </w:trPr>
        <w:tc>
          <w:tcPr>
            <w:tcW w:w="4160" w:type="dxa"/>
            <w:vAlign w:val="bottom"/>
          </w:tcPr>
          <w:p>
            <w:pPr>
              <w:ind w:left="300"/>
              <w:spacing w:after="0" w:line="243" w:lineRule="exact"/>
              <w:rPr>
                <w:sz w:val="20"/>
                <w:szCs w:val="20"/>
                <w:color w:val="auto"/>
              </w:rPr>
            </w:pPr>
            <w:r>
              <w:rPr>
                <w:rFonts w:ascii="Times New Roman" w:cs="Times New Roman" w:eastAsia="Times New Roman" w:hAnsi="Times New Roman"/>
                <w:sz w:val="20"/>
                <w:szCs w:val="20"/>
                <w:color w:val="auto"/>
              </w:rPr>
              <w:t>Management profit share</w:t>
            </w:r>
            <w:r>
              <w:rPr>
                <w:rFonts w:ascii="Times New Roman" w:cs="Times New Roman" w:eastAsia="Times New Roman" w:hAnsi="Times New Roman"/>
                <w:sz w:val="26"/>
                <w:szCs w:val="26"/>
                <w:color w:val="auto"/>
                <w:vertAlign w:val="superscript"/>
              </w:rPr>
              <w:t>(2)</w:t>
            </w:r>
          </w:p>
        </w:tc>
        <w:tc>
          <w:tcPr>
            <w:tcW w:w="1380" w:type="dxa"/>
            <w:vAlign w:val="bottom"/>
          </w:tcPr>
          <w:p>
            <w:pPr>
              <w:jc w:val="center"/>
              <w:ind w:left="320"/>
              <w:spacing w:after="0"/>
              <w:rPr>
                <w:sz w:val="20"/>
                <w:szCs w:val="20"/>
                <w:color w:val="auto"/>
              </w:rPr>
            </w:pPr>
            <w:r>
              <w:rPr>
                <w:rFonts w:ascii="Times New Roman" w:cs="Times New Roman" w:eastAsia="Times New Roman" w:hAnsi="Times New Roman"/>
                <w:sz w:val="20"/>
                <w:szCs w:val="20"/>
                <w:color w:val="auto"/>
                <w:w w:val="99"/>
              </w:rPr>
              <w:t>(11,033)</w:t>
            </w:r>
          </w:p>
        </w:tc>
        <w:tc>
          <w:tcPr>
            <w:tcW w:w="460" w:type="dxa"/>
            <w:vAlign w:val="bottom"/>
          </w:tcPr>
          <w:p>
            <w:pPr>
              <w:spacing w:after="0"/>
              <w:rPr>
                <w:sz w:val="21"/>
                <w:szCs w:val="21"/>
                <w:color w:val="auto"/>
              </w:rPr>
            </w:pPr>
          </w:p>
        </w:tc>
        <w:tc>
          <w:tcPr>
            <w:tcW w:w="20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(2,058)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89"/>
              </w:rPr>
              <w:t>-</w:t>
            </w:r>
          </w:p>
        </w:tc>
      </w:tr>
      <w:tr>
        <w:trPr>
          <w:trHeight w:val="244"/>
        </w:trPr>
        <w:tc>
          <w:tcPr>
            <w:tcW w:w="4160" w:type="dxa"/>
            <w:vAlign w:val="bottom"/>
            <w:shd w:val="clear" w:color="auto" w:fill="D4EEF4"/>
          </w:tcPr>
          <w:p>
            <w:pPr>
              <w:ind w:left="300"/>
              <w:spacing w:after="0" w:line="243" w:lineRule="exact"/>
              <w:rPr>
                <w:sz w:val="20"/>
                <w:szCs w:val="20"/>
                <w:color w:val="auto"/>
              </w:rPr>
            </w:pPr>
            <w:r>
              <w:rPr>
                <w:rFonts w:ascii="Times New Roman" w:cs="Times New Roman" w:eastAsia="Times New Roman" w:hAnsi="Times New Roman"/>
                <w:sz w:val="20"/>
                <w:szCs w:val="20"/>
                <w:color w:val="auto"/>
              </w:rPr>
              <w:t xml:space="preserve">One-time expenses </w:t>
            </w:r>
            <w:r>
              <w:rPr>
                <w:rFonts w:ascii="Times New Roman" w:cs="Times New Roman" w:eastAsia="Times New Roman" w:hAnsi="Times New Roman"/>
                <w:sz w:val="26"/>
                <w:szCs w:val="26"/>
                <w:color w:val="auto"/>
                <w:vertAlign w:val="superscript"/>
              </w:rPr>
              <w:t>(1)</w:t>
            </w:r>
          </w:p>
        </w:tc>
        <w:tc>
          <w:tcPr>
            <w:tcW w:w="1380" w:type="dxa"/>
            <w:vAlign w:val="bottom"/>
            <w:shd w:val="clear" w:color="auto" w:fill="D4EEF4"/>
          </w:tcPr>
          <w:p>
            <w:pPr>
              <w:jc w:val="center"/>
              <w:ind w:left="320"/>
              <w:spacing w:after="0"/>
              <w:rPr>
                <w:sz w:val="20"/>
                <w:szCs w:val="20"/>
                <w:color w:val="auto"/>
              </w:rPr>
            </w:pPr>
            <w:r>
              <w:rPr>
                <w:rFonts w:ascii="Times New Roman" w:cs="Times New Roman" w:eastAsia="Times New Roman" w:hAnsi="Times New Roman"/>
                <w:sz w:val="20"/>
                <w:szCs w:val="20"/>
                <w:color w:val="auto"/>
                <w:w w:val="99"/>
              </w:rPr>
              <w:t>(14,312)</w:t>
            </w:r>
          </w:p>
        </w:tc>
        <w:tc>
          <w:tcPr>
            <w:tcW w:w="460" w:type="dxa"/>
            <w:vAlign w:val="bottom"/>
            <w:shd w:val="clear" w:color="auto" w:fill="D4EEF4"/>
          </w:tcPr>
          <w:p>
            <w:pPr>
              <w:spacing w:after="0"/>
              <w:rPr>
                <w:sz w:val="21"/>
                <w:szCs w:val="21"/>
                <w:color w:val="auto"/>
              </w:rPr>
            </w:pPr>
          </w:p>
        </w:tc>
        <w:tc>
          <w:tcPr>
            <w:tcW w:w="2040" w:type="dxa"/>
            <w:vAlign w:val="bottom"/>
            <w:gridSpan w:val="2"/>
            <w:shd w:val="clear" w:color="auto" w:fill="D4EEF4"/>
          </w:tcPr>
          <w:p>
            <w:pPr>
              <w:jc w:val="center"/>
              <w:ind w:left="80"/>
              <w:spacing w:after="0"/>
              <w:rPr>
                <w:sz w:val="20"/>
                <w:szCs w:val="20"/>
                <w:color w:val="auto"/>
              </w:rPr>
            </w:pPr>
            <w:r>
              <w:rPr>
                <w:rFonts w:ascii="Times New Roman" w:cs="Times New Roman" w:eastAsia="Times New Roman" w:hAnsi="Times New Roman"/>
                <w:sz w:val="20"/>
                <w:szCs w:val="20"/>
                <w:color w:val="auto"/>
              </w:rPr>
              <w:t>(29,104)</w:t>
            </w:r>
          </w:p>
        </w:tc>
        <w:tc>
          <w:tcPr>
            <w:tcW w:w="2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1380" w:type="dxa"/>
            <w:vAlign w:val="bottom"/>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w w:val="99"/>
              </w:rPr>
              <w:t>(7,337)</w:t>
            </w:r>
          </w:p>
        </w:tc>
      </w:tr>
      <w:tr>
        <w:trPr>
          <w:trHeight w:val="215"/>
        </w:trPr>
        <w:tc>
          <w:tcPr>
            <w:tcW w:w="416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Cash compensation and benefits, net of one-time</w:t>
            </w:r>
          </w:p>
        </w:tc>
        <w:tc>
          <w:tcPr>
            <w:tcW w:w="1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9"/>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13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auto"/>
              </w:rPr>
              <w:t>$99,520</w:t>
            </w:r>
          </w:p>
        </w:tc>
        <w:tc>
          <w:tcPr>
            <w:tcW w:w="2500" w:type="dxa"/>
            <w:vAlign w:val="bottom"/>
            <w:gridSpan w:val="3"/>
          </w:tcPr>
          <w:p>
            <w:pPr>
              <w:jc w:val="center"/>
              <w:ind w:left="540"/>
              <w:spacing w:after="0"/>
              <w:rPr>
                <w:sz w:val="20"/>
                <w:szCs w:val="20"/>
                <w:color w:val="auto"/>
              </w:rPr>
            </w:pPr>
            <w:r>
              <w:rPr>
                <w:rFonts w:ascii="Times New Roman" w:cs="Times New Roman" w:eastAsia="Times New Roman" w:hAnsi="Times New Roman"/>
                <w:sz w:val="20"/>
                <w:szCs w:val="20"/>
                <w:color w:val="auto"/>
              </w:rPr>
              <w:t>$88,471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$68,344</w:t>
            </w:r>
          </w:p>
        </w:tc>
      </w:tr>
      <w:tr>
        <w:trPr>
          <w:trHeight w:val="20"/>
        </w:trPr>
        <w:tc>
          <w:tcPr>
            <w:tcW w:w="4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780" w:hanging="290"/>
        <w:spacing w:after="0"/>
        <w:tabs>
          <w:tab w:leader="none" w:pos="7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adjustments for one-time expenses relate primarily to (i) restructuring of the management team including</w:t>
      </w:r>
    </w:p>
    <w:p>
      <w:pPr>
        <w:spacing w:after="0" w:line="28" w:lineRule="exact"/>
        <w:rPr>
          <w:rFonts w:ascii="Times New Roman" w:cs="Times New Roman" w:eastAsia="Times New Roman" w:hAnsi="Times New Roman"/>
          <w:sz w:val="20"/>
          <w:szCs w:val="20"/>
          <w:color w:val="auto"/>
        </w:rPr>
      </w:pPr>
    </w:p>
    <w:p>
      <w:pPr>
        <w:ind w:left="500" w:right="40"/>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signing bonus and severance; and (ii) acquisition-related expenses which reflects the actual costs incurred during the period for the acquisition of new businesses, which primarily consists of bonuses not paid to employees directly related to the WTI acquisition.</w:t>
      </w:r>
    </w:p>
    <w:p>
      <w:pPr>
        <w:spacing w:after="0" w:line="20" w:lineRule="exact"/>
        <w:rPr>
          <w:rFonts w:ascii="Times New Roman" w:cs="Times New Roman" w:eastAsia="Times New Roman" w:hAnsi="Times New Roman"/>
          <w:sz w:val="20"/>
          <w:szCs w:val="20"/>
          <w:color w:val="auto"/>
        </w:rPr>
      </w:pPr>
    </w:p>
    <w:p>
      <w:pPr>
        <w:ind w:left="500" w:right="180" w:hanging="10"/>
        <w:spacing w:after="0" w:line="277" w:lineRule="auto"/>
        <w:tabs>
          <w:tab w:leader="none" w:pos="78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profit share represents compensation expense attributable to variable compensation structures tied to the profitability of our business, paid to senior employees.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696" w:right="1080" w:bottom="175"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auto"/>
        </w:rPr>
        <w:t>The following table reconciles the components of professional fees, net of one-time expenses to their equivalent GAAP measures, reported in the Consolidated Statement of Operations for the years ended December 31, 2024,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1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1360" w:type="dxa"/>
            <w:vAlign w:val="bottom"/>
          </w:tcPr>
          <w:p>
            <w:pPr>
              <w:jc w:val="center"/>
              <w:ind w:left="3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520" w:type="dxa"/>
            <w:vAlign w:val="bottom"/>
            <w:gridSpan w:val="3"/>
          </w:tcPr>
          <w:p>
            <w:pPr>
              <w:jc w:val="center"/>
              <w:ind w:left="5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60" w:type="dxa"/>
            <w:vAlign w:val="bottom"/>
            <w:vMerge w:val="continue"/>
          </w:tcPr>
          <w:p>
            <w:pPr>
              <w:spacing w:after="0"/>
              <w:rPr>
                <w:sz w:val="20"/>
                <w:szCs w:val="20"/>
                <w:color w:val="auto"/>
              </w:rPr>
            </w:pPr>
          </w:p>
        </w:tc>
        <w:tc>
          <w:tcPr>
            <w:tcW w:w="1360" w:type="dxa"/>
            <w:vAlign w:val="bottom"/>
            <w:tcBorders>
              <w:top w:val="single" w:sz="8" w:color="auto"/>
            </w:tcBorders>
          </w:tcPr>
          <w:p>
            <w:pPr>
              <w:jc w:val="center"/>
              <w:ind w:left="360"/>
              <w:spacing w:after="0"/>
              <w:rPr>
                <w:sz w:val="20"/>
                <w:szCs w:val="20"/>
                <w:color w:val="auto"/>
              </w:rPr>
            </w:pPr>
            <w:r>
              <w:rPr>
                <w:rFonts w:ascii="Times New Roman" w:cs="Times New Roman" w:eastAsia="Times New Roman" w:hAnsi="Times New Roman"/>
                <w:sz w:val="20"/>
                <w:szCs w:val="20"/>
                <w:color w:val="auto"/>
              </w:rPr>
              <w:t>$21,464</w:t>
            </w:r>
          </w:p>
        </w:tc>
        <w:tc>
          <w:tcPr>
            <w:tcW w:w="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$12,668</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center"/>
              <w:ind w:right="380"/>
              <w:spacing w:after="0"/>
              <w:rPr>
                <w:sz w:val="20"/>
                <w:szCs w:val="20"/>
                <w:color w:val="auto"/>
              </w:rPr>
            </w:pPr>
            <w:r>
              <w:rPr>
                <w:rFonts w:ascii="Times New Roman" w:cs="Times New Roman" w:eastAsia="Times New Roman" w:hAnsi="Times New Roman"/>
                <w:sz w:val="20"/>
                <w:szCs w:val="20"/>
                <w:color w:val="auto"/>
              </w:rPr>
              <w:t>$12,856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360" w:type="dxa"/>
            <w:vAlign w:val="bottom"/>
            <w:shd w:val="clear" w:color="auto" w:fill="D4EEF4"/>
          </w:tcPr>
          <w:p>
            <w:pPr>
              <w:spacing w:after="0"/>
              <w:rPr>
                <w:sz w:val="21"/>
                <w:szCs w:val="21"/>
                <w:color w:val="auto"/>
              </w:rPr>
            </w:pPr>
          </w:p>
        </w:tc>
        <w:tc>
          <w:tcPr>
            <w:tcW w:w="48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184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138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60" w:type="dxa"/>
            <w:vAlign w:val="bottom"/>
          </w:tcPr>
          <w:p>
            <w:pPr>
              <w:ind w:left="300"/>
              <w:spacing w:after="0" w:line="243" w:lineRule="exact"/>
              <w:rPr>
                <w:sz w:val="20"/>
                <w:szCs w:val="20"/>
                <w:color w:val="auto"/>
              </w:rPr>
            </w:pPr>
            <w:r>
              <w:rPr>
                <w:rFonts w:ascii="Times New Roman" w:cs="Times New Roman" w:eastAsia="Times New Roman" w:hAnsi="Times New Roman"/>
                <w:sz w:val="20"/>
                <w:szCs w:val="20"/>
                <w:color w:val="auto"/>
              </w:rPr>
              <w:t xml:space="preserve">One-time expenses </w:t>
            </w:r>
            <w:r>
              <w:rPr>
                <w:rFonts w:ascii="Times New Roman" w:cs="Times New Roman" w:eastAsia="Times New Roman" w:hAnsi="Times New Roman"/>
                <w:sz w:val="26"/>
                <w:szCs w:val="26"/>
                <w:color w:val="auto"/>
                <w:vertAlign w:val="superscript"/>
              </w:rPr>
              <w:t>(1)</w:t>
            </w:r>
          </w:p>
        </w:tc>
        <w:tc>
          <w:tcPr>
            <w:tcW w:w="136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auto"/>
                <w:w w:val="99"/>
              </w:rPr>
              <w:t>(8,056)</w:t>
            </w:r>
          </w:p>
        </w:tc>
        <w:tc>
          <w:tcPr>
            <w:tcW w:w="2520" w:type="dxa"/>
            <w:vAlign w:val="bottom"/>
            <w:gridSpan w:val="3"/>
          </w:tcPr>
          <w:p>
            <w:pPr>
              <w:jc w:val="center"/>
              <w:ind w:left="560"/>
              <w:spacing w:after="0"/>
              <w:rPr>
                <w:sz w:val="20"/>
                <w:szCs w:val="20"/>
                <w:color w:val="auto"/>
              </w:rPr>
            </w:pPr>
            <w:r>
              <w:rPr>
                <w:rFonts w:ascii="Times New Roman" w:cs="Times New Roman" w:eastAsia="Times New Roman" w:hAnsi="Times New Roman"/>
                <w:sz w:val="20"/>
                <w:szCs w:val="20"/>
                <w:color w:val="auto"/>
                <w:w w:val="99"/>
              </w:rPr>
              <w:t>(4,186)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(5,867)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Professional fees, net of one-time expenses</w:t>
            </w:r>
          </w:p>
        </w:tc>
        <w:tc>
          <w:tcPr>
            <w:tcW w:w="1360" w:type="dxa"/>
            <w:vAlign w:val="bottom"/>
            <w:tcBorders>
              <w:top w:val="single" w:sz="8" w:color="auto"/>
              <w:bottom w:val="single" w:sz="8" w:color="auto"/>
            </w:tcBorders>
            <w:shd w:val="clear" w:color="auto" w:fill="D4EEF4"/>
          </w:tcPr>
          <w:p>
            <w:pPr>
              <w:jc w:val="center"/>
              <w:ind w:left="360"/>
              <w:spacing w:after="0"/>
              <w:rPr>
                <w:sz w:val="20"/>
                <w:szCs w:val="20"/>
                <w:color w:val="auto"/>
              </w:rPr>
            </w:pPr>
            <w:r>
              <w:rPr>
                <w:rFonts w:ascii="Times New Roman" w:cs="Times New Roman" w:eastAsia="Times New Roman" w:hAnsi="Times New Roman"/>
                <w:sz w:val="20"/>
                <w:szCs w:val="20"/>
                <w:color w:val="auto"/>
              </w:rPr>
              <w:t>$13,408</w:t>
            </w:r>
          </w:p>
        </w:tc>
        <w:tc>
          <w:tcPr>
            <w:tcW w:w="480" w:type="dxa"/>
            <w:vAlign w:val="bottom"/>
            <w:tcBorders>
              <w:top w:val="single" w:sz="8" w:color="auto"/>
              <w:bottom w:val="single" w:sz="8" w:color="auto"/>
            </w:tcBorders>
            <w:shd w:val="clear" w:color="auto" w:fill="D4EEF4"/>
          </w:tcPr>
          <w:p>
            <w:pPr>
              <w:spacing w:after="0"/>
              <w:rPr>
                <w:sz w:val="20"/>
                <w:szCs w:val="20"/>
                <w:color w:val="auto"/>
              </w:rPr>
            </w:pPr>
          </w:p>
        </w:tc>
        <w:tc>
          <w:tcPr>
            <w:tcW w:w="200" w:type="dxa"/>
            <w:vAlign w:val="bottom"/>
            <w:tcBorders>
              <w:top w:val="single" w:sz="8" w:color="D4EEF4"/>
            </w:tcBorders>
            <w:shd w:val="clear" w:color="auto" w:fill="D4EEF4"/>
          </w:tcPr>
          <w:p>
            <w:pPr>
              <w:spacing w:after="0"/>
              <w:rPr>
                <w:sz w:val="20"/>
                <w:szCs w:val="20"/>
                <w:color w:val="auto"/>
              </w:rPr>
            </w:pPr>
          </w:p>
        </w:tc>
        <w:tc>
          <w:tcPr>
            <w:tcW w:w="1840" w:type="dxa"/>
            <w:vAlign w:val="bottom"/>
            <w:tcBorders>
              <w:top w:val="single" w:sz="8" w:color="auto"/>
              <w:bottom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$8,482</w:t>
            </w:r>
          </w:p>
        </w:tc>
        <w:tc>
          <w:tcPr>
            <w:tcW w:w="20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bottom w:val="single" w:sz="8" w:color="auto"/>
            </w:tcBorders>
            <w:shd w:val="clear" w:color="auto" w:fill="D4EEF4"/>
          </w:tcPr>
          <w:p>
            <w:pPr>
              <w:spacing w:after="0"/>
              <w:rPr>
                <w:sz w:val="20"/>
                <w:szCs w:val="20"/>
                <w:color w:val="auto"/>
              </w:rPr>
            </w:pPr>
          </w:p>
        </w:tc>
        <w:tc>
          <w:tcPr>
            <w:tcW w:w="1380" w:type="dxa"/>
            <w:vAlign w:val="bottom"/>
            <w:tcBorders>
              <w:top w:val="single" w:sz="8" w:color="auto"/>
              <w:bottom w:val="single" w:sz="8" w:color="auto"/>
            </w:tcBorders>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w w:val="98"/>
              </w:rPr>
              <w:t>$6,989</w:t>
            </w:r>
          </w:p>
        </w:tc>
        <w:tc>
          <w:tcPr>
            <w:tcW w:w="20" w:type="dxa"/>
            <w:vAlign w:val="bottom"/>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right="180" w:hanging="10"/>
        <w:spacing w:after="0" w:line="249" w:lineRule="auto"/>
        <w:tabs>
          <w:tab w:leader="none" w:pos="78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expenses related to debt refinancing.</w:t>
      </w:r>
    </w:p>
    <w:p>
      <w:pPr>
        <w:spacing w:after="0" w:line="197"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following table reconciles the components of general, administrative and other, net of one-time expenses to their equivalent GAAP measures, reported in the Consolidated Statement of Operations for the years ended December 31, 2024,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1380" w:type="dxa"/>
            <w:vAlign w:val="bottom"/>
            <w:tcBorders>
              <w:bottom w:val="single" w:sz="8" w:color="auto"/>
            </w:tcBorders>
          </w:tcPr>
          <w:p>
            <w:pPr>
              <w:spacing w:after="0"/>
              <w:rPr>
                <w:sz w:val="22"/>
                <w:szCs w:val="22"/>
                <w:color w:val="auto"/>
              </w:rPr>
            </w:pPr>
          </w:p>
        </w:tc>
      </w:tr>
      <w:tr>
        <w:trPr>
          <w:trHeight w:val="234"/>
        </w:trPr>
        <w:tc>
          <w:tcPr>
            <w:tcW w:w="4160" w:type="dxa"/>
            <w:vAlign w:val="bottom"/>
          </w:tcPr>
          <w:p>
            <w:pPr>
              <w:spacing w:after="0"/>
              <w:rPr>
                <w:sz w:val="20"/>
                <w:szCs w:val="20"/>
                <w:color w:val="auto"/>
              </w:rPr>
            </w:pPr>
          </w:p>
        </w:tc>
        <w:tc>
          <w:tcPr>
            <w:tcW w:w="1360" w:type="dxa"/>
            <w:vAlign w:val="bottom"/>
          </w:tcPr>
          <w:p>
            <w:pPr>
              <w:jc w:val="center"/>
              <w:ind w:left="3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520" w:type="dxa"/>
            <w:vAlign w:val="bottom"/>
            <w:gridSpan w:val="3"/>
          </w:tcPr>
          <w:p>
            <w:pPr>
              <w:jc w:val="center"/>
              <w:ind w:left="5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34"/>
        </w:trPr>
        <w:tc>
          <w:tcPr>
            <w:tcW w:w="416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1360" w:type="dxa"/>
            <w:vAlign w:val="bottom"/>
            <w:tcBorders>
              <w:top w:val="single" w:sz="8" w:color="auto"/>
            </w:tcBorders>
            <w:shd w:val="clear" w:color="auto" w:fill="D4EEF4"/>
          </w:tcPr>
          <w:p>
            <w:pPr>
              <w:jc w:val="center"/>
              <w:ind w:left="360"/>
              <w:spacing w:after="0"/>
              <w:rPr>
                <w:sz w:val="20"/>
                <w:szCs w:val="20"/>
                <w:color w:val="auto"/>
              </w:rPr>
            </w:pPr>
            <w:r>
              <w:rPr>
                <w:rFonts w:ascii="Times New Roman" w:cs="Times New Roman" w:eastAsia="Times New Roman" w:hAnsi="Times New Roman"/>
                <w:sz w:val="20"/>
                <w:szCs w:val="20"/>
                <w:color w:val="auto"/>
              </w:rPr>
              <w:t>$28,780</w:t>
            </w:r>
          </w:p>
        </w:tc>
        <w:tc>
          <w:tcPr>
            <w:tcW w:w="480" w:type="dxa"/>
            <w:vAlign w:val="bottom"/>
            <w:tcBorders>
              <w:top w:val="single" w:sz="8" w:color="auto"/>
            </w:tcBorders>
            <w:shd w:val="clear" w:color="auto" w:fill="D4EEF4"/>
          </w:tcPr>
          <w:p>
            <w:pPr>
              <w:spacing w:after="0"/>
              <w:rPr>
                <w:sz w:val="20"/>
                <w:szCs w:val="20"/>
                <w:color w:val="auto"/>
              </w:rPr>
            </w:pPr>
          </w:p>
        </w:tc>
        <w:tc>
          <w:tcPr>
            <w:tcW w:w="200" w:type="dxa"/>
            <w:vAlign w:val="bottom"/>
            <w:tcBorders>
              <w:top w:val="single" w:sz="8" w:color="D4EEF4"/>
            </w:tcBorders>
            <w:shd w:val="clear" w:color="auto" w:fill="D4EEF4"/>
          </w:tcPr>
          <w:p>
            <w:pPr>
              <w:spacing w:after="0"/>
              <w:rPr>
                <w:sz w:val="20"/>
                <w:szCs w:val="20"/>
                <w:color w:val="auto"/>
              </w:rPr>
            </w:pPr>
          </w:p>
        </w:tc>
        <w:tc>
          <w:tcPr>
            <w:tcW w:w="1840" w:type="dxa"/>
            <w:vAlign w:val="bottom"/>
            <w:tcBorders>
              <w:top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rPr>
              <w:t>$22,584</w:t>
            </w:r>
          </w:p>
        </w:tc>
        <w:tc>
          <w:tcPr>
            <w:tcW w:w="200" w:type="dxa"/>
            <w:vAlign w:val="bottom"/>
            <w:tcBorders>
              <w:top w:val="single" w:sz="8" w:color="D4EEF4"/>
            </w:tcBorders>
            <w:shd w:val="clear" w:color="auto" w:fill="D4EEF4"/>
          </w:tcPr>
          <w:p>
            <w:pPr>
              <w:spacing w:after="0"/>
              <w:rPr>
                <w:sz w:val="20"/>
                <w:szCs w:val="20"/>
                <w:color w:val="auto"/>
              </w:rPr>
            </w:pPr>
          </w:p>
        </w:tc>
        <w:tc>
          <w:tcPr>
            <w:tcW w:w="460" w:type="dxa"/>
            <w:vAlign w:val="bottom"/>
            <w:tcBorders>
              <w:top w:val="single" w:sz="8" w:color="auto"/>
            </w:tcBorders>
            <w:shd w:val="clear" w:color="auto" w:fill="D4EEF4"/>
          </w:tcPr>
          <w:p>
            <w:pPr>
              <w:spacing w:after="0"/>
              <w:rPr>
                <w:sz w:val="20"/>
                <w:szCs w:val="20"/>
                <w:color w:val="auto"/>
              </w:rPr>
            </w:pPr>
          </w:p>
        </w:tc>
        <w:tc>
          <w:tcPr>
            <w:tcW w:w="1380" w:type="dxa"/>
            <w:vAlign w:val="bottom"/>
            <w:tcBorders>
              <w:top w:val="single" w:sz="8" w:color="auto"/>
            </w:tcBorders>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rPr>
              <w:t>$18,522</w:t>
            </w:r>
          </w:p>
        </w:tc>
      </w:tr>
      <w:tr>
        <w:trPr>
          <w:trHeight w:val="244"/>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4"/>
        </w:trPr>
        <w:tc>
          <w:tcPr>
            <w:tcW w:w="4160" w:type="dxa"/>
            <w:vAlign w:val="bottom"/>
            <w:shd w:val="clear" w:color="auto" w:fill="D4EEF4"/>
          </w:tcPr>
          <w:p>
            <w:pPr>
              <w:ind w:left="260"/>
              <w:spacing w:after="0"/>
              <w:rPr>
                <w:sz w:val="20"/>
                <w:szCs w:val="20"/>
                <w:color w:val="auto"/>
              </w:rPr>
            </w:pPr>
            <w:r>
              <w:rPr>
                <w:rFonts w:ascii="Times New Roman" w:cs="Times New Roman" w:eastAsia="Times New Roman" w:hAnsi="Times New Roman"/>
                <w:sz w:val="20"/>
                <w:szCs w:val="20"/>
                <w:color w:val="auto"/>
              </w:rPr>
              <w:t>Placement agent expenses</w:t>
            </w:r>
          </w:p>
        </w:tc>
        <w:tc>
          <w:tcPr>
            <w:tcW w:w="1360" w:type="dxa"/>
            <w:vAlign w:val="bottom"/>
            <w:shd w:val="clear" w:color="auto" w:fill="D4EEF4"/>
          </w:tcPr>
          <w:p>
            <w:pPr>
              <w:jc w:val="center"/>
              <w:ind w:left="360"/>
              <w:spacing w:after="0"/>
              <w:rPr>
                <w:sz w:val="20"/>
                <w:szCs w:val="20"/>
                <w:color w:val="auto"/>
              </w:rPr>
            </w:pPr>
            <w:r>
              <w:rPr>
                <w:rFonts w:ascii="Times New Roman" w:cs="Times New Roman" w:eastAsia="Times New Roman" w:hAnsi="Times New Roman"/>
                <w:sz w:val="20"/>
                <w:szCs w:val="20"/>
                <w:color w:val="auto"/>
                <w:w w:val="99"/>
              </w:rPr>
              <w:t>(6,039)</w:t>
            </w:r>
          </w:p>
        </w:tc>
        <w:tc>
          <w:tcPr>
            <w:tcW w:w="480" w:type="dxa"/>
            <w:vAlign w:val="bottom"/>
            <w:shd w:val="clear" w:color="auto" w:fill="D4EEF4"/>
          </w:tcPr>
          <w:p>
            <w:pPr>
              <w:spacing w:after="0"/>
              <w:rPr>
                <w:sz w:val="21"/>
                <w:szCs w:val="21"/>
                <w:color w:val="auto"/>
              </w:rPr>
            </w:pPr>
          </w:p>
        </w:tc>
        <w:tc>
          <w:tcPr>
            <w:tcW w:w="2040" w:type="dxa"/>
            <w:vAlign w:val="bottom"/>
            <w:gridSpan w:val="2"/>
            <w:shd w:val="clear" w:color="auto" w:fill="D4EEF4"/>
          </w:tcPr>
          <w:p>
            <w:pPr>
              <w:jc w:val="center"/>
              <w:ind w:left="80"/>
              <w:spacing w:after="0"/>
              <w:rPr>
                <w:sz w:val="20"/>
                <w:szCs w:val="20"/>
                <w:color w:val="auto"/>
              </w:rPr>
            </w:pPr>
            <w:r>
              <w:rPr>
                <w:rFonts w:ascii="Times New Roman" w:cs="Times New Roman" w:eastAsia="Times New Roman" w:hAnsi="Times New Roman"/>
                <w:sz w:val="20"/>
                <w:szCs w:val="20"/>
                <w:color w:val="auto"/>
                <w:w w:val="99"/>
              </w:rPr>
              <w:t>(3,422)</w:t>
            </w:r>
          </w:p>
        </w:tc>
        <w:tc>
          <w:tcPr>
            <w:tcW w:w="200" w:type="dxa"/>
            <w:vAlign w:val="bottom"/>
            <w:shd w:val="clear" w:color="auto" w:fill="D4EEF4"/>
          </w:tcPr>
          <w:p>
            <w:pPr>
              <w:spacing w:after="0"/>
              <w:rPr>
                <w:sz w:val="21"/>
                <w:szCs w:val="21"/>
                <w:color w:val="auto"/>
              </w:rPr>
            </w:pPr>
          </w:p>
        </w:tc>
        <w:tc>
          <w:tcPr>
            <w:tcW w:w="460" w:type="dxa"/>
            <w:vAlign w:val="bottom"/>
            <w:shd w:val="clear" w:color="auto" w:fill="D4EEF4"/>
          </w:tcPr>
          <w:p>
            <w:pPr>
              <w:spacing w:after="0"/>
              <w:rPr>
                <w:sz w:val="21"/>
                <w:szCs w:val="21"/>
                <w:color w:val="auto"/>
              </w:rPr>
            </w:pPr>
          </w:p>
        </w:tc>
        <w:tc>
          <w:tcPr>
            <w:tcW w:w="1380" w:type="dxa"/>
            <w:vAlign w:val="bottom"/>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w w:val="99"/>
              </w:rPr>
              <w:t>(2,306)</w:t>
            </w:r>
          </w:p>
        </w:tc>
      </w:tr>
      <w:tr>
        <w:trPr>
          <w:trHeight w:val="244"/>
        </w:trPr>
        <w:tc>
          <w:tcPr>
            <w:tcW w:w="4160" w:type="dxa"/>
            <w:vAlign w:val="bottom"/>
          </w:tcPr>
          <w:p>
            <w:pPr>
              <w:ind w:left="300"/>
              <w:spacing w:after="0" w:line="243" w:lineRule="exact"/>
              <w:rPr>
                <w:sz w:val="20"/>
                <w:szCs w:val="20"/>
                <w:color w:val="auto"/>
              </w:rPr>
            </w:pPr>
            <w:r>
              <w:rPr>
                <w:rFonts w:ascii="Times New Roman" w:cs="Times New Roman" w:eastAsia="Times New Roman" w:hAnsi="Times New Roman"/>
                <w:sz w:val="20"/>
                <w:szCs w:val="20"/>
                <w:color w:val="auto"/>
              </w:rPr>
              <w:t xml:space="preserve">One-time expenses </w:t>
            </w:r>
            <w:r>
              <w:rPr>
                <w:rFonts w:ascii="Times New Roman" w:cs="Times New Roman" w:eastAsia="Times New Roman" w:hAnsi="Times New Roman"/>
                <w:sz w:val="26"/>
                <w:szCs w:val="26"/>
                <w:color w:val="auto"/>
                <w:vertAlign w:val="superscript"/>
              </w:rPr>
              <w:t>(1)</w:t>
            </w:r>
          </w:p>
        </w:tc>
        <w:tc>
          <w:tcPr>
            <w:tcW w:w="136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auto"/>
                <w:w w:val="99"/>
              </w:rPr>
              <w:t>(1,387)</w:t>
            </w:r>
          </w:p>
        </w:tc>
        <w:tc>
          <w:tcPr>
            <w:tcW w:w="480" w:type="dxa"/>
            <w:vAlign w:val="bottom"/>
          </w:tcPr>
          <w:p>
            <w:pPr>
              <w:spacing w:after="0"/>
              <w:rPr>
                <w:sz w:val="21"/>
                <w:szCs w:val="21"/>
                <w:color w:val="auto"/>
              </w:rPr>
            </w:pPr>
          </w:p>
        </w:tc>
        <w:tc>
          <w:tcPr>
            <w:tcW w:w="20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(2,552)</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rPr>
              <w:t>(763)</w:t>
            </w:r>
          </w:p>
        </w:tc>
      </w:tr>
      <w:tr>
        <w:trPr>
          <w:trHeight w:val="214"/>
        </w:trPr>
        <w:tc>
          <w:tcPr>
            <w:tcW w:w="4160" w:type="dxa"/>
            <w:vAlign w:val="bottom"/>
            <w:tcBorders>
              <w:top w:val="single" w:sz="8" w:color="D4EEF4"/>
            </w:tcBorders>
            <w:shd w:val="clear" w:color="auto" w:fill="D4EEF4"/>
          </w:tcPr>
          <w:p>
            <w:pPr>
              <w:spacing w:after="0" w:line="214" w:lineRule="exact"/>
              <w:rPr>
                <w:sz w:val="20"/>
                <w:szCs w:val="20"/>
                <w:color w:val="auto"/>
              </w:rPr>
            </w:pPr>
            <w:r>
              <w:rPr>
                <w:rFonts w:ascii="Times New Roman" w:cs="Times New Roman" w:eastAsia="Times New Roman" w:hAnsi="Times New Roman"/>
                <w:sz w:val="20"/>
                <w:szCs w:val="20"/>
                <w:color w:val="auto"/>
              </w:rPr>
              <w:t>General, administrative and other, net of one-</w:t>
            </w:r>
          </w:p>
        </w:tc>
        <w:tc>
          <w:tcPr>
            <w:tcW w:w="1360" w:type="dxa"/>
            <w:vAlign w:val="bottom"/>
            <w:tcBorders>
              <w:top w:val="single" w:sz="8" w:color="auto"/>
            </w:tcBorders>
            <w:shd w:val="clear" w:color="auto" w:fill="D4EEF4"/>
          </w:tcPr>
          <w:p>
            <w:pPr>
              <w:spacing w:after="0"/>
              <w:rPr>
                <w:sz w:val="18"/>
                <w:szCs w:val="18"/>
                <w:color w:val="auto"/>
              </w:rPr>
            </w:pPr>
          </w:p>
        </w:tc>
        <w:tc>
          <w:tcPr>
            <w:tcW w:w="480" w:type="dxa"/>
            <w:vAlign w:val="bottom"/>
            <w:tcBorders>
              <w:top w:val="single" w:sz="8" w:color="auto"/>
            </w:tcBorders>
            <w:shd w:val="clear" w:color="auto" w:fill="D4EEF4"/>
          </w:tcPr>
          <w:p>
            <w:pPr>
              <w:spacing w:after="0"/>
              <w:rPr>
                <w:sz w:val="18"/>
                <w:szCs w:val="18"/>
                <w:color w:val="auto"/>
              </w:rPr>
            </w:pPr>
          </w:p>
        </w:tc>
        <w:tc>
          <w:tcPr>
            <w:tcW w:w="200" w:type="dxa"/>
            <w:vAlign w:val="bottom"/>
            <w:tcBorders>
              <w:top w:val="single" w:sz="8" w:color="D4EEF4"/>
            </w:tcBorders>
            <w:shd w:val="clear" w:color="auto" w:fill="D4EEF4"/>
          </w:tcPr>
          <w:p>
            <w:pPr>
              <w:spacing w:after="0"/>
              <w:rPr>
                <w:sz w:val="18"/>
                <w:szCs w:val="18"/>
                <w:color w:val="auto"/>
              </w:rPr>
            </w:pPr>
          </w:p>
        </w:tc>
        <w:tc>
          <w:tcPr>
            <w:tcW w:w="1840" w:type="dxa"/>
            <w:vAlign w:val="bottom"/>
            <w:tcBorders>
              <w:top w:val="single" w:sz="8" w:color="auto"/>
            </w:tcBorders>
            <w:shd w:val="clear" w:color="auto" w:fill="D4EEF4"/>
          </w:tcPr>
          <w:p>
            <w:pPr>
              <w:spacing w:after="0"/>
              <w:rPr>
                <w:sz w:val="18"/>
                <w:szCs w:val="18"/>
                <w:color w:val="auto"/>
              </w:rPr>
            </w:pPr>
          </w:p>
        </w:tc>
        <w:tc>
          <w:tcPr>
            <w:tcW w:w="200" w:type="dxa"/>
            <w:vAlign w:val="bottom"/>
            <w:tcBorders>
              <w:top w:val="single" w:sz="8" w:color="D4EEF4"/>
            </w:tcBorders>
            <w:shd w:val="clear" w:color="auto" w:fill="D4EEF4"/>
          </w:tcPr>
          <w:p>
            <w:pPr>
              <w:spacing w:after="0"/>
              <w:rPr>
                <w:sz w:val="18"/>
                <w:szCs w:val="18"/>
                <w:color w:val="auto"/>
              </w:rPr>
            </w:pPr>
          </w:p>
        </w:tc>
        <w:tc>
          <w:tcPr>
            <w:tcW w:w="460" w:type="dxa"/>
            <w:vAlign w:val="bottom"/>
            <w:tcBorders>
              <w:top w:val="single" w:sz="8" w:color="auto"/>
            </w:tcBorders>
            <w:shd w:val="clear" w:color="auto" w:fill="D4EEF4"/>
          </w:tcPr>
          <w:p>
            <w:pPr>
              <w:spacing w:after="0"/>
              <w:rPr>
                <w:sz w:val="18"/>
                <w:szCs w:val="18"/>
                <w:color w:val="auto"/>
              </w:rPr>
            </w:pPr>
          </w:p>
        </w:tc>
        <w:tc>
          <w:tcPr>
            <w:tcW w:w="1380" w:type="dxa"/>
            <w:vAlign w:val="bottom"/>
            <w:tcBorders>
              <w:top w:val="single" w:sz="8" w:color="auto"/>
            </w:tcBorders>
            <w:shd w:val="clear" w:color="auto" w:fill="D4EEF4"/>
          </w:tcPr>
          <w:p>
            <w:pPr>
              <w:spacing w:after="0"/>
              <w:rPr>
                <w:sz w:val="18"/>
                <w:szCs w:val="18"/>
                <w:color w:val="auto"/>
              </w:rPr>
            </w:pPr>
          </w:p>
        </w:tc>
      </w:tr>
      <w:tr>
        <w:trPr>
          <w:trHeight w:val="249"/>
        </w:trPr>
        <w:tc>
          <w:tcPr>
            <w:tcW w:w="41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time expenses</w:t>
            </w:r>
          </w:p>
        </w:tc>
        <w:tc>
          <w:tcPr>
            <w:tcW w:w="1360" w:type="dxa"/>
            <w:vAlign w:val="bottom"/>
            <w:tcBorders>
              <w:bottom w:val="single" w:sz="8" w:color="auto"/>
            </w:tcBorders>
            <w:shd w:val="clear" w:color="auto" w:fill="D4EEF4"/>
          </w:tcPr>
          <w:p>
            <w:pPr>
              <w:jc w:val="center"/>
              <w:ind w:left="360"/>
              <w:spacing w:after="0"/>
              <w:rPr>
                <w:sz w:val="20"/>
                <w:szCs w:val="20"/>
                <w:color w:val="auto"/>
              </w:rPr>
            </w:pPr>
            <w:r>
              <w:rPr>
                <w:rFonts w:ascii="Times New Roman" w:cs="Times New Roman" w:eastAsia="Times New Roman" w:hAnsi="Times New Roman"/>
                <w:sz w:val="20"/>
                <w:szCs w:val="20"/>
                <w:color w:val="auto"/>
              </w:rPr>
              <w:t>$21,354</w:t>
            </w:r>
          </w:p>
        </w:tc>
        <w:tc>
          <w:tcPr>
            <w:tcW w:w="480" w:type="dxa"/>
            <w:vAlign w:val="bottom"/>
            <w:tcBorders>
              <w:bottom w:val="single" w:sz="8" w:color="auto"/>
            </w:tcBorders>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1840" w:type="dxa"/>
            <w:vAlign w:val="bottom"/>
            <w:tcBorders>
              <w:bottom w:val="single" w:sz="8" w:color="auto"/>
            </w:tcBorders>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rPr>
              <w:t>$16,610</w:t>
            </w:r>
          </w:p>
        </w:tc>
        <w:tc>
          <w:tcPr>
            <w:tcW w:w="200" w:type="dxa"/>
            <w:vAlign w:val="bottom"/>
            <w:shd w:val="clear" w:color="auto" w:fill="D4EEF4"/>
          </w:tcPr>
          <w:p>
            <w:pPr>
              <w:spacing w:after="0"/>
              <w:rPr>
                <w:sz w:val="21"/>
                <w:szCs w:val="21"/>
                <w:color w:val="auto"/>
              </w:rPr>
            </w:pPr>
          </w:p>
        </w:tc>
        <w:tc>
          <w:tcPr>
            <w:tcW w:w="460" w:type="dxa"/>
            <w:vAlign w:val="bottom"/>
            <w:tcBorders>
              <w:bottom w:val="single" w:sz="8" w:color="auto"/>
            </w:tcBorders>
            <w:shd w:val="clear" w:color="auto" w:fill="D4EEF4"/>
          </w:tcPr>
          <w:p>
            <w:pPr>
              <w:spacing w:after="0"/>
              <w:rPr>
                <w:sz w:val="21"/>
                <w:szCs w:val="21"/>
                <w:color w:val="auto"/>
              </w:rPr>
            </w:pPr>
          </w:p>
        </w:tc>
        <w:tc>
          <w:tcPr>
            <w:tcW w:w="1380" w:type="dxa"/>
            <w:vAlign w:val="bottom"/>
            <w:tcBorders>
              <w:bottom w:val="single" w:sz="8" w:color="auto"/>
            </w:tcBorders>
            <w:shd w:val="clear" w:color="auto" w:fill="D4EEF4"/>
          </w:tcPr>
          <w:p>
            <w:pPr>
              <w:jc w:val="center"/>
              <w:ind w:right="380"/>
              <w:spacing w:after="0"/>
              <w:rPr>
                <w:sz w:val="20"/>
                <w:szCs w:val="20"/>
                <w:color w:val="auto"/>
              </w:rPr>
            </w:pPr>
            <w:r>
              <w:rPr>
                <w:rFonts w:ascii="Times New Roman" w:cs="Times New Roman" w:eastAsia="Times New Roman" w:hAnsi="Times New Roman"/>
                <w:sz w:val="20"/>
                <w:szCs w:val="20"/>
                <w:color w:val="auto"/>
              </w:rPr>
              <w:t>$15,453</w:t>
            </w:r>
          </w:p>
        </w:tc>
      </w:tr>
      <w:tr>
        <w:trPr>
          <w:trHeight w:val="20"/>
        </w:trPr>
        <w:tc>
          <w:tcPr>
            <w:tcW w:w="4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500" w:right="180" w:hanging="10"/>
        <w:spacing w:after="0" w:line="252" w:lineRule="auto"/>
        <w:tabs>
          <w:tab w:leader="none" w:pos="78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Segment Information</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Interest expense is reported on the Consolidated Statements of Operations as interest expense, net. Interest income is reported on the Consolidated Statements of Operations within other (losses) and was $1.3 million for the year ended December 31, 2024. Interest income was insignificant for the years ended December 31, 2023 and December 31, 2022.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Subsequent Events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 Board of Directors of the Company has declared a quarterly cash dividend of $0.035 per share of Class A and Class B common stock, payable on March 20, 2025, to the holders of record as of the close of business on February 28, 2025.</w:t>
      </w:r>
    </w:p>
    <w:p>
      <w:pPr>
        <w:spacing w:after="0" w:line="169"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On February 11, 2025, the Board of Directors authorized an additional $40.0 million of outstanding Class A and B shares of the Company's stock under the Stock Repurchase Program.</w:t>
      </w:r>
    </w:p>
    <w:p>
      <w:pPr>
        <w:spacing w:after="0" w:line="16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On February 14, 2025, the Company granted to employees 2,271,044 options under the 2021 Incentive Plan. The options generally vest 25% a year starting with the second anniversary of the date of grant and expire ten years from the grant date.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696" w:right="1080" w:bottom="175" w:gutter="0" w:footer="0" w:header="0"/>
          <w:type w:val="continuous"/>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(dollar amounts in tables stated in thousands,except per share amounts)</w:t>
      </w:r>
    </w:p>
    <w:p>
      <w:pPr>
        <w:spacing w:after="0" w:line="276"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On February 14, 2025, the Company granted to employees 828,116 restricted stock units under the 2021 Incentive Plan. The RSUs generally vest on the first anniversary of the date of grant with a certain employee's RSU vest 25% a year starting with the first anniversary of the date of grant.</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accordance with ASC 855, Subsequent Events, the Company evaluated all material events or transactions that occurred after December 31, 2024, the Consolidated Balance Sheets date, through the date the Consolidated Financial Statements were issued, and determined there have been no additional events or transactions that would materially impact the Consolidated Financial Statements.</w:t>
      </w:r>
    </w:p>
    <w:p>
      <w:pPr>
        <w:sectPr>
          <w:pgSz w:w="12240" w:h="15840" w:orient="portrait"/>
          <w:cols w:equalWidth="0" w:num="1">
            <w:col w:w="10040"/>
          </w:cols>
          <w:pgMar w:left="1080" w:top="69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40"/>
          </w:cols>
          <w:pgMar w:left="1080" w:top="696" w:right="1120" w:bottom="175"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0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06"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internal controls from our independent registered public accounting firm due to our status as an emerging growth company under the JOBS 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Controls over Financial Reporting</w:t>
      </w:r>
    </w:p>
    <w:p>
      <w:pPr>
        <w:spacing w:after="0" w:line="12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December 31, 2024 that have materially affected, or are reasonably likely to materially affect, our internal control over financial reporting.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80" w:top="1056" w:right="1080" w:bottom="175" w:gutter="0" w:footer="0" w:header="0"/>
          <w:type w:val="continuous"/>
        </w:sectPr>
      </w:pPr>
    </w:p>
    <w:bookmarkStart w:id="122" w:name="page123"/>
    <w:bookmarkEnd w:id="122"/>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regarding the beneficial ownership of our common stock required by this item is incorporated by reference to the definitive Proxy Statement for our 2025 Annual Meeting of Stockholders, which will be filed with the Securities and Exchange Commission no later than 120 days after December 31,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sectPr>
          <w:pgSz w:w="12240" w:h="15840" w:orient="portrait"/>
          <w:cols w:equalWidth="0" w:num="1">
            <w:col w:w="9820"/>
          </w:cols>
          <w:pgMar w:left="1080" w:top="1056"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820"/>
          </w:cols>
          <w:pgMar w:left="1080" w:top="1056" w:right="1340" w:bottom="175"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Form 10-K:</w:t>
      </w:r>
    </w:p>
    <w:p>
      <w:pPr>
        <w:spacing w:after="0" w:line="230" w:lineRule="exact"/>
        <w:rPr>
          <w:sz w:val="20"/>
          <w:szCs w:val="20"/>
          <w:color w:val="auto"/>
        </w:rPr>
      </w:pPr>
    </w:p>
    <w:p>
      <w:pPr>
        <w:ind w:left="200" w:hanging="200"/>
        <w:spacing w:after="0"/>
        <w:tabs>
          <w:tab w:leader="none" w:pos="2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statements. See Index to Consolidated Financial Statements in Item 8 of this Form 10-K.</w:t>
      </w:r>
    </w:p>
    <w:p>
      <w:pPr>
        <w:spacing w:after="0" w:line="229" w:lineRule="exact"/>
        <w:rPr>
          <w:rFonts w:ascii="Times New Roman" w:cs="Times New Roman" w:eastAsia="Times New Roman" w:hAnsi="Times New Roman"/>
          <w:sz w:val="20"/>
          <w:szCs w:val="20"/>
          <w:color w:val="auto"/>
        </w:rPr>
      </w:pPr>
    </w:p>
    <w:p>
      <w:pPr>
        <w:spacing w:after="0" w:line="277" w:lineRule="auto"/>
        <w:tabs>
          <w:tab w:leader="none" w:pos="20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Financial statement schedules are omitted as they are either not required or the information is otherwise included in the consolidated financial statements.</w:t>
      </w:r>
    </w:p>
    <w:p>
      <w:pPr>
        <w:spacing w:after="0" w:line="159" w:lineRule="exact"/>
        <w:rPr>
          <w:rFonts w:ascii="Times New Roman" w:cs="Times New Roman" w:eastAsia="Times New Roman" w:hAnsi="Times New Roman"/>
          <w:sz w:val="20"/>
          <w:szCs w:val="20"/>
          <w:color w:val="auto"/>
        </w:rPr>
      </w:pPr>
    </w:p>
    <w:p>
      <w:pPr>
        <w:spacing w:after="0" w:line="277" w:lineRule="auto"/>
        <w:tabs>
          <w:tab w:leader="none" w:pos="21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of Exhibits are filed as part of, or incorporated by reference into,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7"/>
        </w:trPr>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920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0D248E"/>
              </w:rPr>
              <w:t>Amended and Restated Certificate of Incorporation of P10, Inc. (incorporated by reference to Exhibit 3.1 to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Borders>
              <w:top w:val="single" w:sz="8" w:color="0D248E"/>
            </w:tcBorders>
            <w:gridSpan w:val="17"/>
          </w:tcPr>
          <w:p>
            <w:pPr>
              <w:spacing w:after="0" w:line="210" w:lineRule="exact"/>
              <w:rPr>
                <w:sz w:val="20"/>
                <w:szCs w:val="20"/>
                <w:color w:val="auto"/>
              </w:rPr>
            </w:pPr>
            <w:r>
              <w:rPr>
                <w:rFonts w:ascii="Times New Roman" w:cs="Times New Roman" w:eastAsia="Times New Roman" w:hAnsi="Times New Roman"/>
                <w:sz w:val="20"/>
                <w:szCs w:val="20"/>
                <w:color w:val="0D248E"/>
              </w:rPr>
              <w:t>Company’s Current Report on Form 8-K filed on October 26,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280" w:type="dxa"/>
            <w:vAlign w:val="bottom"/>
            <w:shd w:val="clear" w:color="auto" w:fill="0D248E"/>
          </w:tcPr>
          <w:p>
            <w:pPr>
              <w:spacing w:after="0" w:line="20" w:lineRule="exact"/>
              <w:rPr>
                <w:sz w:val="1"/>
                <w:szCs w:val="1"/>
                <w:color w:val="auto"/>
              </w:rPr>
            </w:pPr>
          </w:p>
        </w:tc>
        <w:tc>
          <w:tcPr>
            <w:tcW w:w="3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340" w:type="dxa"/>
            <w:vAlign w:val="bottom"/>
            <w:shd w:val="clear" w:color="auto" w:fill="0D248E"/>
          </w:tcPr>
          <w:p>
            <w:pPr>
              <w:spacing w:after="0" w:line="20" w:lineRule="exact"/>
              <w:rPr>
                <w:sz w:val="1"/>
                <w:szCs w:val="1"/>
                <w:color w:val="auto"/>
              </w:rPr>
            </w:pPr>
          </w:p>
        </w:tc>
        <w:tc>
          <w:tcPr>
            <w:tcW w:w="260" w:type="dxa"/>
            <w:vAlign w:val="bottom"/>
            <w:shd w:val="clear" w:color="auto" w:fill="0D248E"/>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48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Amended and Restated Bylaws of P10, Inc. (incorporated by reference to Exhibit 3.2 to the Company’s Current</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Borders>
              <w:top w:val="single" w:sz="8" w:color="0D248E"/>
              <w:bottom w:val="single" w:sz="8" w:color="0D248E"/>
            </w:tcBorders>
            <w:gridSpan w:val="5"/>
          </w:tcPr>
          <w:p>
            <w:pPr>
              <w:spacing w:after="0" w:line="210" w:lineRule="exact"/>
              <w:rPr>
                <w:sz w:val="20"/>
                <w:szCs w:val="20"/>
                <w:color w:val="auto"/>
              </w:rPr>
            </w:pPr>
            <w:r>
              <w:rPr>
                <w:rFonts w:ascii="Times New Roman" w:cs="Times New Roman" w:eastAsia="Times New Roman" w:hAnsi="Times New Roman"/>
                <w:sz w:val="20"/>
                <w:szCs w:val="20"/>
                <w:color w:val="0D248E"/>
                <w:w w:val="99"/>
              </w:rPr>
              <w:t>Report on Form 8-K filed on October 26, 2021).</w:t>
            </w:r>
          </w:p>
        </w:tc>
        <w:tc>
          <w:tcPr>
            <w:tcW w:w="5060" w:type="dxa"/>
            <w:vAlign w:val="bottom"/>
            <w:tcBorders>
              <w:top w:val="single" w:sz="8" w:color="0D248E"/>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2000" w:type="dxa"/>
            <w:vAlign w:val="bottom"/>
            <w:tcBorders>
              <w:bottom w:val="single" w:sz="8" w:color="0D248E"/>
            </w:tcBorders>
            <w:gridSpan w:val="2"/>
          </w:tcPr>
          <w:p>
            <w:pPr>
              <w:spacing w:after="0"/>
              <w:rPr>
                <w:sz w:val="20"/>
                <w:szCs w:val="20"/>
                <w:color w:val="auto"/>
              </w:rPr>
            </w:pPr>
            <w:r>
              <w:rPr>
                <w:rFonts w:ascii="Times New Roman" w:cs="Times New Roman" w:eastAsia="Times New Roman" w:hAnsi="Times New Roman"/>
                <w:sz w:val="20"/>
                <w:szCs w:val="20"/>
                <w:color w:val="0D248E"/>
                <w:w w:val="99"/>
              </w:rPr>
              <w:t>Description of Securities</w:t>
            </w:r>
          </w:p>
        </w:tc>
        <w:tc>
          <w:tcPr>
            <w:tcW w:w="7200" w:type="dxa"/>
            <w:vAlign w:val="bottom"/>
            <w:gridSpan w:val="25"/>
          </w:tcPr>
          <w:p>
            <w:pPr>
              <w:spacing w:after="0"/>
              <w:rPr>
                <w:sz w:val="24"/>
                <w:szCs w:val="24"/>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Controlled Company Agreement, dated as of October 20, 2021, by and among P10, Inc. and the parties listed on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0" w:type="dxa"/>
            <w:vAlign w:val="bottom"/>
            <w:tcBorders>
              <w:top w:val="single" w:sz="8" w:color="0D248E"/>
              <w:bottom w:val="single" w:sz="8" w:color="0D248E"/>
            </w:tcBorders>
            <w:gridSpan w:val="21"/>
          </w:tcPr>
          <w:p>
            <w:pPr>
              <w:spacing w:after="0" w:line="210" w:lineRule="exact"/>
              <w:rPr>
                <w:sz w:val="20"/>
                <w:szCs w:val="20"/>
                <w:color w:val="auto"/>
              </w:rPr>
            </w:pPr>
            <w:r>
              <w:rPr>
                <w:rFonts w:ascii="Times New Roman" w:cs="Times New Roman" w:eastAsia="Times New Roman" w:hAnsi="Times New Roman"/>
                <w:sz w:val="20"/>
                <w:szCs w:val="20"/>
                <w:color w:val="0D248E"/>
                <w:w w:val="99"/>
              </w:rPr>
              <w:t>the signature pages thereto (incorporated by reference to Exhibit 10.1 to the Company’s Current Report on Form</w:t>
            </w:r>
          </w:p>
        </w:tc>
        <w:tc>
          <w:tcPr>
            <w:tcW w:w="20" w:type="dxa"/>
            <w:vAlign w:val="bottom"/>
            <w:tcBorders>
              <w:bottom w:val="single" w:sz="8" w:color="0D248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2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0D248E"/>
              </w:rPr>
              <w:t>8-K filed on October 26, 2021).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660" w:type="dxa"/>
            <w:vAlign w:val="bottom"/>
            <w:gridSpan w:val="2"/>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Amendment No. 1 to Controlled Company Agreement, dated as of May 16, 2023 (incorporated by reference to</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Borders>
              <w:top w:val="single" w:sz="8" w:color="0D248E"/>
            </w:tcBorders>
            <w:gridSpan w:val="16"/>
          </w:tcPr>
          <w:p>
            <w:pPr>
              <w:spacing w:after="0" w:line="210" w:lineRule="exact"/>
              <w:rPr>
                <w:sz w:val="20"/>
                <w:szCs w:val="20"/>
                <w:color w:val="auto"/>
              </w:rPr>
            </w:pPr>
            <w:r>
              <w:rPr>
                <w:rFonts w:ascii="Times New Roman" w:cs="Times New Roman" w:eastAsia="Times New Roman" w:hAnsi="Times New Roman"/>
                <w:sz w:val="20"/>
                <w:szCs w:val="20"/>
                <w:color w:val="0D248E"/>
              </w:rPr>
              <w:t>Exhibit 10.5 to the Company's Quarterly Report on Form 10-Q filed on August 14, 2023).</w:t>
            </w: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660" w:type="dxa"/>
            <w:vAlign w:val="bottom"/>
            <w:gridSpan w:val="2"/>
            <w:shd w:val="clear" w:color="auto" w:fill="0D248E"/>
          </w:tcPr>
          <w:p>
            <w:pPr>
              <w:spacing w:after="0" w:line="20" w:lineRule="exact"/>
              <w:rPr>
                <w:sz w:val="1"/>
                <w:szCs w:val="1"/>
                <w:color w:val="auto"/>
              </w:rPr>
            </w:pPr>
          </w:p>
        </w:tc>
        <w:tc>
          <w:tcPr>
            <w:tcW w:w="1760" w:type="dxa"/>
            <w:vAlign w:val="bottom"/>
            <w:gridSpan w:val="3"/>
            <w:shd w:val="clear" w:color="auto" w:fill="0D248E"/>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480" w:type="dxa"/>
            <w:vAlign w:val="bottom"/>
            <w:shd w:val="clear" w:color="auto" w:fill="0D248E"/>
          </w:tcPr>
          <w:p>
            <w:pPr>
              <w:spacing w:after="0" w:line="20" w:lineRule="exact"/>
              <w:rPr>
                <w:sz w:val="1"/>
                <w:szCs w:val="1"/>
                <w:color w:val="auto"/>
              </w:rPr>
            </w:pPr>
          </w:p>
        </w:tc>
        <w:tc>
          <w:tcPr>
            <w:tcW w:w="1260" w:type="dxa"/>
            <w:vAlign w:val="bottom"/>
            <w:gridSpan w:val="2"/>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560" w:type="dxa"/>
            <w:vAlign w:val="bottom"/>
            <w:shd w:val="clear" w:color="auto" w:fill="0D248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Amendment No. 2 to Controlled Company Agreement, dated as of December 19, 2024, by and among P10, Inc.</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top w:val="single" w:sz="8" w:color="0D248E"/>
            </w:tcBorders>
            <w:gridSpan w:val="20"/>
          </w:tcPr>
          <w:p>
            <w:pPr>
              <w:spacing w:after="0" w:line="210" w:lineRule="exact"/>
              <w:rPr>
                <w:sz w:val="20"/>
                <w:szCs w:val="20"/>
                <w:color w:val="auto"/>
              </w:rPr>
            </w:pPr>
            <w:r>
              <w:rPr>
                <w:rFonts w:ascii="Times New Roman" w:cs="Times New Roman" w:eastAsia="Times New Roman" w:hAnsi="Times New Roman"/>
                <w:sz w:val="20"/>
                <w:szCs w:val="20"/>
                <w:color w:val="0D248E"/>
              </w:rPr>
              <w:t>and the parties listed on the signature pages thereto (incorporated by reference to Exhibit 10.1 to the Company's</w:t>
            </w:r>
          </w:p>
        </w:tc>
        <w:tc>
          <w:tcPr>
            <w:tcW w:w="1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Borders>
              <w:top w:val="single" w:sz="8" w:color="0D248E"/>
              <w:bottom w:val="single" w:sz="8" w:color="0D248E"/>
            </w:tcBorders>
            <w:gridSpan w:val="7"/>
          </w:tcPr>
          <w:p>
            <w:pPr>
              <w:spacing w:after="0" w:line="210" w:lineRule="exact"/>
              <w:rPr>
                <w:sz w:val="20"/>
                <w:szCs w:val="20"/>
                <w:color w:val="auto"/>
              </w:rPr>
            </w:pPr>
            <w:r>
              <w:rPr>
                <w:rFonts w:ascii="Times New Roman" w:cs="Times New Roman" w:eastAsia="Times New Roman" w:hAnsi="Times New Roman"/>
                <w:sz w:val="20"/>
                <w:szCs w:val="20"/>
                <w:color w:val="0D248E"/>
                <w:w w:val="99"/>
              </w:rPr>
              <w:t>Current Report on Form 8-K filed on December 26, 2024).</w:t>
            </w:r>
          </w:p>
        </w:tc>
        <w:tc>
          <w:tcPr>
            <w:tcW w:w="4240" w:type="dxa"/>
            <w:vAlign w:val="bottom"/>
            <w:tcBorders>
              <w:top w:val="single" w:sz="8" w:color="0D248E"/>
            </w:tcBorders>
            <w:gridSpan w:val="12"/>
          </w:tcPr>
          <w:p>
            <w:pPr>
              <w:spacing w:after="0"/>
              <w:rPr>
                <w:sz w:val="18"/>
                <w:szCs w:val="18"/>
                <w:color w:val="auto"/>
              </w:rPr>
            </w:pPr>
          </w:p>
        </w:tc>
        <w:tc>
          <w:tcPr>
            <w:tcW w:w="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Stockholders Agreement, dated as of October 20, 2021, by and among the Company and each of the other persons</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tcBorders>
              <w:top w:val="single" w:sz="8" w:color="0D248E"/>
            </w:tcBorders>
            <w:gridSpan w:val="24"/>
          </w:tcPr>
          <w:p>
            <w:pPr>
              <w:spacing w:after="0" w:line="210" w:lineRule="exact"/>
              <w:rPr>
                <w:sz w:val="20"/>
                <w:szCs w:val="20"/>
                <w:color w:val="auto"/>
              </w:rPr>
            </w:pPr>
            <w:r>
              <w:rPr>
                <w:rFonts w:ascii="Times New Roman" w:cs="Times New Roman" w:eastAsia="Times New Roman" w:hAnsi="Times New Roman"/>
                <w:sz w:val="20"/>
                <w:szCs w:val="20"/>
                <w:color w:val="0D248E"/>
              </w:rPr>
              <w:t>and entities party thereto (incorporated by reference to Exhibit 10.2 to the Company’s Current Report on Form 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0D248E"/>
              <w:bottom w:val="single" w:sz="8" w:color="0D248E"/>
            </w:tcBorders>
            <w:gridSpan w:val="3"/>
          </w:tcPr>
          <w:p>
            <w:pPr>
              <w:spacing w:after="0" w:line="210" w:lineRule="exact"/>
              <w:rPr>
                <w:sz w:val="20"/>
                <w:szCs w:val="20"/>
                <w:color w:val="auto"/>
              </w:rPr>
            </w:pPr>
            <w:r>
              <w:rPr>
                <w:rFonts w:ascii="Times New Roman" w:cs="Times New Roman" w:eastAsia="Times New Roman" w:hAnsi="Times New Roman"/>
                <w:sz w:val="20"/>
                <w:szCs w:val="20"/>
                <w:color w:val="0D248E"/>
                <w:w w:val="99"/>
              </w:rPr>
              <w:t>K filed on October 26, 2021).</w:t>
            </w:r>
          </w:p>
        </w:tc>
        <w:tc>
          <w:tcPr>
            <w:tcW w:w="6700" w:type="dxa"/>
            <w:vAlign w:val="bottom"/>
            <w:tcBorders>
              <w:top w:val="single" w:sz="8" w:color="0D248E"/>
            </w:tcBorders>
            <w:gridSpan w:val="20"/>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Form of Indemnification Agreement to be entered into between the Company and certain of its directors and</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2420" w:type="dxa"/>
            <w:vAlign w:val="bottom"/>
            <w:gridSpan w:val="5"/>
            <w:shd w:val="clear" w:color="auto" w:fill="0D248E"/>
          </w:tcPr>
          <w:p>
            <w:pPr>
              <w:spacing w:after="0" w:line="20" w:lineRule="exact"/>
              <w:rPr>
                <w:sz w:val="1"/>
                <w:szCs w:val="1"/>
                <w:color w:val="auto"/>
              </w:rPr>
            </w:pPr>
          </w:p>
        </w:tc>
        <w:tc>
          <w:tcPr>
            <w:tcW w:w="1060" w:type="dxa"/>
            <w:vAlign w:val="bottom"/>
            <w:gridSpan w:val="2"/>
            <w:shd w:val="clear" w:color="auto" w:fill="0D248E"/>
          </w:tcPr>
          <w:p>
            <w:pPr>
              <w:spacing w:after="0" w:line="20" w:lineRule="exact"/>
              <w:rPr>
                <w:sz w:val="1"/>
                <w:szCs w:val="1"/>
                <w:color w:val="auto"/>
              </w:rPr>
            </w:pPr>
          </w:p>
        </w:tc>
        <w:tc>
          <w:tcPr>
            <w:tcW w:w="1260" w:type="dxa"/>
            <w:vAlign w:val="bottom"/>
            <w:gridSpan w:val="2"/>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920" w:type="dxa"/>
            <w:vAlign w:val="bottom"/>
            <w:tcBorders>
              <w:right w:val="single" w:sz="8" w:color="0D248E"/>
            </w:tcBorders>
            <w:gridSpan w:val="2"/>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0" w:type="dxa"/>
            <w:vAlign w:val="bottom"/>
            <w:gridSpan w:val="27"/>
          </w:tcPr>
          <w:p>
            <w:pPr>
              <w:spacing w:after="0" w:line="210" w:lineRule="exact"/>
              <w:rPr>
                <w:sz w:val="20"/>
                <w:szCs w:val="20"/>
                <w:color w:val="auto"/>
              </w:rPr>
            </w:pPr>
            <w:r>
              <w:rPr>
                <w:rFonts w:ascii="Times New Roman" w:cs="Times New Roman" w:eastAsia="Times New Roman" w:hAnsi="Times New Roman"/>
                <w:sz w:val="20"/>
                <w:szCs w:val="20"/>
                <w:color w:val="0D248E"/>
              </w:rPr>
              <w:t>officers (incorporated by reference to Exhibit 10.3 to the Company’s Registration Statement on Form S-1, filed on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60" w:type="dxa"/>
            <w:vAlign w:val="bottom"/>
            <w:tcBorders>
              <w:top w:val="single" w:sz="8" w:color="0D248E"/>
            </w:tcBorders>
            <w:gridSpan w:val="25"/>
          </w:tcPr>
          <w:p>
            <w:pPr>
              <w:spacing w:after="0" w:line="210" w:lineRule="exact"/>
              <w:rPr>
                <w:sz w:val="20"/>
                <w:szCs w:val="20"/>
                <w:color w:val="auto"/>
              </w:rPr>
            </w:pPr>
            <w:r>
              <w:rPr>
                <w:rFonts w:ascii="Times New Roman" w:cs="Times New Roman" w:eastAsia="Times New Roman" w:hAnsi="Times New Roman"/>
                <w:sz w:val="20"/>
                <w:szCs w:val="20"/>
                <w:color w:val="0D248E"/>
              </w:rPr>
              <w:t>September 27,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P10, Inc. 2021 Equity Incentive Plan (incorporated by reference to Exhibit 10.1 to the Company’s Registration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top w:val="single" w:sz="8" w:color="0D248E"/>
            </w:tcBorders>
            <w:gridSpan w:val="15"/>
          </w:tcPr>
          <w:p>
            <w:pPr>
              <w:spacing w:after="0" w:line="210" w:lineRule="exact"/>
              <w:rPr>
                <w:sz w:val="20"/>
                <w:szCs w:val="20"/>
                <w:color w:val="auto"/>
              </w:rPr>
            </w:pPr>
            <w:r>
              <w:rPr>
                <w:rFonts w:ascii="Times New Roman" w:cs="Times New Roman" w:eastAsia="Times New Roman" w:hAnsi="Times New Roman"/>
                <w:sz w:val="20"/>
                <w:szCs w:val="20"/>
                <w:color w:val="0D248E"/>
              </w:rPr>
              <w:t>Statement on Form S-1, filed on October 18, 2021).</w:t>
            </w:r>
          </w:p>
        </w:tc>
        <w:tc>
          <w:tcPr>
            <w:tcW w:w="300" w:type="dxa"/>
            <w:vAlign w:val="bottom"/>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6"/>
            <w:shd w:val="clear" w:color="auto" w:fill="0D248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Amendment No. 1 to P10, Inc. 2021 Stock Incentive Plan (incorporated by reference to Exhibit 10.1 to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Borders>
              <w:top w:val="single" w:sz="8" w:color="0D248E"/>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Company's Current Report on Form 8-K filed on June 17, 2024).</w:t>
            </w:r>
          </w:p>
        </w:tc>
        <w:tc>
          <w:tcPr>
            <w:tcW w:w="3360" w:type="dxa"/>
            <w:vAlign w:val="bottom"/>
            <w:tcBorders>
              <w:top w:val="single" w:sz="8" w:color="0D248E"/>
            </w:tcBorders>
            <w:gridSpan w:val="5"/>
          </w:tcPr>
          <w:p>
            <w:pPr>
              <w:spacing w:after="0"/>
              <w:rPr>
                <w:sz w:val="18"/>
                <w:szCs w:val="18"/>
                <w:color w:val="auto"/>
              </w:rPr>
            </w:pPr>
          </w:p>
        </w:tc>
        <w:tc>
          <w:tcPr>
            <w:tcW w:w="620" w:type="dxa"/>
            <w:vAlign w:val="bottom"/>
            <w:gridSpan w:val="13"/>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4"/>
                <w:szCs w:val="24"/>
                <w:color w:val="auto"/>
              </w:rPr>
            </w:pPr>
          </w:p>
        </w:tc>
        <w:tc>
          <w:tcPr>
            <w:tcW w:w="6640" w:type="dxa"/>
            <w:vAlign w:val="bottom"/>
            <w:tcBorders>
              <w:bottom w:val="single" w:sz="8" w:color="0D248E"/>
            </w:tcBorders>
            <w:gridSpan w:val="11"/>
          </w:tcPr>
          <w:p>
            <w:pPr>
              <w:spacing w:after="0"/>
              <w:rPr>
                <w:sz w:val="20"/>
                <w:szCs w:val="20"/>
                <w:color w:val="auto"/>
              </w:rPr>
            </w:pPr>
            <w:r>
              <w:rPr>
                <w:rFonts w:ascii="Times New Roman" w:cs="Times New Roman" w:eastAsia="Times New Roman" w:hAnsi="Times New Roman"/>
                <w:sz w:val="20"/>
                <w:szCs w:val="20"/>
                <w:color w:val="0D248E"/>
                <w:w w:val="99"/>
              </w:rPr>
              <w:t>Form of Restricted Stock Award Agreement under the 2021 Equity Incentive Plan.</w:t>
            </w:r>
          </w:p>
        </w:tc>
        <w:tc>
          <w:tcPr>
            <w:tcW w:w="2560" w:type="dxa"/>
            <w:vAlign w:val="bottom"/>
            <w:gridSpan w:val="16"/>
          </w:tcPr>
          <w:p>
            <w:pPr>
              <w:spacing w:after="0"/>
              <w:rPr>
                <w:sz w:val="24"/>
                <w:szCs w:val="24"/>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Form of Stock Option Agreement under the 2021 Incentive Plan.</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shd w:val="clear" w:color="auto" w:fill="0D248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 w:type="dxa"/>
            <w:vAlign w:val="bottom"/>
          </w:tcPr>
          <w:p>
            <w:pPr>
              <w:spacing w:after="0"/>
              <w:rPr>
                <w:sz w:val="24"/>
                <w:szCs w:val="24"/>
                <w:color w:val="auto"/>
              </w:rPr>
            </w:pPr>
          </w:p>
        </w:tc>
        <w:tc>
          <w:tcPr>
            <w:tcW w:w="6460" w:type="dxa"/>
            <w:vAlign w:val="bottom"/>
            <w:tcBorders>
              <w:bottom w:val="single" w:sz="8" w:color="0D248E"/>
            </w:tcBorders>
            <w:gridSpan w:val="10"/>
          </w:tcPr>
          <w:p>
            <w:pPr>
              <w:spacing w:after="0"/>
              <w:rPr>
                <w:sz w:val="20"/>
                <w:szCs w:val="20"/>
                <w:color w:val="auto"/>
              </w:rPr>
            </w:pPr>
            <w:r>
              <w:rPr>
                <w:rFonts w:ascii="Times New Roman" w:cs="Times New Roman" w:eastAsia="Times New Roman" w:hAnsi="Times New Roman"/>
                <w:sz w:val="20"/>
                <w:szCs w:val="20"/>
                <w:color w:val="0D248E"/>
                <w:w w:val="99"/>
              </w:rPr>
              <w:t>Form of Restricted Stock Unit Agreement under the 2021 Equity Incentive Plan.</w:t>
            </w:r>
          </w:p>
        </w:tc>
        <w:tc>
          <w:tcPr>
            <w:tcW w:w="2740" w:type="dxa"/>
            <w:vAlign w:val="bottom"/>
            <w:gridSpan w:val="17"/>
          </w:tcPr>
          <w:p>
            <w:pPr>
              <w:spacing w:after="0"/>
              <w:rPr>
                <w:sz w:val="24"/>
                <w:szCs w:val="24"/>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 w:type="dxa"/>
            <w:vAlign w:val="bottom"/>
          </w:tcPr>
          <w:p>
            <w:pPr>
              <w:spacing w:after="0"/>
              <w:rPr>
                <w:sz w:val="24"/>
                <w:szCs w:val="24"/>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20"/>
                <w:szCs w:val="20"/>
                <w:color w:val="0D248E"/>
              </w:rPr>
              <w:t>Letter Agreement re: Sale and Purchase of Five Points Capital, Inc. (Management Fees - Seller), dated January 16,</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80" w:type="dxa"/>
            <w:vAlign w:val="bottom"/>
            <w:tcBorders>
              <w:top w:val="single" w:sz="8" w:color="0D248E"/>
            </w:tcBorders>
            <w:gridSpan w:val="26"/>
          </w:tcPr>
          <w:p>
            <w:pPr>
              <w:spacing w:after="0" w:line="210" w:lineRule="exact"/>
              <w:rPr>
                <w:sz w:val="20"/>
                <w:szCs w:val="20"/>
                <w:color w:val="auto"/>
              </w:rPr>
            </w:pPr>
            <w:r>
              <w:rPr>
                <w:rFonts w:ascii="Times New Roman" w:cs="Times New Roman" w:eastAsia="Times New Roman" w:hAnsi="Times New Roman"/>
                <w:sz w:val="20"/>
                <w:szCs w:val="20"/>
                <w:color w:val="0D248E"/>
              </w:rPr>
              <w:t>2020, by and among P10 Intermediate Holdings LLC, Five Points Capital, Inc., David G. Townsend, in his</w:t>
            </w: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280" w:type="dxa"/>
            <w:vAlign w:val="bottom"/>
            <w:shd w:val="clear" w:color="auto" w:fill="0D248E"/>
          </w:tcPr>
          <w:p>
            <w:pPr>
              <w:spacing w:after="0" w:line="20" w:lineRule="exact"/>
              <w:rPr>
                <w:sz w:val="1"/>
                <w:szCs w:val="1"/>
                <w:color w:val="auto"/>
              </w:rPr>
            </w:pPr>
          </w:p>
        </w:tc>
        <w:tc>
          <w:tcPr>
            <w:tcW w:w="3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340" w:type="dxa"/>
            <w:vAlign w:val="bottom"/>
            <w:shd w:val="clear" w:color="auto" w:fill="0D248E"/>
          </w:tcPr>
          <w:p>
            <w:pPr>
              <w:spacing w:after="0" w:line="20" w:lineRule="exact"/>
              <w:rPr>
                <w:sz w:val="1"/>
                <w:szCs w:val="1"/>
                <w:color w:val="auto"/>
              </w:rPr>
            </w:pPr>
          </w:p>
        </w:tc>
        <w:tc>
          <w:tcPr>
            <w:tcW w:w="260" w:type="dxa"/>
            <w:vAlign w:val="bottom"/>
            <w:shd w:val="clear" w:color="auto" w:fill="0D248E"/>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48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96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560" w:type="dxa"/>
            <w:vAlign w:val="bottom"/>
            <w:shd w:val="clear" w:color="auto" w:fill="0D248E"/>
          </w:tcPr>
          <w:p>
            <w:pPr>
              <w:spacing w:after="0" w:line="20" w:lineRule="exact"/>
              <w:rPr>
                <w:sz w:val="1"/>
                <w:szCs w:val="1"/>
                <w:color w:val="auto"/>
              </w:rPr>
            </w:pPr>
          </w:p>
        </w:tc>
        <w:tc>
          <w:tcPr>
            <w:tcW w:w="1360" w:type="dxa"/>
            <w:vAlign w:val="bottom"/>
            <w:tcBorders>
              <w:right w:val="single" w:sz="8" w:color="0D248E"/>
            </w:tcBorders>
            <w:shd w:val="clear" w:color="auto" w:fill="0D248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900" w:right="20"/>
        <w:spacing w:after="0" w:line="247" w:lineRule="auto"/>
        <w:rPr>
          <w:sz w:val="20"/>
          <w:szCs w:val="20"/>
          <w:color w:val="auto"/>
        </w:rPr>
      </w:pPr>
      <w:r>
        <w:rPr>
          <w:rFonts w:ascii="Times New Roman" w:cs="Times New Roman" w:eastAsia="Times New Roman" w:hAnsi="Times New Roman"/>
          <w:sz w:val="20"/>
          <w:szCs w:val="20"/>
          <w:u w:val="single" w:color="auto"/>
          <w:color w:val="0D248E"/>
        </w:rPr>
        <w:t>individual capacity and as Trustee of the David G. Townsend Revocable Living Trust Agreement Dated 9-9-2004, Martin P. Gilmore in his individual capacity and as Trustee of the Martin Paul Gilmore 2008 Revocable Trust dated March 17, 2008, Thomas H. Westbrook and Christopher N. Jones and each signatory identified as a “GP Entity” on the signature pages thereto (incorporated by reference to Exhibit 10.14 to the Company’s Registration Statement on Form S-1, filed on September 27, 2021).</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080"/>
          </w:cols>
          <w:pgMar w:left="1080" w:top="1056" w:right="1080" w:bottom="175" w:gutter="0" w:footer="0" w:header="0"/>
          <w:type w:val="continuous"/>
        </w:sectPr>
      </w:pPr>
    </w:p>
    <w:bookmarkStart w:id="124" w:name="page125"/>
    <w:bookmarkEnd w:id="124"/>
    <w:p>
      <w:pPr>
        <w:ind w:left="540" w:right="12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u w:val="single" w:color="auto"/>
          <w:color w:val="0D248E"/>
        </w:rPr>
        <w:t>Letter Agreement re: Sale and Purchase of Five Points Capital, Inc. (Management Fees - Partners), dated January 16, 2020, by and among P10 Intermediate Holdings LLC, Five Points Capital, Inc., Jonathan B. Blanco, S. Whitfield Edwards, Scott L. Snow and Marshall C. White (incorporated by reference to Exhibit 10.15 to the Company’s Registration Statement on Form S-1, filed on September 27, 2021).</w:t>
      </w:r>
    </w:p>
    <w:p>
      <w:pPr>
        <w:spacing w:after="0" w:line="92" w:lineRule="exact"/>
        <w:rPr>
          <w:sz w:val="20"/>
          <w:szCs w:val="20"/>
          <w:color w:val="auto"/>
        </w:rPr>
      </w:pPr>
    </w:p>
    <w:p>
      <w:pPr>
        <w:ind w:left="540" w:right="26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0D248E"/>
        </w:rPr>
        <w:t>Letter Agreement re: Sale and Purchase of TrueBridge Capital Partners LLC, dated August 24, 2020, by and among P10 Intermediate Holdings LLC, TrueBridge Capital Partners LLC, Edwin Poston and Mel A. Williams (incorporated by reference to Exhibit 10.16 to the Company’s Registration Statement on Form S-1, filed on September 27, 2021).</w:t>
      </w:r>
    </w:p>
    <w:p>
      <w:pPr>
        <w:spacing w:after="0" w:line="92" w:lineRule="exact"/>
        <w:rPr>
          <w:sz w:val="20"/>
          <w:szCs w:val="20"/>
          <w:color w:val="auto"/>
        </w:rPr>
      </w:pPr>
    </w:p>
    <w:p>
      <w:pPr>
        <w:ind w:left="540" w:right="12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u w:val="single" w:color="auto"/>
          <w:color w:val="0D248E"/>
        </w:rPr>
        <w:t>Enhanced Reorganization Agreement, dated as of November 19,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Enhanced Capital Holdings, Inc., a Delaware corporation, and solely for purposes of Section 3.1(c), Michael Korengold (incorporated by reference to Exhibit 10.18 to the Company’s Registration Statement on Form S-1, filed on September 27, 2021).</w:t>
      </w:r>
    </w:p>
    <w:p>
      <w:pPr>
        <w:spacing w:after="0" w:line="98" w:lineRule="exact"/>
        <w:rPr>
          <w:sz w:val="20"/>
          <w:szCs w:val="20"/>
          <w:color w:val="auto"/>
        </w:rPr>
      </w:pPr>
    </w:p>
    <w:p>
      <w:pPr>
        <w:ind w:left="540" w:right="6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0D248E"/>
        </w:rPr>
        <w:t>Amendment No. 1 to the Enhanced Reorganization Agreement, dated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10.19 to the Company’s Registration Statement on Form S-1, filed on September 27, 2021).</w:t>
      </w:r>
    </w:p>
    <w:p>
      <w:pPr>
        <w:spacing w:after="0" w:line="98" w:lineRule="exact"/>
        <w:rPr>
          <w:sz w:val="20"/>
          <w:szCs w:val="20"/>
          <w:color w:val="auto"/>
        </w:rPr>
      </w:pPr>
    </w:p>
    <w:p>
      <w:pPr>
        <w:ind w:left="540" w:right="2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u w:val="single" w:color="auto"/>
          <w:color w:val="0D248E"/>
        </w:rPr>
        <w:t>Amendment No. 2 to the Enhanced Reorganization Agreement, dated as of December 23, 2020, but effective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10.20 to the Company’s Registration Statement on Form S-1, filed on September 27, 2021).</w:t>
      </w:r>
    </w:p>
    <w:p>
      <w:pPr>
        <w:spacing w:after="0" w:line="98" w:lineRule="exact"/>
        <w:rPr>
          <w:sz w:val="20"/>
          <w:szCs w:val="20"/>
          <w:color w:val="auto"/>
        </w:rPr>
      </w:pPr>
    </w:p>
    <w:p>
      <w:pPr>
        <w:ind w:left="540" w:hanging="906"/>
        <w:spacing w:after="0" w:line="249" w:lineRule="auto"/>
        <w:tabs>
          <w:tab w:leader="none" w:pos="5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u w:val="single" w:color="auto"/>
          <w:color w:val="0D248E"/>
        </w:rPr>
        <w:t>Administrative Services Agreement, dated as of November 19, 2020, by and between Enhanced Capital Group, LLC, a Delaware limited liability company, and Enhanced Capital Holdings, Inc., a Delaware corporation. Certain information in this document has been omitted pursuant to Regulation S-K, Item 601(a)(6) because it contains personally identifiable information (incorporated by reference to Exhibit 10.21 to the Company’s Registration Statement on Form S-1, filed on September 27, 2021).</w:t>
      </w:r>
    </w:p>
    <w:p>
      <w:pPr>
        <w:spacing w:after="0" w:line="95" w:lineRule="exact"/>
        <w:rPr>
          <w:sz w:val="20"/>
          <w:szCs w:val="20"/>
          <w:color w:val="auto"/>
        </w:rPr>
      </w:pPr>
    </w:p>
    <w:p>
      <w:pPr>
        <w:ind w:left="540" w:right="20" w:hanging="906"/>
        <w:spacing w:after="0" w:line="249" w:lineRule="auto"/>
        <w:tabs>
          <w:tab w:leader="none" w:pos="5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u w:val="single" w:color="auto"/>
          <w:color w:val="0D248E"/>
        </w:rPr>
        <w:t>Advisory Agreement, dated as of November 19, 2020, by and between Enhanced Capital Group, LLC, a Delaware limited liability company, and Enhanced Permanent Capital, LLC, a Delaware limited liability company (incorporated by reference to Exhibit 10.22 to the Company’s Registration Statement on Form S-1, filed on September 27, 2021).Certain information in this document has been omitted pursuant to Regulation S-K, Item 601(a)(6) because it contains personally identifiable information.</w:t>
      </w:r>
    </w:p>
    <w:p>
      <w:pPr>
        <w:spacing w:after="0" w:line="95" w:lineRule="exact"/>
        <w:rPr>
          <w:sz w:val="20"/>
          <w:szCs w:val="20"/>
          <w:color w:val="auto"/>
        </w:rPr>
      </w:pPr>
    </w:p>
    <w:p>
      <w:pPr>
        <w:jc w:val="both"/>
        <w:ind w:left="540" w:right="260" w:hanging="906"/>
        <w:spacing w:after="0" w:line="249" w:lineRule="auto"/>
        <w:tabs>
          <w:tab w:leader="none" w:pos="5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u w:val="single" w:color="auto"/>
          <w:color w:val="0D248E"/>
        </w:rPr>
        <w:t>Sale and Purchase Agreement, dated August 25, 2022, by and among Westech Investment Advisors LLC, P10, Inc., Westech Investment Management, Inc., Maurice C. Werdegar, David R. Wanek, the Bonnie Sue Swenson Survivors Trust and Jay L. Cohan, and David R. Wanek (in his capacity as the Seller Representative)</w:t>
      </w:r>
    </w:p>
    <w:p>
      <w:pPr>
        <w:spacing w:after="0" w:line="2" w:lineRule="exact"/>
        <w:rPr>
          <w:sz w:val="20"/>
          <w:szCs w:val="20"/>
          <w:color w:val="auto"/>
        </w:rPr>
      </w:pPr>
    </w:p>
    <w:p>
      <w:pPr>
        <w:ind w:left="540" w:right="420"/>
        <w:spacing w:after="0" w:line="248" w:lineRule="auto"/>
        <w:rPr>
          <w:sz w:val="20"/>
          <w:szCs w:val="20"/>
          <w:color w:val="auto"/>
        </w:rPr>
      </w:pPr>
      <w:r>
        <w:rPr>
          <w:rFonts w:ascii="Times New Roman" w:cs="Times New Roman" w:eastAsia="Times New Roman" w:hAnsi="Times New Roman"/>
          <w:sz w:val="20"/>
          <w:szCs w:val="20"/>
          <w:u w:val="single" w:color="auto"/>
          <w:color w:val="0D248E"/>
        </w:rPr>
        <w:t>(incorporated by reference to Exhibit 10.1 to the Company's Current Report on Form 8-K filed on August 26, 2022).</w:t>
      </w:r>
    </w:p>
    <w:p>
      <w:pPr>
        <w:spacing w:after="0" w:line="95" w:lineRule="exact"/>
        <w:rPr>
          <w:sz w:val="20"/>
          <w:szCs w:val="20"/>
          <w:color w:val="auto"/>
        </w:rPr>
      </w:pPr>
    </w:p>
    <w:p>
      <w:pPr>
        <w:jc w:val="both"/>
        <w:ind w:left="540" w:right="48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u w:val="single" w:color="auto"/>
          <w:color w:val="0D248E"/>
        </w:rPr>
        <w:t>Exchange Agreement, dated August 25, 2022 by and among P10, Inc., P10 Holdings Inc., P10 Intermediate Holdings LLC, and the other signatories thereto (incorporated by reference to Exhibit 10.2 to the Company's Current Report on Form 8-K filed on August 26, 2022).</w:t>
      </w:r>
    </w:p>
    <w:p>
      <w:pPr>
        <w:spacing w:after="0" w:line="86" w:lineRule="exact"/>
        <w:rPr>
          <w:sz w:val="20"/>
          <w:szCs w:val="20"/>
          <w:color w:val="auto"/>
        </w:rPr>
      </w:pPr>
    </w:p>
    <w:p>
      <w:pPr>
        <w:ind w:left="540" w:right="8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u w:val="single" w:color="auto"/>
          <w:color w:val="0D248E"/>
        </w:rPr>
        <w:t>Restatement Agreement, dated as of August 1, 2024, attaching the Amended and Restated Credit Agreement, dated as of such date, among P10, Inc., P10 Intermediate Holdings LLC, the other guarantors part thereto, the lenders party thereto, and JPMorgan Chase Bank, N.A., as administrative agent and collateral agent (incorporated by reference to Exhibit 10.1 to the Company's Current Report in Form 8-K filed on August 5th, 2024).</w:t>
      </w:r>
    </w:p>
    <w:p>
      <w:pPr>
        <w:spacing w:after="0" w:line="184" w:lineRule="exact"/>
        <w:rPr>
          <w:sz w:val="20"/>
          <w:szCs w:val="20"/>
          <w:color w:val="auto"/>
        </w:rPr>
      </w:pPr>
    </w:p>
    <w:p>
      <w:pPr>
        <w:ind w:left="54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u w:val="single" w:color="auto"/>
          <w:color w:val="0D248E"/>
        </w:rPr>
        <w:t>Amended and Restated Employment Agreement, dated as of November 5, 2024, by and between P10 Intermediate Holdings, LLC and Luke A. Sarsfield III (incorporated by reference to Exhibit 10.1 to the Company’s Current Report on Form 8-K filed on November 7, 2024).</w:t>
      </w:r>
    </w:p>
    <w:p>
      <w:pPr>
        <w:sectPr>
          <w:pgSz w:w="12240" w:h="15840" w:orient="portrait"/>
          <w:cols w:equalWidth="0" w:num="1">
            <w:col w:w="9720"/>
          </w:cols>
          <w:pgMar w:left="1440" w:top="1060" w:right="108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720"/>
          </w:cols>
          <w:pgMar w:left="1440" w:top="1060" w:right="1080" w:bottom="175"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Amended &amp; Restated Employment Agreement, dated as of February 27, 2024, by and between P10 Intermediate</w:t>
            </w:r>
          </w:p>
        </w:tc>
      </w:tr>
      <w:tr>
        <w:trPr>
          <w:trHeight w:val="210"/>
        </w:trPr>
        <w:tc>
          <w:tcPr>
            <w:tcW w:w="900" w:type="dxa"/>
            <w:vAlign w:val="bottom"/>
          </w:tcPr>
          <w:p>
            <w:pPr>
              <w:spacing w:after="0"/>
              <w:rPr>
                <w:sz w:val="18"/>
                <w:szCs w:val="18"/>
                <w:color w:val="auto"/>
              </w:rPr>
            </w:pPr>
          </w:p>
        </w:tc>
        <w:tc>
          <w:tcPr>
            <w:tcW w:w="9020" w:type="dxa"/>
            <w:vAlign w:val="bottom"/>
            <w:tcBorders>
              <w:top w:val="single" w:sz="8" w:color="0D248E"/>
            </w:tcBorders>
            <w:gridSpan w:val="16"/>
          </w:tcPr>
          <w:p>
            <w:pPr>
              <w:spacing w:after="0" w:line="210" w:lineRule="exact"/>
              <w:rPr>
                <w:sz w:val="20"/>
                <w:szCs w:val="20"/>
                <w:color w:val="auto"/>
              </w:rPr>
            </w:pPr>
            <w:r>
              <w:rPr>
                <w:rFonts w:ascii="Times New Roman" w:cs="Times New Roman" w:eastAsia="Times New Roman" w:hAnsi="Times New Roman"/>
                <w:sz w:val="20"/>
                <w:szCs w:val="20"/>
                <w:color w:val="0D248E"/>
              </w:rPr>
              <w:t>Holdings LLC, and Amanda Coussens (incorporated by reference to Exhibit 10.1 to the Company's Quarterly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600" w:type="dxa"/>
            <w:vAlign w:val="bottom"/>
            <w:tcBorders>
              <w:top w:val="single" w:sz="8" w:color="0D248E"/>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Report on Form 10-Q filed on May 9, 2024).</w:t>
            </w:r>
          </w:p>
        </w:tc>
        <w:tc>
          <w:tcPr>
            <w:tcW w:w="5160" w:type="dxa"/>
            <w:vAlign w:val="bottom"/>
            <w:tcBorders>
              <w:top w:val="single" w:sz="8" w:color="0D248E"/>
            </w:tcBorders>
            <w:gridSpan w:val="4"/>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Employment Agreement, dated as of February 27, 2024, by and between P10 Intermediate Holdings LLC, and</w:t>
            </w:r>
          </w:p>
        </w:tc>
      </w:tr>
      <w:tr>
        <w:trPr>
          <w:trHeight w:val="20"/>
        </w:trPr>
        <w:tc>
          <w:tcPr>
            <w:tcW w:w="900" w:type="dxa"/>
            <w:vAlign w:val="bottom"/>
          </w:tcPr>
          <w:p>
            <w:pPr>
              <w:spacing w:after="0" w:line="20" w:lineRule="exact"/>
              <w:rPr>
                <w:sz w:val="1"/>
                <w:szCs w:val="1"/>
                <w:color w:val="auto"/>
              </w:rPr>
            </w:pPr>
          </w:p>
        </w:tc>
        <w:tc>
          <w:tcPr>
            <w:tcW w:w="72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60" w:type="dxa"/>
            <w:vAlign w:val="bottom"/>
            <w:shd w:val="clear" w:color="auto" w:fill="0D248E"/>
          </w:tcPr>
          <w:p>
            <w:pPr>
              <w:spacing w:after="0" w:line="20" w:lineRule="exact"/>
              <w:rPr>
                <w:sz w:val="1"/>
                <w:szCs w:val="1"/>
                <w:color w:val="auto"/>
              </w:rPr>
            </w:pPr>
          </w:p>
        </w:tc>
        <w:tc>
          <w:tcPr>
            <w:tcW w:w="1000" w:type="dxa"/>
            <w:vAlign w:val="bottom"/>
            <w:shd w:val="clear" w:color="auto" w:fill="0D248E"/>
          </w:tcPr>
          <w:p>
            <w:pPr>
              <w:spacing w:after="0" w:line="20" w:lineRule="exact"/>
              <w:rPr>
                <w:sz w:val="1"/>
                <w:szCs w:val="1"/>
                <w:color w:val="auto"/>
              </w:rPr>
            </w:pPr>
          </w:p>
        </w:tc>
        <w:tc>
          <w:tcPr>
            <w:tcW w:w="3140" w:type="dxa"/>
            <w:vAlign w:val="bottom"/>
            <w:gridSpan w:val="2"/>
            <w:shd w:val="clear" w:color="auto" w:fill="0D248E"/>
          </w:tcPr>
          <w:p>
            <w:pPr>
              <w:spacing w:after="0" w:line="20" w:lineRule="exact"/>
              <w:rPr>
                <w:sz w:val="1"/>
                <w:szCs w:val="1"/>
                <w:color w:val="auto"/>
              </w:rPr>
            </w:pPr>
          </w:p>
        </w:tc>
        <w:tc>
          <w:tcPr>
            <w:tcW w:w="820" w:type="dxa"/>
            <w:vAlign w:val="bottom"/>
            <w:shd w:val="clear" w:color="auto" w:fill="0D248E"/>
          </w:tcPr>
          <w:p>
            <w:pPr>
              <w:spacing w:after="0" w:line="20" w:lineRule="exact"/>
              <w:rPr>
                <w:sz w:val="1"/>
                <w:szCs w:val="1"/>
                <w:color w:val="auto"/>
              </w:rPr>
            </w:pPr>
          </w:p>
        </w:tc>
        <w:tc>
          <w:tcPr>
            <w:tcW w:w="1880" w:type="dxa"/>
            <w:vAlign w:val="bottom"/>
            <w:shd w:val="clear" w:color="auto" w:fill="0D248E"/>
          </w:tcPr>
          <w:p>
            <w:pPr>
              <w:spacing w:after="0" w:line="20" w:lineRule="exact"/>
              <w:rPr>
                <w:sz w:val="1"/>
                <w:szCs w:val="1"/>
                <w:color w:val="auto"/>
              </w:rPr>
            </w:pPr>
          </w:p>
        </w:tc>
        <w:tc>
          <w:tcPr>
            <w:tcW w:w="140" w:type="dxa"/>
            <w:vAlign w:val="bottom"/>
            <w:gridSpan w:val="2"/>
            <w:shd w:val="clear" w:color="auto" w:fill="0D248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916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0D248E"/>
              </w:rPr>
              <w:t>Richard J. (Arjay) Jensen (incorporated by reference to Exhibit 10.2 to the Company's Quarterly Report on Form</w:t>
            </w:r>
          </w:p>
        </w:tc>
      </w:tr>
      <w:tr>
        <w:trPr>
          <w:trHeight w:val="210"/>
        </w:trPr>
        <w:tc>
          <w:tcPr>
            <w:tcW w:w="900" w:type="dxa"/>
            <w:vAlign w:val="bottom"/>
          </w:tcPr>
          <w:p>
            <w:pPr>
              <w:spacing w:after="0"/>
              <w:rPr>
                <w:sz w:val="18"/>
                <w:szCs w:val="18"/>
                <w:color w:val="auto"/>
              </w:rPr>
            </w:pPr>
          </w:p>
        </w:tc>
        <w:tc>
          <w:tcPr>
            <w:tcW w:w="1860" w:type="dxa"/>
            <w:vAlign w:val="bottom"/>
            <w:tcBorders>
              <w:top w:val="single" w:sz="8" w:color="0D248E"/>
              <w:bottom w:val="single" w:sz="8" w:color="0D248E"/>
            </w:tcBorders>
            <w:gridSpan w:val="6"/>
          </w:tcPr>
          <w:p>
            <w:pPr>
              <w:spacing w:after="0" w:line="210" w:lineRule="exact"/>
              <w:rPr>
                <w:sz w:val="20"/>
                <w:szCs w:val="20"/>
                <w:color w:val="auto"/>
              </w:rPr>
            </w:pPr>
            <w:r>
              <w:rPr>
                <w:rFonts w:ascii="Times New Roman" w:cs="Times New Roman" w:eastAsia="Times New Roman" w:hAnsi="Times New Roman"/>
                <w:sz w:val="20"/>
                <w:szCs w:val="20"/>
                <w:color w:val="0D248E"/>
                <w:w w:val="99"/>
              </w:rPr>
              <w:t>10-Q on May 9, 2024).</w:t>
            </w:r>
          </w:p>
        </w:tc>
        <w:tc>
          <w:tcPr>
            <w:tcW w:w="7180" w:type="dxa"/>
            <w:vAlign w:val="bottom"/>
            <w:tcBorders>
              <w:top w:val="single" w:sz="8" w:color="0D248E"/>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Employment Agreement, dated as of February 27, 2024, by and between P10 Intermediate Holdings LLC, and</w:t>
            </w:r>
          </w:p>
        </w:tc>
      </w:tr>
      <w:tr>
        <w:trPr>
          <w:trHeight w:val="20"/>
        </w:trPr>
        <w:tc>
          <w:tcPr>
            <w:tcW w:w="900" w:type="dxa"/>
            <w:vAlign w:val="bottom"/>
          </w:tcPr>
          <w:p>
            <w:pPr>
              <w:spacing w:after="0" w:line="20" w:lineRule="exact"/>
              <w:rPr>
                <w:sz w:val="1"/>
                <w:szCs w:val="1"/>
                <w:color w:val="auto"/>
              </w:rPr>
            </w:pPr>
          </w:p>
        </w:tc>
        <w:tc>
          <w:tcPr>
            <w:tcW w:w="72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060" w:type="dxa"/>
            <w:vAlign w:val="bottom"/>
            <w:gridSpan w:val="2"/>
            <w:shd w:val="clear" w:color="auto" w:fill="0D248E"/>
          </w:tcPr>
          <w:p>
            <w:pPr>
              <w:spacing w:after="0" w:line="20" w:lineRule="exact"/>
              <w:rPr>
                <w:sz w:val="1"/>
                <w:szCs w:val="1"/>
                <w:color w:val="auto"/>
              </w:rPr>
            </w:pPr>
          </w:p>
        </w:tc>
        <w:tc>
          <w:tcPr>
            <w:tcW w:w="3140" w:type="dxa"/>
            <w:vAlign w:val="bottom"/>
            <w:gridSpan w:val="2"/>
            <w:shd w:val="clear" w:color="auto" w:fill="0D248E"/>
          </w:tcPr>
          <w:p>
            <w:pPr>
              <w:spacing w:after="0" w:line="20" w:lineRule="exact"/>
              <w:rPr>
                <w:sz w:val="1"/>
                <w:szCs w:val="1"/>
                <w:color w:val="auto"/>
              </w:rPr>
            </w:pPr>
          </w:p>
        </w:tc>
        <w:tc>
          <w:tcPr>
            <w:tcW w:w="820" w:type="dxa"/>
            <w:vAlign w:val="bottom"/>
            <w:shd w:val="clear" w:color="auto" w:fill="0D248E"/>
          </w:tcPr>
          <w:p>
            <w:pPr>
              <w:spacing w:after="0" w:line="20" w:lineRule="exact"/>
              <w:rPr>
                <w:sz w:val="1"/>
                <w:szCs w:val="1"/>
                <w:color w:val="auto"/>
              </w:rPr>
            </w:pPr>
          </w:p>
        </w:tc>
        <w:tc>
          <w:tcPr>
            <w:tcW w:w="1880" w:type="dxa"/>
            <w:vAlign w:val="bottom"/>
            <w:shd w:val="clear" w:color="auto" w:fill="0D248E"/>
          </w:tcPr>
          <w:p>
            <w:pPr>
              <w:spacing w:after="0" w:line="20" w:lineRule="exact"/>
              <w:rPr>
                <w:sz w:val="1"/>
                <w:szCs w:val="1"/>
                <w:color w:val="auto"/>
              </w:rPr>
            </w:pPr>
          </w:p>
        </w:tc>
        <w:tc>
          <w:tcPr>
            <w:tcW w:w="140" w:type="dxa"/>
            <w:vAlign w:val="bottom"/>
            <w:gridSpan w:val="2"/>
            <w:shd w:val="clear" w:color="auto" w:fill="0D248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916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0D248E"/>
              </w:rPr>
              <w:t>Mark Hood (incorporated by reference to Exhibit 10.3 to the Company's Quarterly Report on Form 10-Q on May</w:t>
            </w:r>
          </w:p>
        </w:tc>
      </w:tr>
      <w:tr>
        <w:trPr>
          <w:trHeight w:val="210"/>
        </w:trPr>
        <w:tc>
          <w:tcPr>
            <w:tcW w:w="900" w:type="dxa"/>
            <w:vAlign w:val="bottom"/>
          </w:tcPr>
          <w:p>
            <w:pPr>
              <w:spacing w:after="0"/>
              <w:rPr>
                <w:sz w:val="18"/>
                <w:szCs w:val="18"/>
                <w:color w:val="auto"/>
              </w:rPr>
            </w:pPr>
          </w:p>
        </w:tc>
        <w:tc>
          <w:tcPr>
            <w:tcW w:w="720" w:type="dxa"/>
            <w:vAlign w:val="bottom"/>
            <w:tcBorders>
              <w:top w:val="single" w:sz="8" w:color="0D248E"/>
              <w:bottom w:val="single" w:sz="8" w:color="0D248E"/>
            </w:tcBorders>
          </w:tcPr>
          <w:p>
            <w:pPr>
              <w:spacing w:after="0" w:line="210" w:lineRule="exact"/>
              <w:rPr>
                <w:sz w:val="20"/>
                <w:szCs w:val="20"/>
                <w:color w:val="auto"/>
              </w:rPr>
            </w:pPr>
            <w:r>
              <w:rPr>
                <w:rFonts w:ascii="Times New Roman" w:cs="Times New Roman" w:eastAsia="Times New Roman" w:hAnsi="Times New Roman"/>
                <w:sz w:val="20"/>
                <w:szCs w:val="20"/>
                <w:color w:val="0D248E"/>
                <w:w w:val="97"/>
              </w:rPr>
              <w:t>9, 2024).</w:t>
            </w:r>
          </w:p>
        </w:tc>
        <w:tc>
          <w:tcPr>
            <w:tcW w:w="680" w:type="dxa"/>
            <w:vAlign w:val="bottom"/>
            <w:tcBorders>
              <w:top w:val="single" w:sz="8" w:color="0D248E"/>
            </w:tcBorders>
          </w:tcPr>
          <w:p>
            <w:pPr>
              <w:spacing w:after="0"/>
              <w:rPr>
                <w:sz w:val="18"/>
                <w:szCs w:val="18"/>
                <w:color w:val="auto"/>
              </w:rPr>
            </w:pPr>
          </w:p>
        </w:tc>
        <w:tc>
          <w:tcPr>
            <w:tcW w:w="160" w:type="dxa"/>
            <w:vAlign w:val="bottom"/>
            <w:tcBorders>
              <w:top w:val="single" w:sz="8" w:color="0D248E"/>
            </w:tcBorders>
          </w:tcPr>
          <w:p>
            <w:pPr>
              <w:spacing w:after="0"/>
              <w:rPr>
                <w:sz w:val="18"/>
                <w:szCs w:val="18"/>
                <w:color w:val="auto"/>
              </w:rPr>
            </w:pPr>
          </w:p>
        </w:tc>
        <w:tc>
          <w:tcPr>
            <w:tcW w:w="120" w:type="dxa"/>
            <w:vAlign w:val="bottom"/>
            <w:tcBorders>
              <w:top w:val="single" w:sz="8" w:color="0D248E"/>
            </w:tcBorders>
          </w:tcPr>
          <w:p>
            <w:pPr>
              <w:spacing w:after="0"/>
              <w:rPr>
                <w:sz w:val="18"/>
                <w:szCs w:val="18"/>
                <w:color w:val="auto"/>
              </w:rPr>
            </w:pPr>
          </w:p>
        </w:tc>
        <w:tc>
          <w:tcPr>
            <w:tcW w:w="120" w:type="dxa"/>
            <w:vAlign w:val="bottom"/>
            <w:tcBorders>
              <w:top w:val="single" w:sz="8" w:color="0D248E"/>
            </w:tcBorders>
          </w:tcPr>
          <w:p>
            <w:pPr>
              <w:spacing w:after="0"/>
              <w:rPr>
                <w:sz w:val="18"/>
                <w:szCs w:val="18"/>
                <w:color w:val="auto"/>
              </w:rPr>
            </w:pPr>
          </w:p>
        </w:tc>
        <w:tc>
          <w:tcPr>
            <w:tcW w:w="60" w:type="dxa"/>
            <w:vAlign w:val="bottom"/>
            <w:tcBorders>
              <w:top w:val="single" w:sz="8" w:color="0D248E"/>
            </w:tcBorders>
          </w:tcPr>
          <w:p>
            <w:pPr>
              <w:spacing w:after="0"/>
              <w:rPr>
                <w:sz w:val="18"/>
                <w:szCs w:val="18"/>
                <w:color w:val="auto"/>
              </w:rPr>
            </w:pPr>
          </w:p>
        </w:tc>
        <w:tc>
          <w:tcPr>
            <w:tcW w:w="1000" w:type="dxa"/>
            <w:vAlign w:val="bottom"/>
            <w:tcBorders>
              <w:top w:val="single" w:sz="8" w:color="0D248E"/>
            </w:tcBorders>
          </w:tcPr>
          <w:p>
            <w:pPr>
              <w:spacing w:after="0"/>
              <w:rPr>
                <w:sz w:val="18"/>
                <w:szCs w:val="18"/>
                <w:color w:val="auto"/>
              </w:rPr>
            </w:pPr>
          </w:p>
        </w:tc>
        <w:tc>
          <w:tcPr>
            <w:tcW w:w="740" w:type="dxa"/>
            <w:vAlign w:val="bottom"/>
            <w:tcBorders>
              <w:top w:val="single" w:sz="8" w:color="0D248E"/>
            </w:tcBorders>
          </w:tcPr>
          <w:p>
            <w:pPr>
              <w:spacing w:after="0"/>
              <w:rPr>
                <w:sz w:val="18"/>
                <w:szCs w:val="18"/>
                <w:color w:val="auto"/>
              </w:rPr>
            </w:pPr>
          </w:p>
        </w:tc>
        <w:tc>
          <w:tcPr>
            <w:tcW w:w="2400" w:type="dxa"/>
            <w:vAlign w:val="bottom"/>
            <w:tcBorders>
              <w:top w:val="single" w:sz="8" w:color="0D248E"/>
            </w:tcBorders>
          </w:tcPr>
          <w:p>
            <w:pPr>
              <w:spacing w:after="0"/>
              <w:rPr>
                <w:sz w:val="18"/>
                <w:szCs w:val="18"/>
                <w:color w:val="auto"/>
              </w:rPr>
            </w:pPr>
          </w:p>
        </w:tc>
        <w:tc>
          <w:tcPr>
            <w:tcW w:w="820" w:type="dxa"/>
            <w:vAlign w:val="bottom"/>
            <w:tcBorders>
              <w:top w:val="single" w:sz="8" w:color="0D248E"/>
            </w:tcBorders>
          </w:tcPr>
          <w:p>
            <w:pPr>
              <w:spacing w:after="0"/>
              <w:rPr>
                <w:sz w:val="18"/>
                <w:szCs w:val="18"/>
                <w:color w:val="auto"/>
              </w:rPr>
            </w:pPr>
          </w:p>
        </w:tc>
        <w:tc>
          <w:tcPr>
            <w:tcW w:w="1880" w:type="dxa"/>
            <w:vAlign w:val="bottom"/>
            <w:tcBorders>
              <w:top w:val="single" w:sz="8" w:color="0D248E"/>
            </w:tcBorders>
          </w:tcPr>
          <w:p>
            <w:pPr>
              <w:spacing w:after="0"/>
              <w:rPr>
                <w:sz w:val="18"/>
                <w:szCs w:val="18"/>
                <w:color w:val="auto"/>
              </w:rPr>
            </w:pPr>
          </w:p>
        </w:tc>
        <w:tc>
          <w:tcPr>
            <w:tcW w:w="60" w:type="dxa"/>
            <w:vAlign w:val="bottom"/>
            <w:tcBorders>
              <w:top w:val="single" w:sz="8" w:color="0D248E"/>
            </w:tcBorders>
          </w:tcPr>
          <w:p>
            <w:pPr>
              <w:spacing w:after="0"/>
              <w:rPr>
                <w:sz w:val="18"/>
                <w:szCs w:val="18"/>
                <w:color w:val="auto"/>
              </w:rPr>
            </w:pPr>
          </w:p>
        </w:tc>
        <w:tc>
          <w:tcPr>
            <w:tcW w:w="80" w:type="dxa"/>
            <w:vAlign w:val="bottom"/>
            <w:tcBorders>
              <w:top w:val="single" w:sz="8" w:color="0D248E"/>
            </w:tcBorders>
          </w:tcPr>
          <w:p>
            <w:pPr>
              <w:spacing w:after="0"/>
              <w:rPr>
                <w:sz w:val="18"/>
                <w:szCs w:val="18"/>
                <w:color w:val="auto"/>
              </w:rPr>
            </w:pPr>
          </w:p>
        </w:tc>
        <w:tc>
          <w:tcPr>
            <w:tcW w:w="140" w:type="dxa"/>
            <w:vAlign w:val="bottom"/>
            <w:tcBorders>
              <w:top w:val="single" w:sz="8" w:color="0D248E"/>
            </w:tcBorders>
          </w:tcPr>
          <w:p>
            <w:pPr>
              <w:spacing w:after="0"/>
              <w:rPr>
                <w:sz w:val="18"/>
                <w:szCs w:val="18"/>
                <w:color w:val="auto"/>
              </w:rPr>
            </w:pPr>
          </w:p>
        </w:tc>
        <w:tc>
          <w:tcPr>
            <w:tcW w:w="20" w:type="dxa"/>
            <w:vAlign w:val="bottom"/>
            <w:tcBorders>
              <w:top w:val="single" w:sz="8" w:color="0D248E"/>
            </w:tcBorders>
          </w:tcPr>
          <w:p>
            <w:pPr>
              <w:spacing w:after="0"/>
              <w:rPr>
                <w:sz w:val="18"/>
                <w:szCs w:val="18"/>
                <w:color w:val="auto"/>
              </w:rPr>
            </w:pPr>
          </w:p>
        </w:tc>
        <w:tc>
          <w:tcPr>
            <w:tcW w:w="20" w:type="dxa"/>
            <w:vAlign w:val="bottom"/>
            <w:tcBorders>
              <w:top w:val="single" w:sz="8" w:color="0D248E"/>
            </w:tcBorders>
          </w:tcPr>
          <w:p>
            <w:pPr>
              <w:spacing w:after="0"/>
              <w:rPr>
                <w:sz w:val="18"/>
                <w:szCs w:val="18"/>
                <w:color w:val="auto"/>
              </w:rPr>
            </w:pPr>
          </w:p>
        </w:tc>
        <w:tc>
          <w:tcPr>
            <w:tcW w:w="20" w:type="dxa"/>
            <w:vAlign w:val="bottom"/>
            <w:tcBorders>
              <w:top w:val="single" w:sz="8" w:color="0D248E"/>
            </w:tcBorders>
          </w:tcPr>
          <w:p>
            <w:pPr>
              <w:spacing w:after="0"/>
              <w:rPr>
                <w:sz w:val="18"/>
                <w:szCs w:val="18"/>
                <w:color w:val="auto"/>
              </w:rPr>
            </w:pPr>
          </w:p>
        </w:tc>
        <w:tc>
          <w:tcPr>
            <w:tcW w:w="20" w:type="dxa"/>
            <w:vAlign w:val="bottom"/>
            <w:tcBorders>
              <w:top w:val="single" w:sz="8" w:color="0D248E"/>
            </w:tcBorders>
          </w:tcPr>
          <w:p>
            <w:pPr>
              <w:spacing w:after="0"/>
              <w:rPr>
                <w:sz w:val="18"/>
                <w:szCs w:val="18"/>
                <w:color w:val="auto"/>
              </w:rPr>
            </w:pPr>
          </w:p>
        </w:tc>
        <w:tc>
          <w:tcPr>
            <w:tcW w:w="20" w:type="dxa"/>
            <w:vAlign w:val="bottom"/>
            <w:tcBorders>
              <w:top w:val="single" w:sz="8" w:color="0D248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Employment Agreement, dated as of September 16, 2024, by and between P10 Intermediate Holdings LLC, and</w:t>
            </w:r>
          </w:p>
        </w:tc>
      </w:tr>
      <w:tr>
        <w:trPr>
          <w:trHeight w:val="210"/>
        </w:trPr>
        <w:tc>
          <w:tcPr>
            <w:tcW w:w="900" w:type="dxa"/>
            <w:vAlign w:val="bottom"/>
          </w:tcPr>
          <w:p>
            <w:pPr>
              <w:spacing w:after="0"/>
              <w:rPr>
                <w:sz w:val="18"/>
                <w:szCs w:val="18"/>
                <w:color w:val="auto"/>
              </w:rPr>
            </w:pPr>
          </w:p>
        </w:tc>
        <w:tc>
          <w:tcPr>
            <w:tcW w:w="8980" w:type="dxa"/>
            <w:vAlign w:val="bottom"/>
            <w:tcBorders>
              <w:top w:val="single" w:sz="8" w:color="0D248E"/>
            </w:tcBorders>
            <w:gridSpan w:val="14"/>
          </w:tcPr>
          <w:p>
            <w:pPr>
              <w:spacing w:after="0" w:line="210" w:lineRule="exact"/>
              <w:rPr>
                <w:sz w:val="20"/>
                <w:szCs w:val="20"/>
                <w:color w:val="auto"/>
              </w:rPr>
            </w:pPr>
            <w:r>
              <w:rPr>
                <w:rFonts w:ascii="Times New Roman" w:cs="Times New Roman" w:eastAsia="Times New Roman" w:hAnsi="Times New Roman"/>
                <w:sz w:val="20"/>
                <w:szCs w:val="20"/>
                <w:color w:val="0D248E"/>
              </w:rPr>
              <w:t>Sarita Narson Jairath</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gridSpan w:val="2"/>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Insider Trading Policy</w:t>
            </w: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0" w:type="dxa"/>
            <w:vAlign w:val="bottom"/>
            <w:tcBorders>
              <w:top w:val="single" w:sz="8" w:color="0D248E"/>
            </w:tcBorders>
            <w:gridSpan w:val="5"/>
          </w:tcPr>
          <w:p>
            <w:pPr>
              <w:spacing w:after="0"/>
              <w:rPr>
                <w:sz w:val="20"/>
                <w:szCs w:val="20"/>
                <w:color w:val="auto"/>
              </w:rPr>
            </w:pPr>
            <w:r>
              <w:rPr>
                <w:rFonts w:ascii="Times New Roman" w:cs="Times New Roman" w:eastAsia="Times New Roman" w:hAnsi="Times New Roman"/>
                <w:sz w:val="20"/>
                <w:szCs w:val="20"/>
                <w:color w:val="0D248E"/>
              </w:rPr>
              <w:t>List of Subsidiaries</w:t>
            </w:r>
          </w:p>
        </w:tc>
        <w:tc>
          <w:tcPr>
            <w:tcW w:w="7360" w:type="dxa"/>
            <w:vAlign w:val="bottom"/>
            <w:gridSpan w:val="17"/>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gridSpan w:val="2"/>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6000" w:type="dxa"/>
            <w:vAlign w:val="bottom"/>
            <w:tcBorders>
              <w:bottom w:val="single" w:sz="8" w:color="0D248E"/>
            </w:tcBorders>
            <w:gridSpan w:val="9"/>
          </w:tcPr>
          <w:p>
            <w:pPr>
              <w:spacing w:after="0"/>
              <w:rPr>
                <w:sz w:val="20"/>
                <w:szCs w:val="20"/>
                <w:color w:val="auto"/>
              </w:rPr>
            </w:pPr>
            <w:r>
              <w:rPr>
                <w:rFonts w:ascii="Times New Roman" w:cs="Times New Roman" w:eastAsia="Times New Roman" w:hAnsi="Times New Roman"/>
                <w:sz w:val="20"/>
                <w:szCs w:val="20"/>
                <w:color w:val="0D248E"/>
                <w:w w:val="99"/>
              </w:rPr>
              <w:t>Consent of Independent Registered Public Accounting Firm as to P10, Inc.</w:t>
            </w:r>
          </w:p>
        </w:tc>
        <w:tc>
          <w:tcPr>
            <w:tcW w:w="3160" w:type="dxa"/>
            <w:vAlign w:val="bottom"/>
            <w:gridSpan w:val="13"/>
          </w:tcPr>
          <w:p>
            <w:pPr>
              <w:spacing w:after="0"/>
              <w:rPr>
                <w:sz w:val="24"/>
                <w:szCs w:val="24"/>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31.1*</w:t>
            </w:r>
            <w:r>
              <w:rPr>
                <w:rFonts w:ascii="Times New Roman" w:cs="Times New Roman" w:eastAsia="Times New Roman" w:hAnsi="Times New Roman"/>
                <w:sz w:val="26"/>
                <w:szCs w:val="26"/>
                <w:color w:val="auto"/>
                <w:vertAlign w:val="superscript"/>
              </w:rPr>
              <w:t>(1)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w w:val="99"/>
              </w:rPr>
              <w:t>Certification of Chief Executive Officer Pursuant to Rules 13a-14(a) and 15d-14(a) under the Securities Exchange</w:t>
            </w:r>
          </w:p>
        </w:tc>
      </w:tr>
      <w:tr>
        <w:trPr>
          <w:trHeight w:val="210"/>
        </w:trPr>
        <w:tc>
          <w:tcPr>
            <w:tcW w:w="900" w:type="dxa"/>
            <w:vAlign w:val="bottom"/>
          </w:tcPr>
          <w:p>
            <w:pPr>
              <w:spacing w:after="0"/>
              <w:rPr>
                <w:sz w:val="18"/>
                <w:szCs w:val="18"/>
                <w:color w:val="auto"/>
              </w:rPr>
            </w:pPr>
          </w:p>
        </w:tc>
        <w:tc>
          <w:tcPr>
            <w:tcW w:w="6820" w:type="dxa"/>
            <w:vAlign w:val="bottom"/>
            <w:tcBorders>
              <w:top w:val="single" w:sz="8" w:color="0D248E"/>
              <w:bottom w:val="single" w:sz="8" w:color="0D248E"/>
            </w:tcBorders>
            <w:gridSpan w:val="10"/>
          </w:tcPr>
          <w:p>
            <w:pPr>
              <w:spacing w:after="0" w:line="210" w:lineRule="exact"/>
              <w:rPr>
                <w:sz w:val="20"/>
                <w:szCs w:val="20"/>
                <w:color w:val="auto"/>
              </w:rPr>
            </w:pPr>
            <w:r>
              <w:rPr>
                <w:rFonts w:ascii="Times New Roman" w:cs="Times New Roman" w:eastAsia="Times New Roman" w:hAnsi="Times New Roman"/>
                <w:sz w:val="20"/>
                <w:szCs w:val="20"/>
                <w:color w:val="0D248E"/>
                <w:w w:val="99"/>
              </w:rPr>
              <w:t>Act of 1934, as Adopted Pursuant to Section 302 of the Sarbanes-Oxley Act of 2002.</w:t>
            </w:r>
          </w:p>
        </w:tc>
        <w:tc>
          <w:tcPr>
            <w:tcW w:w="2320" w:type="dxa"/>
            <w:vAlign w:val="bottom"/>
            <w:tcBorders>
              <w:top w:val="single" w:sz="8" w:color="0D248E"/>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31.2*</w:t>
            </w:r>
            <w:r>
              <w:rPr>
                <w:rFonts w:ascii="Times New Roman" w:cs="Times New Roman" w:eastAsia="Times New Roman" w:hAnsi="Times New Roman"/>
                <w:sz w:val="26"/>
                <w:szCs w:val="26"/>
                <w:color w:val="auto"/>
                <w:vertAlign w:val="superscript"/>
              </w:rPr>
              <w:t>(1)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Certification of Chief Financial Officer Pursuant to Rules 13a-14(a) and 15d-14(a) under the Securities Exchange</w:t>
            </w:r>
          </w:p>
        </w:tc>
      </w:tr>
      <w:tr>
        <w:trPr>
          <w:trHeight w:val="210"/>
        </w:trPr>
        <w:tc>
          <w:tcPr>
            <w:tcW w:w="900" w:type="dxa"/>
            <w:vAlign w:val="bottom"/>
          </w:tcPr>
          <w:p>
            <w:pPr>
              <w:spacing w:after="0"/>
              <w:rPr>
                <w:sz w:val="18"/>
                <w:szCs w:val="18"/>
                <w:color w:val="auto"/>
              </w:rPr>
            </w:pPr>
          </w:p>
        </w:tc>
        <w:tc>
          <w:tcPr>
            <w:tcW w:w="6820" w:type="dxa"/>
            <w:vAlign w:val="bottom"/>
            <w:tcBorders>
              <w:top w:val="single" w:sz="8" w:color="0D248E"/>
              <w:bottom w:val="single" w:sz="8" w:color="0D248E"/>
            </w:tcBorders>
            <w:gridSpan w:val="10"/>
          </w:tcPr>
          <w:p>
            <w:pPr>
              <w:spacing w:after="0" w:line="210" w:lineRule="exact"/>
              <w:rPr>
                <w:sz w:val="20"/>
                <w:szCs w:val="20"/>
                <w:color w:val="auto"/>
              </w:rPr>
            </w:pPr>
            <w:r>
              <w:rPr>
                <w:rFonts w:ascii="Times New Roman" w:cs="Times New Roman" w:eastAsia="Times New Roman" w:hAnsi="Times New Roman"/>
                <w:sz w:val="20"/>
                <w:szCs w:val="20"/>
                <w:color w:val="0D248E"/>
                <w:w w:val="99"/>
              </w:rPr>
              <w:t>Act of 1934, as Adopted Pursuant to Section 302 of the Sarbanes-Oxley Act of 2002.</w:t>
            </w:r>
          </w:p>
        </w:tc>
        <w:tc>
          <w:tcPr>
            <w:tcW w:w="2280" w:type="dxa"/>
            <w:vAlign w:val="bottom"/>
            <w:tcBorders>
              <w:top w:val="single" w:sz="8" w:color="0D248E"/>
            </w:tcBorders>
            <w:gridSpan w:val="10"/>
          </w:tcPr>
          <w:p>
            <w:pPr>
              <w:spacing w:after="0"/>
              <w:rPr>
                <w:sz w:val="18"/>
                <w:szCs w:val="18"/>
                <w:color w:val="auto"/>
              </w:rPr>
            </w:pPr>
          </w:p>
        </w:tc>
        <w:tc>
          <w:tcPr>
            <w:tcW w:w="60" w:type="dxa"/>
            <w:vAlign w:val="bottom"/>
            <w:gridSpan w:val="2"/>
          </w:tcPr>
          <w:p>
            <w:pPr>
              <w:spacing w:after="0"/>
              <w:rPr>
                <w:sz w:val="18"/>
                <w:szCs w:val="18"/>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r>
              <w:rPr>
                <w:rFonts w:ascii="Times New Roman" w:cs="Times New Roman" w:eastAsia="Times New Roman" w:hAnsi="Times New Roman"/>
                <w:sz w:val="26"/>
                <w:szCs w:val="26"/>
                <w:color w:val="auto"/>
                <w:vertAlign w:val="superscript"/>
              </w:rPr>
              <w:t>(1)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Certification of Chief Executive Officer Pursuant to 18 U.S.C. Section 1350, as Adopted Pursuant to Section 906</w:t>
            </w:r>
          </w:p>
        </w:tc>
      </w:tr>
      <w:tr>
        <w:trPr>
          <w:trHeight w:val="210"/>
        </w:trPr>
        <w:tc>
          <w:tcPr>
            <w:tcW w:w="900" w:type="dxa"/>
            <w:vAlign w:val="bottom"/>
          </w:tcPr>
          <w:p>
            <w:pPr>
              <w:spacing w:after="0"/>
              <w:rPr>
                <w:sz w:val="18"/>
                <w:szCs w:val="18"/>
                <w:color w:val="auto"/>
              </w:rPr>
            </w:pPr>
          </w:p>
        </w:tc>
        <w:tc>
          <w:tcPr>
            <w:tcW w:w="2860" w:type="dxa"/>
            <w:vAlign w:val="bottom"/>
            <w:tcBorders>
              <w:top w:val="single" w:sz="8" w:color="0D248E"/>
              <w:bottom w:val="single" w:sz="8" w:color="0D248E"/>
            </w:tcBorders>
            <w:gridSpan w:val="7"/>
          </w:tcPr>
          <w:p>
            <w:pPr>
              <w:spacing w:after="0" w:line="210" w:lineRule="exact"/>
              <w:rPr>
                <w:sz w:val="20"/>
                <w:szCs w:val="20"/>
                <w:color w:val="auto"/>
              </w:rPr>
            </w:pPr>
            <w:r>
              <w:rPr>
                <w:rFonts w:ascii="Times New Roman" w:cs="Times New Roman" w:eastAsia="Times New Roman" w:hAnsi="Times New Roman"/>
                <w:sz w:val="20"/>
                <w:szCs w:val="20"/>
                <w:color w:val="0D248E"/>
                <w:w w:val="99"/>
              </w:rPr>
              <w:t>of the Sarbanes-Oxley Act of 2002.</w:t>
            </w:r>
          </w:p>
        </w:tc>
        <w:tc>
          <w:tcPr>
            <w:tcW w:w="6200" w:type="dxa"/>
            <w:vAlign w:val="bottom"/>
            <w:tcBorders>
              <w:top w:val="single" w:sz="8" w:color="0D248E"/>
            </w:tcBorders>
            <w:gridSpan w:val="11"/>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32.2*</w:t>
            </w:r>
            <w:r>
              <w:rPr>
                <w:rFonts w:ascii="Times New Roman" w:cs="Times New Roman" w:eastAsia="Times New Roman" w:hAnsi="Times New Roman"/>
                <w:sz w:val="26"/>
                <w:szCs w:val="26"/>
                <w:color w:val="auto"/>
                <w:vertAlign w:val="superscript"/>
              </w:rPr>
              <w:t>(1)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Certification of Chief Financial Officer Pursuant to 18 U.S.C. Section 1350, as Adopted Pursuant to Section 906</w:t>
            </w:r>
          </w:p>
        </w:tc>
      </w:tr>
      <w:tr>
        <w:trPr>
          <w:trHeight w:val="210"/>
        </w:trPr>
        <w:tc>
          <w:tcPr>
            <w:tcW w:w="900" w:type="dxa"/>
            <w:vAlign w:val="bottom"/>
          </w:tcPr>
          <w:p>
            <w:pPr>
              <w:spacing w:after="0"/>
              <w:rPr>
                <w:sz w:val="18"/>
                <w:szCs w:val="18"/>
                <w:color w:val="auto"/>
              </w:rPr>
            </w:pPr>
          </w:p>
        </w:tc>
        <w:tc>
          <w:tcPr>
            <w:tcW w:w="2860" w:type="dxa"/>
            <w:vAlign w:val="bottom"/>
            <w:tcBorders>
              <w:top w:val="single" w:sz="8" w:color="0D248E"/>
              <w:bottom w:val="single" w:sz="8" w:color="0D248E"/>
            </w:tcBorders>
            <w:gridSpan w:val="7"/>
          </w:tcPr>
          <w:p>
            <w:pPr>
              <w:spacing w:after="0" w:line="210" w:lineRule="exact"/>
              <w:rPr>
                <w:sz w:val="20"/>
                <w:szCs w:val="20"/>
                <w:color w:val="auto"/>
              </w:rPr>
            </w:pPr>
            <w:r>
              <w:rPr>
                <w:rFonts w:ascii="Times New Roman" w:cs="Times New Roman" w:eastAsia="Times New Roman" w:hAnsi="Times New Roman"/>
                <w:sz w:val="20"/>
                <w:szCs w:val="20"/>
                <w:color w:val="0D248E"/>
                <w:w w:val="99"/>
              </w:rPr>
              <w:t>of the Sarbanes-Oxley Act of 2002.</w:t>
            </w:r>
          </w:p>
        </w:tc>
        <w:tc>
          <w:tcPr>
            <w:tcW w:w="6140" w:type="dxa"/>
            <w:vAlign w:val="bottom"/>
            <w:tcBorders>
              <w:top w:val="single" w:sz="8" w:color="0D248E"/>
            </w:tcBorders>
            <w:gridSpan w:val="8"/>
          </w:tcPr>
          <w:p>
            <w:pPr>
              <w:spacing w:after="0"/>
              <w:rPr>
                <w:sz w:val="18"/>
                <w:szCs w:val="18"/>
                <w:color w:val="auto"/>
              </w:rPr>
            </w:pPr>
          </w:p>
        </w:tc>
        <w:tc>
          <w:tcPr>
            <w:tcW w:w="160" w:type="dxa"/>
            <w:vAlign w:val="bottom"/>
            <w:gridSpan w:val="7"/>
          </w:tcPr>
          <w:p>
            <w:pPr>
              <w:spacing w:after="0"/>
              <w:rPr>
                <w:sz w:val="18"/>
                <w:szCs w:val="18"/>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0D248E"/>
              </w:rPr>
              <w:t>Clawback Policy (incorporated by reference to Exhibit 97.1 the Company's Annual Report on Form 10-K on</w:t>
            </w:r>
          </w:p>
        </w:tc>
      </w:tr>
      <w:tr>
        <w:trPr>
          <w:trHeight w:val="210"/>
        </w:trPr>
        <w:tc>
          <w:tcPr>
            <w:tcW w:w="900" w:type="dxa"/>
            <w:vAlign w:val="bottom"/>
          </w:tcPr>
          <w:p>
            <w:pPr>
              <w:spacing w:after="0"/>
              <w:rPr>
                <w:sz w:val="18"/>
                <w:szCs w:val="18"/>
                <w:color w:val="auto"/>
              </w:rPr>
            </w:pPr>
          </w:p>
        </w:tc>
        <w:tc>
          <w:tcPr>
            <w:tcW w:w="140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9"/>
              </w:rPr>
              <w:t>March 14, 2024).</w:t>
            </w:r>
          </w:p>
        </w:tc>
        <w:tc>
          <w:tcPr>
            <w:tcW w:w="7300" w:type="dxa"/>
            <w:vAlign w:val="bottom"/>
            <w:tcBorders>
              <w:top w:val="single" w:sz="8" w:color="0D248E"/>
            </w:tcBorders>
            <w:gridSpan w:val="9"/>
          </w:tcPr>
          <w:p>
            <w:pPr>
              <w:spacing w:after="0"/>
              <w:rPr>
                <w:sz w:val="18"/>
                <w:szCs w:val="18"/>
                <w:color w:val="auto"/>
              </w:rPr>
            </w:pPr>
          </w:p>
        </w:tc>
        <w:tc>
          <w:tcPr>
            <w:tcW w:w="460" w:type="dxa"/>
            <w:vAlign w:val="bottom"/>
            <w:gridSpan w:val="11"/>
          </w:tcPr>
          <w:p>
            <w:pPr>
              <w:spacing w:after="0"/>
              <w:rPr>
                <w:sz w:val="18"/>
                <w:szCs w:val="18"/>
                <w:color w:val="auto"/>
              </w:rPr>
            </w:pPr>
          </w:p>
        </w:tc>
      </w:tr>
      <w:tr>
        <w:trPr>
          <w:trHeight w:val="38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6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36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16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433705</wp:posOffset>
                </wp:positionV>
                <wp:extent cx="643763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4.15pt" to="505.45pt,34.1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0" w:hanging="560"/>
        <w:spacing w:after="0"/>
        <w:tabs>
          <w:tab w:leader="none" w:pos="5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560" w:hanging="560"/>
        <w:spacing w:after="0"/>
        <w:tabs>
          <w:tab w:leader="none" w:pos="5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contracts and compensation plans and arrangements.</w:t>
      </w:r>
    </w:p>
    <w:p>
      <w:pPr>
        <w:ind w:left="540" w:hanging="540"/>
        <w:spacing w:after="0"/>
        <w:tabs>
          <w:tab w:leader="none" w:pos="5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exhibit should not be deemed to be "filed" for purposes of Section 18 of the Exchange 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40"/>
          </w:cols>
          <w:pgMar w:left="1080" w:top="1058"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040"/>
          </w:cols>
          <w:pgMar w:left="1080" w:top="1058" w:right="1120" w:bottom="175"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262" w:lineRule="exact"/>
        <w:rPr>
          <w:sz w:val="20"/>
          <w:szCs w:val="20"/>
          <w:color w:val="auto"/>
        </w:rPr>
      </w:pPr>
    </w:p>
    <w:p>
      <w:pPr>
        <w:spacing w:after="0"/>
        <w:tabs>
          <w:tab w:leader="none" w:pos="5080" w:val="left"/>
          <w:tab w:leader="none" w:pos="6800" w:val="left"/>
        </w:tabs>
        <w:rPr>
          <w:sz w:val="20"/>
          <w:szCs w:val="20"/>
          <w:color w:val="auto"/>
        </w:rPr>
      </w:pPr>
      <w:r>
        <w:rPr>
          <w:rFonts w:ascii="Times New Roman" w:cs="Times New Roman" w:eastAsia="Times New Roman" w:hAnsi="Times New Roman"/>
          <w:sz w:val="20"/>
          <w:szCs w:val="20"/>
          <w:color w:val="auto"/>
        </w:rPr>
        <w:t>Date: February 28,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Luke A. Sarsfield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3488690</wp:posOffset>
                </wp:positionH>
                <wp:positionV relativeFrom="paragraph">
                  <wp:posOffset>18415</wp:posOffset>
                </wp:positionV>
                <wp:extent cx="291211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21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7pt,1.45pt" to="504pt,1.45pt" o:allowincell="f" strokecolor="#000000" strokeweight="1pt"/>
            </w:pict>
          </mc:Fallback>
        </mc:AlternateContent>
      </w:r>
    </w:p>
    <w:p>
      <w:pPr>
        <w:spacing w:after="0" w:line="16"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0"/>
          <w:szCs w:val="20"/>
          <w:b w:val="1"/>
          <w:bCs w:val="1"/>
          <w:color w:val="auto"/>
        </w:rPr>
        <w:t>Luke A. Sarsfield III</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b w:val="1"/>
          <w:bCs w:val="1"/>
          <w:color w:val="auto"/>
        </w:rPr>
        <w:t>Principal Executive Officer and Chairman of the Board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Luke A. Sarsfield III, Amanda Coussens, and Melodie Craft,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12"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Luke A. Sarsfield III</w:t>
            </w:r>
          </w:p>
        </w:tc>
      </w:tr>
      <w:tr>
        <w:trPr>
          <w:trHeight w:val="234"/>
        </w:trPr>
        <w:tc>
          <w:tcPr>
            <w:tcW w:w="3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Luke A. Sarsfield III</w:t>
            </w:r>
          </w:p>
        </w:tc>
      </w:tr>
      <w:tr>
        <w:trPr>
          <w:trHeight w:val="230"/>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Chief Executive Officer and Chairman of the Board</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Amanda Coussens</w:t>
            </w:r>
          </w:p>
        </w:tc>
      </w:tr>
      <w:tr>
        <w:trPr>
          <w:trHeight w:val="224"/>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Amanda Coussens</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Chief Financial Officer (Principal Financial Officer)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Andrew Corsi</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Andrew Corsi</w:t>
            </w:r>
          </w:p>
        </w:tc>
      </w:tr>
      <w:tr>
        <w:trPr>
          <w:trHeight w:val="230"/>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Chief Accounting Officer (Principal Accounting</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Officer)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Travis Barnes</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Travis Barnes</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Tracey Benford</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Tracey Benford</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bl>
    <w:p>
      <w:pPr>
        <w:spacing w:after="0" w:line="200" w:lineRule="exact"/>
        <w:rPr>
          <w:sz w:val="20"/>
          <w:szCs w:val="20"/>
          <w:color w:val="auto"/>
        </w:rPr>
      </w:pP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080"/>
          </w:cols>
          <w:pgMar w:left="1080" w:top="1056" w:right="1080" w:bottom="175"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4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Scott Gwilliam</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Scott Gwilliam</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M. McCoy</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David M. McCoy</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Edwin Poston</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Edwin Poston</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2025</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B. Stewart, Jr.</w:t>
            </w:r>
          </w:p>
        </w:tc>
      </w:tr>
      <w:tr>
        <w:trPr>
          <w:trHeight w:val="225"/>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Robert B. Stewart, Jr.</w:t>
            </w:r>
          </w:p>
        </w:tc>
      </w:tr>
      <w:tr>
        <w:trPr>
          <w:trHeight w:val="274"/>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bl>
    <w:p>
      <w:pPr>
        <w:spacing w:after="0" w:line="200" w:lineRule="exact"/>
        <w:rPr>
          <w:sz w:val="20"/>
          <w:szCs w:val="20"/>
          <w:color w:val="auto"/>
        </w:rPr>
      </w:pPr>
    </w:p>
    <w:p>
      <w:pPr>
        <w:sectPr>
          <w:pgSz w:w="12240" w:h="15840" w:orient="portrait"/>
          <w:cols w:equalWidth="0" w:num="1">
            <w:col w:w="10080"/>
          </w:cols>
          <w:pgMar w:left="1080" w:top="1318"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sectPr>
      <w:pgSz w:w="12240" w:h="15840" w:orient="portrait"/>
      <w:cols w:equalWidth="0" w:num="1">
        <w:col w:w="10080"/>
      </w:cols>
      <w:pgMar w:left="1080" w:top="1318" w:right="108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x"/>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Roman"/>
      <w:start w:val="3"/>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upperLetter"/>
      <w:start w:val="6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2025-04-28T15:42:31Z</dcterms:created>
  <dcterms:modified xsi:type="dcterms:W3CDTF">2025-04-28T15:42:31Z</dcterms:modified>
</cp:coreProperties>
</file>