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Jensen Richard J.</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60" w:type="dxa"/>
            <w:vAlign w:val="bottom"/>
            <w:tcBorders>
              <w:top w:val="single" w:sz="8" w:color="0000EE"/>
              <w:bottom w:val="single" w:sz="8" w:color="9A9A9A"/>
            </w:tcBorders>
          </w:tcPr>
          <w:p>
            <w:pPr>
              <w:spacing w:after="0"/>
              <w:rPr>
                <w:sz w:val="17"/>
                <w:szCs w:val="17"/>
                <w:color w:val="auto"/>
              </w:rPr>
            </w:pPr>
          </w:p>
        </w:tc>
        <w:tc>
          <w:tcPr>
            <w:tcW w:w="14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02/27/2024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P10,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820" w:type="dxa"/>
            <w:vAlign w:val="bottom"/>
          </w:tcPr>
          <w:p>
            <w:pPr>
              <w:ind w:left="12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17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P10, INC.</w:t>
            </w:r>
          </w:p>
        </w:tc>
        <w:tc>
          <w:tcPr>
            <w:tcW w:w="134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4514 COLE AVENUE, SUITE 1600</w:t>
            </w:r>
          </w:p>
        </w:tc>
      </w:tr>
      <w:tr>
        <w:trPr>
          <w:trHeight w:val="177"/>
        </w:trPr>
        <w:tc>
          <w:tcPr>
            <w:tcW w:w="9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303"/>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DALLAS</w:t>
            </w:r>
          </w:p>
        </w:tc>
        <w:tc>
          <w:tcPr>
            <w:tcW w:w="82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TX</w:t>
            </w:r>
          </w:p>
        </w:tc>
        <w:tc>
          <w:tcPr>
            <w:tcW w:w="134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75205</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tbl>
      <w:tblPr>
        <w:tblLayout w:type="fixed"/>
        <w:tblInd w:w="183"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263"/>
        <w:spacing w:after="0"/>
        <w:rPr>
          <w:sz w:val="20"/>
          <w:szCs w:val="20"/>
          <w:color w:val="auto"/>
        </w:rPr>
      </w:pPr>
      <w:r>
        <w:rPr>
          <w:rFonts w:ascii="Times New Roman" w:cs="Times New Roman" w:eastAsia="Times New Roman" w:hAnsi="Times New Roman"/>
          <w:sz w:val="20"/>
          <w:szCs w:val="20"/>
          <w:color w:val="0000FF"/>
        </w:rPr>
        <w:t>EVP, Head of Strategy and M&amp;A</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42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4"/>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4"/>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4"/>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92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/s/ Amanda Coussens,</w:t>
            </w: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720" w:type="dxa"/>
            <w:vAlign w:val="bottom"/>
            <w:tcBorders>
              <w:top w:val="single" w:sz="8" w:color="auto"/>
            </w:tcBorders>
            <w:gridSpan w:val="4"/>
          </w:tcPr>
          <w:p>
            <w:pPr>
              <w:spacing w:after="0" w:line="220" w:lineRule="exact"/>
              <w:rPr>
                <w:sz w:val="20"/>
                <w:szCs w:val="20"/>
                <w:color w:val="auto"/>
              </w:rPr>
            </w:pPr>
            <w:r>
              <w:rPr>
                <w:rFonts w:ascii="Times New Roman" w:cs="Times New Roman" w:eastAsia="Times New Roman" w:hAnsi="Times New Roman"/>
                <w:sz w:val="20"/>
                <w:szCs w:val="20"/>
                <w:color w:val="0000FF"/>
              </w:rPr>
              <w:t>Attorney-in-Fact for</w:t>
            </w:r>
          </w:p>
        </w:tc>
        <w:tc>
          <w:tcPr>
            <w:tcW w:w="200" w:type="dxa"/>
            <w:vAlign w:val="bottom"/>
          </w:tcPr>
          <w:p>
            <w:pPr>
              <w:spacing w:after="0"/>
              <w:rPr>
                <w:sz w:val="19"/>
                <w:szCs w:val="19"/>
                <w:color w:val="auto"/>
              </w:rPr>
            </w:pPr>
          </w:p>
        </w:tc>
        <w:tc>
          <w:tcPr>
            <w:tcW w:w="2440" w:type="dxa"/>
            <w:vAlign w:val="bottom"/>
            <w:gridSpan w:val="4"/>
          </w:tcPr>
          <w:p>
            <w:pPr>
              <w:jc w:val="right"/>
              <w:ind w:right="1280"/>
              <w:spacing w:after="0" w:line="220" w:lineRule="exact"/>
              <w:rPr>
                <w:sz w:val="20"/>
                <w:szCs w:val="20"/>
                <w:color w:val="auto"/>
              </w:rPr>
            </w:pPr>
            <w:r>
              <w:rPr>
                <w:rFonts w:ascii="Times New Roman" w:cs="Times New Roman" w:eastAsia="Times New Roman" w:hAnsi="Times New Roman"/>
                <w:sz w:val="20"/>
                <w:szCs w:val="20"/>
                <w:color w:val="0000FF"/>
              </w:rPr>
              <w:t>03/04/2024</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360" w:type="dxa"/>
            <w:vAlign w:val="bottom"/>
            <w:tcBorders>
              <w:top w:val="single" w:sz="8" w:color="auto"/>
              <w:bottom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w w:val="96"/>
              </w:rPr>
              <w:t>Richard J. Jensen</w:t>
            </w:r>
          </w:p>
        </w:tc>
        <w:tc>
          <w:tcPr>
            <w:tcW w:w="220" w:type="dxa"/>
            <w:vAlign w:val="bottom"/>
            <w:tcBorders>
              <w:top w:val="single" w:sz="8" w:color="auto"/>
            </w:tcBorders>
          </w:tcPr>
          <w:p>
            <w:pPr>
              <w:spacing w:after="0"/>
              <w:rPr>
                <w:sz w:val="19"/>
                <w:szCs w:val="19"/>
                <w:color w:val="auto"/>
              </w:rPr>
            </w:pPr>
          </w:p>
        </w:tc>
        <w:tc>
          <w:tcPr>
            <w:tcW w:w="34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POWER OF ATTORNEY</w:t>
      </w:r>
    </w:p>
    <w:p>
      <w:pPr>
        <w:spacing w:after="0" w:line="200" w:lineRule="exact"/>
        <w:rPr>
          <w:sz w:val="20"/>
          <w:szCs w:val="20"/>
          <w:color w:val="auto"/>
        </w:rPr>
      </w:pPr>
    </w:p>
    <w:p>
      <w:pPr>
        <w:spacing w:after="0" w:line="268" w:lineRule="exact"/>
        <w:rPr>
          <w:sz w:val="20"/>
          <w:szCs w:val="20"/>
          <w:color w:val="auto"/>
        </w:rPr>
      </w:pPr>
    </w:p>
    <w:p>
      <w:pPr>
        <w:ind w:right="20" w:firstLine="729"/>
        <w:spacing w:after="0" w:line="282"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Amanda Coussens, with full power of substitution, the undersigned’s true and lawful attorneys-in-fact to:</w:t>
      </w:r>
    </w:p>
    <w:p>
      <w:pPr>
        <w:spacing w:after="0" w:line="135" w:lineRule="exact"/>
        <w:rPr>
          <w:sz w:val="20"/>
          <w:szCs w:val="20"/>
          <w:color w:val="auto"/>
        </w:rPr>
      </w:pPr>
    </w:p>
    <w:p>
      <w:pPr>
        <w:jc w:val="both"/>
        <w:ind w:left="1460" w:hanging="731"/>
        <w:spacing w:after="0" w:line="261" w:lineRule="auto"/>
        <w:tabs>
          <w:tab w:leader="none" w:pos="14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accordance with Section 16(a) of the Securities Exchange Act of 1934, as amended, and the rules thereunder (the “Exchange Act”)), in the undersigned’s capacity as an officer and/or director of P10, Inc., a Delaware corporation (the “Company”), any and all Forms 3, 4 and/or 5, and any amendments thereto, that are necessary or advisable for the undersigned to file under Section 16(a) (collectively, “Documents”);</w:t>
      </w:r>
    </w:p>
    <w:p>
      <w:pPr>
        <w:spacing w:after="0" w:line="200" w:lineRule="exact"/>
        <w:rPr>
          <w:rFonts w:ascii="Times New Roman" w:cs="Times New Roman" w:eastAsia="Times New Roman" w:hAnsi="Times New Roman"/>
          <w:sz w:val="20"/>
          <w:szCs w:val="20"/>
          <w:color w:val="auto"/>
        </w:rPr>
      </w:pPr>
    </w:p>
    <w:p>
      <w:pPr>
        <w:jc w:val="both"/>
        <w:ind w:left="1460" w:hanging="731"/>
        <w:spacing w:after="0" w:line="266" w:lineRule="auto"/>
        <w:tabs>
          <w:tab w:leader="none" w:pos="14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complete and execute any such Documents and timely file such Documents with the United States Securities and Exchange Commission and any stock exchange or similar authority; and</w:t>
      </w:r>
    </w:p>
    <w:p>
      <w:pPr>
        <w:spacing w:after="0" w:line="195" w:lineRule="exact"/>
        <w:rPr>
          <w:rFonts w:ascii="Times New Roman" w:cs="Times New Roman" w:eastAsia="Times New Roman" w:hAnsi="Times New Roman"/>
          <w:sz w:val="20"/>
          <w:szCs w:val="20"/>
          <w:color w:val="auto"/>
        </w:rPr>
      </w:pPr>
    </w:p>
    <w:p>
      <w:pPr>
        <w:jc w:val="both"/>
        <w:ind w:left="1460" w:hanging="731"/>
        <w:spacing w:after="0" w:line="258" w:lineRule="auto"/>
        <w:tabs>
          <w:tab w:leader="none" w:pos="14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4" w:lineRule="exact"/>
        <w:rPr>
          <w:sz w:val="20"/>
          <w:szCs w:val="20"/>
          <w:color w:val="auto"/>
        </w:rPr>
      </w:pPr>
    </w:p>
    <w:p>
      <w:pPr>
        <w:jc w:val="both"/>
        <w:ind w:firstLine="729"/>
        <w:spacing w:after="0" w:line="253"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such attorney-in-fact’s substitute or substitutes) shall lawfully do or cause to be done by virtue of this power of attorney and the rights and powers herein granted. The undersigned agrees that each such attorney-in-fact may rely entirely on information furnished orally or in writing by the undersigned to each such attorney-in-fact. The undersigned acknowledges that each attorney-in-fact, in serving in such capacity at the request of the undersigned, is not assuming, nor is such attorney-in-fact’s substitute or substitutes or the Company assuming, any of the undersigned’s responsibilities to comply with the Exchange Act. The undersigned agrees to defend and hold harmless each attorney-in-fact (and such attorney-in-fact’s substitute or substitutes) from and against any and all loss, damage or liability that such attorney-in-fact may sustain as a result of any action taken in good faith hereunder.</w:t>
      </w:r>
    </w:p>
    <w:p>
      <w:pPr>
        <w:spacing w:after="0" w:line="169" w:lineRule="exact"/>
        <w:rPr>
          <w:sz w:val="20"/>
          <w:szCs w:val="20"/>
          <w:color w:val="auto"/>
        </w:rPr>
      </w:pPr>
    </w:p>
    <w:p>
      <w:pPr>
        <w:jc w:val="both"/>
        <w:ind w:firstLine="729"/>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Documents with respect to the undersigned’s holdings of and transactions in securities issued by the Company, unless earlier revoked by the undersigned in a signed writing delivered to each of the foregoing attorneys-in-fact.</w:t>
      </w:r>
    </w:p>
    <w:p>
      <w:pPr>
        <w:spacing w:after="0" w:line="15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March 4, 2024.</w:t>
      </w:r>
    </w:p>
    <w:p>
      <w:pPr>
        <w:spacing w:after="0" w:line="200" w:lineRule="exact"/>
        <w:rPr>
          <w:sz w:val="20"/>
          <w:szCs w:val="20"/>
          <w:color w:val="auto"/>
        </w:rPr>
      </w:pPr>
    </w:p>
    <w:p>
      <w:pPr>
        <w:spacing w:after="0" w:line="275"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20"/>
          <w:szCs w:val="20"/>
          <w:color w:val="auto"/>
        </w:rPr>
        <w:t>/s/ Richard J.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3964305</wp:posOffset>
            </wp:positionH>
            <wp:positionV relativeFrom="paragraph">
              <wp:posOffset>28575</wp:posOffset>
            </wp:positionV>
            <wp:extent cx="298259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982595" cy="9525"/>
                    </a:xfrm>
                    <a:prstGeom prst="rect">
                      <a:avLst/>
                    </a:prstGeom>
                    <a:noFill/>
                  </pic:spPr>
                </pic:pic>
              </a:graphicData>
            </a:graphic>
          </wp:anchor>
        </w:drawing>
      </w:r>
    </w:p>
    <w:p>
      <w:pPr>
        <w:spacing w:after="0" w:line="35"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20"/>
          <w:szCs w:val="20"/>
          <w:color w:val="auto"/>
        </w:rPr>
        <w:t>Richard J.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911860</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8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428252" TargetMode="External"/><Relationship Id="rId11"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2024-03-04T20:02:36Z</dcterms:created>
  <dcterms:modified xsi:type="dcterms:W3CDTF">2024-03-04T20:02:36Z</dcterms:modified>
</cp:coreProperties>
</file>