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_ )*</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00504W100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October 29, 2007</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779" w:hanging="5"/>
        <w:spacing w:after="0" w:line="536" w:lineRule="auto"/>
        <w:tabs>
          <w:tab w:leader="none" w:pos="106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00504W100</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700" w:right="1879" w:hanging="533"/>
        <w:spacing w:after="0" w:line="235" w:lineRule="auto"/>
        <w:tabs>
          <w:tab w:leader="none" w:pos="17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Impax Asset Management Ltd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700" w:right="2939" w:hanging="533"/>
        <w:spacing w:after="0" w:line="235" w:lineRule="auto"/>
        <w:tabs>
          <w:tab w:leader="none" w:pos="17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5" w:lineRule="exact"/>
        <w:rPr>
          <w:rFonts w:ascii="Courier New" w:cs="Courier New" w:eastAsia="Courier New" w:hAnsi="Courier New"/>
          <w:sz w:val="18"/>
          <w:szCs w:val="18"/>
          <w:color w:val="auto"/>
        </w:rPr>
      </w:pPr>
    </w:p>
    <w:p>
      <w:pPr>
        <w:spacing w:after="0"/>
        <w:tabs>
          <w:tab w:leader="none" w:pos="0" w:val="left"/>
        </w:tabs>
        <w:numPr>
          <w:ilvl w:val="2"/>
          <w:numId w:val="3"/>
        </w:numPr>
        <w:rPr>
          <w:rFonts w:ascii="Courier New" w:cs="Courier New" w:eastAsia="Courier New" w:hAnsi="Courier New"/>
          <w:sz w:val="18"/>
          <w:szCs w:val="18"/>
          <w:color w:val="auto"/>
        </w:rPr>
      </w:pPr>
    </w:p>
    <w:p>
      <w:pPr>
        <w:ind w:left="2120" w:hanging="427"/>
        <w:spacing w:after="0" w:line="238" w:lineRule="auto"/>
        <w:tabs>
          <w:tab w:leader="none" w:pos="212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700" w:hanging="533"/>
        <w:spacing w:after="0"/>
        <w:tabs>
          <w:tab w:leader="none" w:pos="17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  _______________________________________________</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700" w:right="4739" w:hanging="533"/>
        <w:spacing w:after="0" w:line="235" w:lineRule="auto"/>
        <w:tabs>
          <w:tab w:leader="none" w:pos="17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Kingdom</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860" w:hanging="534"/>
        <w:spacing w:after="0"/>
        <w:tabs>
          <w:tab w:leader="none" w:pos="2860" w:val="left"/>
        </w:tabs>
        <w:numPr>
          <w:ilvl w:val="3"/>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3,678,069.00</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32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74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______-0-______</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74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63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12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Sole Dispositive Power 3,678,069.00</w:t>
            </w:r>
          </w:p>
        </w:tc>
      </w:tr>
      <w:tr>
        <w:trPr>
          <w:trHeight w:val="405"/>
        </w:trPr>
        <w:tc>
          <w:tcPr>
            <w:tcW w:w="2120" w:type="dxa"/>
            <w:vAlign w:val="bottom"/>
          </w:tcPr>
          <w:p>
            <w:pPr>
              <w:spacing w:after="0"/>
              <w:rPr>
                <w:sz w:val="24"/>
                <w:szCs w:val="24"/>
                <w:color w:val="auto"/>
              </w:rPr>
            </w:pPr>
          </w:p>
        </w:tc>
        <w:tc>
          <w:tcPr>
            <w:tcW w:w="632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405"/>
        </w:trPr>
        <w:tc>
          <w:tcPr>
            <w:tcW w:w="212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8.</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Shared Dispositive Power   ______-0-______</w:t>
            </w:r>
          </w:p>
        </w:tc>
      </w:tr>
    </w:tbl>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700" w:right="2099" w:hanging="533"/>
        <w:spacing w:after="0" w:line="235"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3,678,069.00</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1700" w:right="1779" w:hanging="533"/>
        <w:spacing w:after="0" w:line="235"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N/A</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32" w:gutter="0" w:footer="0" w:header="0"/>
        </w:sectPr>
      </w:pPr>
    </w:p>
    <w:p>
      <w:pPr>
        <w:spacing w:after="0" w:line="218" w:lineRule="exact"/>
        <w:rPr>
          <w:sz w:val="20"/>
          <w:szCs w:val="20"/>
          <w:color w:val="auto"/>
        </w:rPr>
      </w:pPr>
    </w:p>
    <w:p>
      <w:pPr>
        <w:ind w:left="1160"/>
        <w:spacing w:after="0"/>
        <w:tabs>
          <w:tab w:leader="none" w:pos="168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6.093%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6980" w:space="720"/>
            <w:col w:w="2519"/>
          </w:cols>
          <w:pgMar w:left="240" w:top="136" w:right="1440" w:bottom="132" w:gutter="0" w:footer="0" w:header="0"/>
          <w:type w:val="continuous"/>
        </w:sectPr>
      </w:pPr>
    </w:p>
    <w:p>
      <w:pPr>
        <w:spacing w:after="0" w:line="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700" w:right="3999" w:hanging="533"/>
        <w:spacing w:after="0" w:line="235" w:lineRule="auto"/>
        <w:tabs>
          <w:tab w:leader="none" w:pos="17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Active Power, Inc.</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2128 West Braker Lane</w:t>
      </w:r>
    </w:p>
    <w:p>
      <w:pPr>
        <w:ind w:left="2320"/>
        <w:spacing w:after="0" w:line="238" w:lineRule="auto"/>
        <w:rPr>
          <w:sz w:val="20"/>
          <w:szCs w:val="20"/>
          <w:color w:val="auto"/>
        </w:rPr>
      </w:pPr>
      <w:r>
        <w:rPr>
          <w:rFonts w:ascii="Courier New" w:cs="Courier New" w:eastAsia="Courier New" w:hAnsi="Courier New"/>
          <w:sz w:val="18"/>
          <w:szCs w:val="18"/>
          <w:color w:val="auto"/>
        </w:rPr>
        <w:t>BK12</w:t>
      </w:r>
    </w:p>
    <w:p>
      <w:pPr>
        <w:ind w:left="2320"/>
        <w:spacing w:after="0"/>
        <w:rPr>
          <w:sz w:val="20"/>
          <w:szCs w:val="20"/>
          <w:color w:val="auto"/>
        </w:rPr>
      </w:pPr>
      <w:r>
        <w:rPr>
          <w:rFonts w:ascii="Courier New" w:cs="Courier New" w:eastAsia="Courier New" w:hAnsi="Courier New"/>
          <w:sz w:val="18"/>
          <w:szCs w:val="18"/>
          <w:color w:val="auto"/>
        </w:rPr>
        <w:t>Austin, TX 78758</w:t>
      </w:r>
    </w:p>
    <w:p>
      <w:pPr>
        <w:ind w:left="2320"/>
        <w:spacing w:after="0" w:line="237"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Impax Asset Management Ltd.</w:t>
      </w:r>
    </w:p>
    <w:p>
      <w:pPr>
        <w:spacing w:after="0" w:line="200" w:lineRule="exact"/>
        <w:rPr>
          <w:sz w:val="20"/>
          <w:szCs w:val="20"/>
          <w:color w:val="auto"/>
        </w:rPr>
      </w:pPr>
    </w:p>
    <w:p>
      <w:pPr>
        <w:spacing w:after="0" w:line="204"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2000"/>
        <w:spacing w:after="0" w:line="238" w:lineRule="auto"/>
        <w:rPr>
          <w:sz w:val="20"/>
          <w:szCs w:val="20"/>
          <w:color w:val="auto"/>
        </w:rPr>
      </w:pPr>
      <w:r>
        <w:rPr>
          <w:rFonts w:ascii="Courier New" w:cs="Courier New" w:eastAsia="Courier New" w:hAnsi="Courier New"/>
          <w:sz w:val="18"/>
          <w:szCs w:val="18"/>
          <w:color w:val="auto"/>
        </w:rPr>
        <w:t>Broughton House, 6 - 8 Sackville Street</w:t>
      </w:r>
    </w:p>
    <w:p>
      <w:pPr>
        <w:ind w:left="2000"/>
        <w:spacing w:after="0"/>
        <w:rPr>
          <w:sz w:val="20"/>
          <w:szCs w:val="20"/>
          <w:color w:val="auto"/>
        </w:rPr>
      </w:pPr>
      <w:r>
        <w:rPr>
          <w:rFonts w:ascii="Courier New" w:cs="Courier New" w:eastAsia="Courier New" w:hAnsi="Courier New"/>
          <w:sz w:val="18"/>
          <w:szCs w:val="18"/>
          <w:color w:val="auto"/>
        </w:rPr>
        <w:t>London W1S 3DG</w:t>
      </w:r>
    </w:p>
    <w:p>
      <w:pPr>
        <w:ind w:left="2000"/>
        <w:spacing w:after="0" w:line="237" w:lineRule="auto"/>
        <w:rPr>
          <w:sz w:val="20"/>
          <w:szCs w:val="20"/>
          <w:color w:val="auto"/>
        </w:rPr>
      </w:pPr>
      <w:r>
        <w:rPr>
          <w:rFonts w:ascii="Courier New" w:cs="Courier New" w:eastAsia="Courier New" w:hAnsi="Courier New"/>
          <w:sz w:val="18"/>
          <w:szCs w:val="18"/>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2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Citizenship:</w:t>
            </w:r>
          </w:p>
        </w:tc>
        <w:tc>
          <w:tcPr>
            <w:tcW w:w="4480" w:type="dxa"/>
            <w:vAlign w:val="bottom"/>
          </w:tcPr>
          <w:p>
            <w:pPr>
              <w:spacing w:after="0"/>
              <w:rPr>
                <w:sz w:val="17"/>
                <w:szCs w:val="17"/>
                <w:color w:val="auto"/>
              </w:rPr>
            </w:pPr>
          </w:p>
        </w:tc>
      </w:tr>
      <w:tr>
        <w:trPr>
          <w:trHeight w:val="405"/>
        </w:trPr>
        <w:tc>
          <w:tcPr>
            <w:tcW w:w="1480" w:type="dxa"/>
            <w:vAlign w:val="bottom"/>
          </w:tcPr>
          <w:p>
            <w:pPr>
              <w:spacing w:after="0"/>
              <w:rPr>
                <w:sz w:val="24"/>
                <w:szCs w:val="24"/>
                <w:color w:val="auto"/>
              </w:rPr>
            </w:pP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United</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Kingdom</w:t>
            </w:r>
          </w:p>
        </w:tc>
        <w:tc>
          <w:tcPr>
            <w:tcW w:w="4480" w:type="dxa"/>
            <w:vAlign w:val="bottom"/>
          </w:tcPr>
          <w:p>
            <w:pPr>
              <w:spacing w:after="0"/>
              <w:rPr>
                <w:sz w:val="24"/>
                <w:szCs w:val="24"/>
                <w:color w:val="auto"/>
              </w:rPr>
            </w:pP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2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Title of Class</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405"/>
        </w:trPr>
        <w:tc>
          <w:tcPr>
            <w:tcW w:w="1480" w:type="dxa"/>
            <w:vAlign w:val="bottom"/>
          </w:tcPr>
          <w:p>
            <w:pPr>
              <w:spacing w:after="0"/>
              <w:rPr>
                <w:sz w:val="24"/>
                <w:szCs w:val="24"/>
                <w:color w:val="auto"/>
              </w:rPr>
            </w:pP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Common</w:t>
            </w:r>
          </w:p>
        </w:tc>
        <w:tc>
          <w:tcPr>
            <w:tcW w:w="53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Stock, $.001 par value per share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2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CUSIP Number:</w:t>
            </w:r>
          </w:p>
        </w:tc>
        <w:tc>
          <w:tcPr>
            <w:tcW w:w="448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2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00504W100</w:t>
            </w:r>
          </w:p>
        </w:tc>
        <w:tc>
          <w:tcPr>
            <w:tcW w:w="448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654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w:t>
            </w:r>
          </w:p>
        </w:tc>
      </w:tr>
      <w:tr>
        <w:trPr>
          <w:trHeight w:val="203"/>
        </w:trPr>
        <w:tc>
          <w:tcPr>
            <w:tcW w:w="1480" w:type="dxa"/>
            <w:vAlign w:val="bottom"/>
          </w:tcPr>
          <w:p>
            <w:pPr>
              <w:spacing w:after="0"/>
              <w:rPr>
                <w:sz w:val="17"/>
                <w:szCs w:val="17"/>
                <w:color w:val="auto"/>
              </w:rPr>
            </w:pPr>
          </w:p>
        </w:tc>
        <w:tc>
          <w:tcPr>
            <w:tcW w:w="2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or 13d-2(b) or</w:t>
            </w:r>
          </w:p>
        </w:tc>
        <w:tc>
          <w:tcPr>
            <w:tcW w:w="4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 check whether the person filing is a:</w:t>
            </w:r>
          </w:p>
        </w:tc>
      </w:tr>
      <w:tr>
        <w:trPr>
          <w:trHeight w:val="405"/>
        </w:trPr>
        <w:tc>
          <w:tcPr>
            <w:tcW w:w="1480" w:type="dxa"/>
            <w:vAlign w:val="bottom"/>
          </w:tcPr>
          <w:p>
            <w:pPr>
              <w:spacing w:after="0"/>
              <w:rPr>
                <w:sz w:val="24"/>
                <w:szCs w:val="24"/>
                <w:color w:val="auto"/>
              </w:rPr>
            </w:pPr>
          </w:p>
        </w:tc>
        <w:tc>
          <w:tcPr>
            <w:tcW w:w="1220" w:type="dxa"/>
            <w:vAlign w:val="bottom"/>
          </w:tcPr>
          <w:p>
            <w:pPr>
              <w:ind w:left="520"/>
              <w:spacing w:after="0"/>
              <w:rPr>
                <w:sz w:val="20"/>
                <w:szCs w:val="20"/>
                <w:color w:val="auto"/>
              </w:rPr>
            </w:pPr>
            <w:r>
              <w:rPr>
                <w:rFonts w:ascii="Courier New" w:cs="Courier New" w:eastAsia="Courier New" w:hAnsi="Courier New"/>
                <w:sz w:val="18"/>
                <w:szCs w:val="18"/>
                <w:color w:val="auto"/>
              </w:rPr>
              <w:t>a. [ ]</w:t>
            </w:r>
          </w:p>
        </w:tc>
        <w:tc>
          <w:tcPr>
            <w:tcW w:w="53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Broker or dealer registered under</w:t>
            </w:r>
          </w:p>
        </w:tc>
      </w:tr>
      <w:tr>
        <w:trPr>
          <w:trHeight w:val="203"/>
        </w:trPr>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Section</w:t>
            </w:r>
          </w:p>
        </w:tc>
        <w:tc>
          <w:tcPr>
            <w:tcW w:w="4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 of the Act.</w:t>
            </w:r>
          </w:p>
        </w:tc>
      </w:tr>
    </w:tbl>
    <w:p>
      <w:pPr>
        <w:sectPr>
          <w:pgSz w:w="11900" w:h="16838" w:orient="portrait"/>
          <w:cols w:equalWidth="0" w:num="1">
            <w:col w:w="10219"/>
          </w:cols>
          <w:pgMar w:left="240" w:top="136" w:right="1440" w:bottom="132"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8"/>
                <w:szCs w:val="18"/>
                <w:color w:val="auto"/>
              </w:rPr>
              <w:t>b. [ ]</w:t>
            </w:r>
          </w:p>
        </w:tc>
        <w:tc>
          <w:tcPr>
            <w:tcW w:w="5600" w:type="dxa"/>
            <w:vAlign w:val="bottom"/>
          </w:tcPr>
          <w:p>
            <w:pPr>
              <w:spacing w:after="0"/>
              <w:rPr>
                <w:sz w:val="20"/>
                <w:szCs w:val="20"/>
                <w:color w:val="auto"/>
              </w:rPr>
            </w:pPr>
            <w:r>
              <w:rPr>
                <w:rFonts w:ascii="Courier New" w:cs="Courier New" w:eastAsia="Courier New" w:hAnsi="Courier New"/>
                <w:sz w:val="18"/>
                <w:szCs w:val="18"/>
                <w:color w:val="auto"/>
              </w:rPr>
              <w:t>Bank as defined in Section 3(a)(6) of the Act.</w:t>
            </w:r>
          </w:p>
        </w:tc>
      </w:tr>
      <w:tr>
        <w:trPr>
          <w:trHeight w:val="608"/>
        </w:trPr>
        <w:tc>
          <w:tcPr>
            <w:tcW w:w="1320" w:type="dxa"/>
            <w:vAlign w:val="bottom"/>
          </w:tcPr>
          <w:p>
            <w:pPr>
              <w:spacing w:after="0"/>
              <w:rPr>
                <w:sz w:val="24"/>
                <w:szCs w:val="24"/>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8"/>
                <w:szCs w:val="18"/>
                <w:color w:val="auto"/>
              </w:rPr>
              <w:t>c. [ ]</w:t>
            </w:r>
          </w:p>
        </w:tc>
        <w:tc>
          <w:tcPr>
            <w:tcW w:w="5600" w:type="dxa"/>
            <w:vAlign w:val="bottom"/>
          </w:tcPr>
          <w:p>
            <w:pPr>
              <w:spacing w:after="0"/>
              <w:rPr>
                <w:sz w:val="20"/>
                <w:szCs w:val="20"/>
                <w:color w:val="auto"/>
              </w:rPr>
            </w:pPr>
            <w:r>
              <w:rPr>
                <w:rFonts w:ascii="Courier New" w:cs="Courier New" w:eastAsia="Courier New" w:hAnsi="Courier New"/>
                <w:sz w:val="18"/>
                <w:szCs w:val="18"/>
                <w:color w:val="auto"/>
              </w:rPr>
              <w:t>Insurance company as defined in Section 3(a)(19)</w:t>
            </w:r>
          </w:p>
        </w:tc>
      </w:tr>
      <w:tr>
        <w:trPr>
          <w:trHeight w:val="203"/>
        </w:trPr>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Act.</w:t>
            </w:r>
          </w:p>
        </w:tc>
      </w:tr>
      <w:tr>
        <w:trPr>
          <w:trHeight w:val="608"/>
        </w:trPr>
        <w:tc>
          <w:tcPr>
            <w:tcW w:w="1320" w:type="dxa"/>
            <w:vAlign w:val="bottom"/>
          </w:tcPr>
          <w:p>
            <w:pPr>
              <w:spacing w:after="0"/>
              <w:rPr>
                <w:sz w:val="24"/>
                <w:szCs w:val="24"/>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8"/>
                <w:szCs w:val="18"/>
                <w:color w:val="auto"/>
              </w:rPr>
              <w:t>d. [ ]</w:t>
            </w:r>
          </w:p>
        </w:tc>
        <w:tc>
          <w:tcPr>
            <w:tcW w:w="5600" w:type="dxa"/>
            <w:vAlign w:val="bottom"/>
          </w:tcPr>
          <w:p>
            <w:pPr>
              <w:spacing w:after="0"/>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608"/>
        </w:trPr>
        <w:tc>
          <w:tcPr>
            <w:tcW w:w="1320" w:type="dxa"/>
            <w:vAlign w:val="bottom"/>
          </w:tcPr>
          <w:p>
            <w:pPr>
              <w:spacing w:after="0"/>
              <w:rPr>
                <w:sz w:val="24"/>
                <w:szCs w:val="24"/>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8"/>
                <w:szCs w:val="18"/>
                <w:color w:val="auto"/>
              </w:rPr>
              <w:t>e. [x]</w:t>
            </w:r>
          </w:p>
        </w:tc>
        <w:tc>
          <w:tcPr>
            <w:tcW w:w="5600" w:type="dxa"/>
            <w:vAlign w:val="bottom"/>
          </w:tcPr>
          <w:p>
            <w:pPr>
              <w:spacing w:after="0"/>
              <w:rPr>
                <w:sz w:val="20"/>
                <w:szCs w:val="20"/>
                <w:color w:val="auto"/>
              </w:rPr>
            </w:pPr>
            <w:r>
              <w:rPr>
                <w:rFonts w:ascii="Courier New" w:cs="Courier New" w:eastAsia="Courier New" w:hAnsi="Courier New"/>
                <w:sz w:val="18"/>
                <w:szCs w:val="18"/>
                <w:color w:val="auto"/>
              </w:rPr>
              <w:t>An investment adviser in accordance with Rule</w:t>
            </w:r>
          </w:p>
        </w:tc>
      </w:tr>
      <w:tr>
        <w:trPr>
          <w:trHeight w:val="203"/>
        </w:trPr>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13d-1(b)(1)(ii)(E);</w:t>
            </w:r>
          </w:p>
        </w:tc>
      </w:tr>
      <w:tr>
        <w:trPr>
          <w:trHeight w:val="608"/>
        </w:trPr>
        <w:tc>
          <w:tcPr>
            <w:tcW w:w="1320" w:type="dxa"/>
            <w:vAlign w:val="bottom"/>
          </w:tcPr>
          <w:p>
            <w:pPr>
              <w:spacing w:after="0"/>
              <w:rPr>
                <w:sz w:val="24"/>
                <w:szCs w:val="24"/>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8"/>
                <w:szCs w:val="18"/>
                <w:color w:val="auto"/>
              </w:rPr>
              <w:t>f. [ ]</w:t>
            </w:r>
          </w:p>
        </w:tc>
        <w:tc>
          <w:tcPr>
            <w:tcW w:w="5600" w:type="dxa"/>
            <w:vAlign w:val="bottom"/>
          </w:tcPr>
          <w:p>
            <w:pPr>
              <w:spacing w:after="0"/>
              <w:rPr>
                <w:sz w:val="20"/>
                <w:szCs w:val="20"/>
                <w:color w:val="auto"/>
              </w:rPr>
            </w:pPr>
            <w:r>
              <w:rPr>
                <w:rFonts w:ascii="Courier New" w:cs="Courier New" w:eastAsia="Courier New" w:hAnsi="Courier New"/>
                <w:sz w:val="18"/>
                <w:szCs w:val="18"/>
                <w:color w:val="auto"/>
              </w:rPr>
              <w:t>An employee benefit plan or endowment fund in</w:t>
            </w:r>
          </w:p>
        </w:tc>
      </w:tr>
      <w:tr>
        <w:trPr>
          <w:trHeight w:val="203"/>
        </w:trPr>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accordance with Rule 13d-1(b)(1)(ii)(F);</w:t>
            </w:r>
          </w:p>
        </w:tc>
      </w:tr>
      <w:tr>
        <w:trPr>
          <w:trHeight w:val="608"/>
        </w:trPr>
        <w:tc>
          <w:tcPr>
            <w:tcW w:w="1320" w:type="dxa"/>
            <w:vAlign w:val="bottom"/>
          </w:tcPr>
          <w:p>
            <w:pPr>
              <w:spacing w:after="0"/>
              <w:rPr>
                <w:sz w:val="24"/>
                <w:szCs w:val="24"/>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8"/>
                <w:szCs w:val="18"/>
                <w:color w:val="auto"/>
              </w:rPr>
              <w:t>g. [ ]</w:t>
            </w:r>
          </w:p>
        </w:tc>
        <w:tc>
          <w:tcPr>
            <w:tcW w:w="5600" w:type="dxa"/>
            <w:vAlign w:val="bottom"/>
          </w:tcPr>
          <w:p>
            <w:pPr>
              <w:spacing w:after="0"/>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accordance with Rule 13d-1(b)(1)(ii)(G);</w:t>
            </w:r>
          </w:p>
        </w:tc>
      </w:tr>
      <w:tr>
        <w:trPr>
          <w:trHeight w:val="608"/>
        </w:trPr>
        <w:tc>
          <w:tcPr>
            <w:tcW w:w="1320" w:type="dxa"/>
            <w:vAlign w:val="bottom"/>
          </w:tcPr>
          <w:p>
            <w:pPr>
              <w:spacing w:after="0"/>
              <w:rPr>
                <w:sz w:val="24"/>
                <w:szCs w:val="24"/>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8"/>
                <w:szCs w:val="18"/>
                <w:color w:val="auto"/>
              </w:rPr>
              <w:t>h. [ ]</w:t>
            </w:r>
          </w:p>
        </w:tc>
        <w:tc>
          <w:tcPr>
            <w:tcW w:w="5600" w:type="dxa"/>
            <w:vAlign w:val="bottom"/>
          </w:tcPr>
          <w:p>
            <w:pPr>
              <w:spacing w:after="0"/>
              <w:rPr>
                <w:sz w:val="20"/>
                <w:szCs w:val="20"/>
                <w:color w:val="auto"/>
              </w:rPr>
            </w:pPr>
            <w:r>
              <w:rPr>
                <w:rFonts w:ascii="Courier New" w:cs="Courier New" w:eastAsia="Courier New" w:hAnsi="Courier New"/>
                <w:sz w:val="18"/>
                <w:szCs w:val="18"/>
                <w:color w:val="auto"/>
                <w:w w:val="99"/>
              </w:rPr>
              <w:t>A savings associations as defined in Section 3(b) of</w:t>
            </w:r>
          </w:p>
        </w:tc>
      </w:tr>
      <w:tr>
        <w:trPr>
          <w:trHeight w:val="203"/>
        </w:trPr>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Federal Deposit Insurance Act (12 U.S.C. 1813);</w:t>
            </w:r>
          </w:p>
        </w:tc>
      </w:tr>
      <w:tr>
        <w:trPr>
          <w:trHeight w:val="608"/>
        </w:trPr>
        <w:tc>
          <w:tcPr>
            <w:tcW w:w="1320" w:type="dxa"/>
            <w:vAlign w:val="bottom"/>
          </w:tcPr>
          <w:p>
            <w:pPr>
              <w:spacing w:after="0"/>
              <w:rPr>
                <w:sz w:val="24"/>
                <w:szCs w:val="24"/>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8"/>
                <w:szCs w:val="18"/>
                <w:color w:val="auto"/>
              </w:rPr>
              <w:t>i. [ ]</w:t>
            </w:r>
          </w:p>
        </w:tc>
        <w:tc>
          <w:tcPr>
            <w:tcW w:w="5600" w:type="dxa"/>
            <w:vAlign w:val="bottom"/>
          </w:tcPr>
          <w:p>
            <w:pPr>
              <w:spacing w:after="0"/>
              <w:rPr>
                <w:sz w:val="20"/>
                <w:szCs w:val="20"/>
                <w:color w:val="auto"/>
              </w:rPr>
            </w:pPr>
            <w:r>
              <w:rPr>
                <w:rFonts w:ascii="Courier New" w:cs="Courier New" w:eastAsia="Courier New" w:hAnsi="Courier New"/>
                <w:sz w:val="18"/>
                <w:szCs w:val="18"/>
                <w:color w:val="auto"/>
              </w:rPr>
              <w:t>A church plan that is excluded from the definition</w:t>
            </w:r>
          </w:p>
        </w:tc>
      </w:tr>
      <w:tr>
        <w:trPr>
          <w:trHeight w:val="203"/>
        </w:trPr>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of an investment company under section 3(c)(14) of</w:t>
            </w:r>
          </w:p>
        </w:tc>
      </w:tr>
      <w:tr>
        <w:trPr>
          <w:trHeight w:val="203"/>
        </w:trPr>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608"/>
        </w:trPr>
        <w:tc>
          <w:tcPr>
            <w:tcW w:w="1320" w:type="dxa"/>
            <w:vAlign w:val="bottom"/>
          </w:tcPr>
          <w:p>
            <w:pPr>
              <w:spacing w:after="0"/>
              <w:rPr>
                <w:sz w:val="24"/>
                <w:szCs w:val="24"/>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8"/>
                <w:szCs w:val="18"/>
                <w:color w:val="auto"/>
              </w:rPr>
              <w:t>j. [ ]</w:t>
            </w:r>
          </w:p>
        </w:tc>
        <w:tc>
          <w:tcPr>
            <w:tcW w:w="5600" w:type="dxa"/>
            <w:vAlign w:val="bottom"/>
          </w:tcPr>
          <w:p>
            <w:pPr>
              <w:spacing w:after="0"/>
              <w:rPr>
                <w:sz w:val="20"/>
                <w:szCs w:val="20"/>
                <w:color w:val="auto"/>
              </w:rPr>
            </w:pPr>
            <w:r>
              <w:rPr>
                <w:rFonts w:ascii="Courier New" w:cs="Courier New" w:eastAsia="Courier New" w:hAnsi="Courier New"/>
                <w:sz w:val="18"/>
                <w:szCs w:val="18"/>
                <w:color w:val="auto"/>
              </w:rPr>
              <w:t>Group, in accordance with Rule 13d-1(b)(1)(ii)(J).</w:t>
            </w:r>
          </w:p>
        </w:tc>
      </w:tr>
      <w:tr>
        <w:trPr>
          <w:trHeight w:val="810"/>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702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Ownership:</w:t>
            </w:r>
          </w:p>
        </w:tc>
      </w:tr>
      <w:tr>
        <w:trPr>
          <w:trHeight w:val="608"/>
        </w:trPr>
        <w:tc>
          <w:tcPr>
            <w:tcW w:w="1320" w:type="dxa"/>
            <w:vAlign w:val="bottom"/>
          </w:tcPr>
          <w:p>
            <w:pPr>
              <w:spacing w:after="0"/>
              <w:rPr>
                <w:sz w:val="24"/>
                <w:szCs w:val="24"/>
                <w:color w:val="auto"/>
              </w:rPr>
            </w:pPr>
          </w:p>
        </w:tc>
        <w:tc>
          <w:tcPr>
            <w:tcW w:w="702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Aggregate number and percentage of the class of securities</w:t>
            </w:r>
          </w:p>
        </w:tc>
      </w:tr>
      <w:tr>
        <w:trPr>
          <w:trHeight w:val="203"/>
        </w:trPr>
        <w:tc>
          <w:tcPr>
            <w:tcW w:w="1320" w:type="dxa"/>
            <w:vAlign w:val="bottom"/>
          </w:tcPr>
          <w:p>
            <w:pPr>
              <w:spacing w:after="0"/>
              <w:rPr>
                <w:sz w:val="17"/>
                <w:szCs w:val="17"/>
                <w:color w:val="auto"/>
              </w:rPr>
            </w:pPr>
          </w:p>
        </w:tc>
        <w:tc>
          <w:tcPr>
            <w:tcW w:w="14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of the</w:t>
            </w: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issuer identified in Item 1.</w:t>
            </w:r>
          </w:p>
        </w:tc>
      </w:tr>
      <w:tr>
        <w:trPr>
          <w:trHeight w:val="405"/>
        </w:trPr>
        <w:tc>
          <w:tcPr>
            <w:tcW w:w="1320" w:type="dxa"/>
            <w:vAlign w:val="bottom"/>
          </w:tcPr>
          <w:p>
            <w:pPr>
              <w:spacing w:after="0"/>
              <w:rPr>
                <w:sz w:val="24"/>
                <w:szCs w:val="24"/>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8"/>
                <w:szCs w:val="18"/>
                <w:color w:val="auto"/>
              </w:rPr>
              <w:t>Amount</w:t>
            </w:r>
          </w:p>
        </w:tc>
        <w:tc>
          <w:tcPr>
            <w:tcW w:w="5600" w:type="dxa"/>
            <w:vAlign w:val="bottom"/>
          </w:tcPr>
          <w:p>
            <w:pPr>
              <w:spacing w:after="0"/>
              <w:rPr>
                <w:sz w:val="20"/>
                <w:szCs w:val="20"/>
                <w:color w:val="auto"/>
              </w:rPr>
            </w:pPr>
            <w:r>
              <w:rPr>
                <w:rFonts w:ascii="Courier New" w:cs="Courier New" w:eastAsia="Courier New" w:hAnsi="Courier New"/>
                <w:sz w:val="18"/>
                <w:szCs w:val="18"/>
                <w:color w:val="auto"/>
              </w:rPr>
              <w:t>beneficially owned:   3,678,069.00</w:t>
            </w:r>
          </w:p>
        </w:tc>
      </w:tr>
      <w:tr>
        <w:trPr>
          <w:trHeight w:val="608"/>
        </w:trPr>
        <w:tc>
          <w:tcPr>
            <w:tcW w:w="1320" w:type="dxa"/>
            <w:vAlign w:val="bottom"/>
          </w:tcPr>
          <w:p>
            <w:pPr>
              <w:spacing w:after="0"/>
              <w:rPr>
                <w:sz w:val="24"/>
                <w:szCs w:val="24"/>
                <w:color w:val="auto"/>
              </w:rPr>
            </w:pPr>
          </w:p>
        </w:tc>
        <w:tc>
          <w:tcPr>
            <w:tcW w:w="702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Percent of class  6.093%</w:t>
            </w:r>
          </w:p>
        </w:tc>
      </w:tr>
      <w:tr>
        <w:trPr>
          <w:trHeight w:val="608"/>
        </w:trPr>
        <w:tc>
          <w:tcPr>
            <w:tcW w:w="1320" w:type="dxa"/>
            <w:vAlign w:val="bottom"/>
          </w:tcPr>
          <w:p>
            <w:pPr>
              <w:spacing w:after="0"/>
              <w:rPr>
                <w:sz w:val="24"/>
                <w:szCs w:val="24"/>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8"/>
                <w:szCs w:val="18"/>
                <w:color w:val="auto"/>
              </w:rPr>
              <w:t>Number</w:t>
            </w:r>
          </w:p>
        </w:tc>
        <w:tc>
          <w:tcPr>
            <w:tcW w:w="5600" w:type="dxa"/>
            <w:vAlign w:val="bottom"/>
          </w:tcPr>
          <w:p>
            <w:pPr>
              <w:spacing w:after="0"/>
              <w:rPr>
                <w:sz w:val="20"/>
                <w:szCs w:val="20"/>
                <w:color w:val="auto"/>
              </w:rPr>
            </w:pPr>
            <w:r>
              <w:rPr>
                <w:rFonts w:ascii="Courier New" w:cs="Courier New" w:eastAsia="Courier New" w:hAnsi="Courier New"/>
                <w:sz w:val="18"/>
                <w:szCs w:val="18"/>
                <w:color w:val="auto"/>
              </w:rPr>
              <w:t>of shares as to which such person has:</w:t>
            </w:r>
          </w:p>
        </w:tc>
      </w:tr>
      <w:tr>
        <w:trPr>
          <w:trHeight w:val="608"/>
        </w:trPr>
        <w:tc>
          <w:tcPr>
            <w:tcW w:w="1320" w:type="dxa"/>
            <w:vAlign w:val="bottom"/>
          </w:tcPr>
          <w:p>
            <w:pPr>
              <w:spacing w:after="0"/>
              <w:rPr>
                <w:sz w:val="24"/>
                <w:szCs w:val="24"/>
                <w:color w:val="auto"/>
              </w:rPr>
            </w:pPr>
          </w:p>
        </w:tc>
        <w:tc>
          <w:tcPr>
            <w:tcW w:w="7020" w:type="dxa"/>
            <w:vAlign w:val="bottom"/>
            <w:gridSpan w:val="2"/>
          </w:tcPr>
          <w:p>
            <w:pPr>
              <w:ind w:left="1220"/>
              <w:spacing w:after="0"/>
              <w:rPr>
                <w:sz w:val="20"/>
                <w:szCs w:val="20"/>
                <w:color w:val="auto"/>
              </w:rPr>
            </w:pPr>
            <w:r>
              <w:rPr>
                <w:rFonts w:ascii="Courier New" w:cs="Courier New" w:eastAsia="Courier New" w:hAnsi="Courier New"/>
                <w:sz w:val="18"/>
                <w:szCs w:val="18"/>
                <w:color w:val="auto"/>
              </w:rPr>
              <w:t>Sole power to vote or to direct the vote</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3,678,069.00</w:t>
            </w:r>
          </w:p>
        </w:tc>
      </w:tr>
      <w:tr>
        <w:trPr>
          <w:trHeight w:val="608"/>
        </w:trPr>
        <w:tc>
          <w:tcPr>
            <w:tcW w:w="1320" w:type="dxa"/>
            <w:vAlign w:val="bottom"/>
          </w:tcPr>
          <w:p>
            <w:pPr>
              <w:spacing w:after="0"/>
              <w:rPr>
                <w:sz w:val="24"/>
                <w:szCs w:val="24"/>
                <w:color w:val="auto"/>
              </w:rPr>
            </w:pPr>
          </w:p>
        </w:tc>
        <w:tc>
          <w:tcPr>
            <w:tcW w:w="7020" w:type="dxa"/>
            <w:vAlign w:val="bottom"/>
            <w:gridSpan w:val="2"/>
          </w:tcPr>
          <w:p>
            <w:pPr>
              <w:ind w:left="1220"/>
              <w:spacing w:after="0"/>
              <w:rPr>
                <w:sz w:val="20"/>
                <w:szCs w:val="20"/>
                <w:color w:val="auto"/>
              </w:rPr>
            </w:pPr>
            <w:r>
              <w:rPr>
                <w:rFonts w:ascii="Courier New" w:cs="Courier New" w:eastAsia="Courier New" w:hAnsi="Courier New"/>
                <w:sz w:val="18"/>
                <w:szCs w:val="18"/>
                <w:color w:val="auto"/>
              </w:rPr>
              <w:t>Shared power to vote or to direct the vote</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1320" w:type="dxa"/>
            <w:vAlign w:val="bottom"/>
          </w:tcPr>
          <w:p>
            <w:pPr>
              <w:spacing w:after="0"/>
              <w:rPr>
                <w:sz w:val="24"/>
                <w:szCs w:val="24"/>
                <w:color w:val="auto"/>
              </w:rPr>
            </w:pPr>
          </w:p>
        </w:tc>
        <w:tc>
          <w:tcPr>
            <w:tcW w:w="7020" w:type="dxa"/>
            <w:vAlign w:val="bottom"/>
            <w:gridSpan w:val="2"/>
          </w:tcPr>
          <w:p>
            <w:pPr>
              <w:ind w:left="1220"/>
              <w:spacing w:after="0"/>
              <w:rPr>
                <w:sz w:val="20"/>
                <w:szCs w:val="20"/>
                <w:color w:val="auto"/>
              </w:rPr>
            </w:pPr>
            <w:r>
              <w:rPr>
                <w:rFonts w:ascii="Courier New" w:cs="Courier New" w:eastAsia="Courier New" w:hAnsi="Courier New"/>
                <w:sz w:val="18"/>
                <w:szCs w:val="18"/>
                <w:color w:val="auto"/>
              </w:rPr>
              <w:t>Sole power to dispose or to direct the disposition of</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3,678,069.00</w:t>
            </w:r>
          </w:p>
        </w:tc>
      </w:tr>
      <w:tr>
        <w:trPr>
          <w:trHeight w:val="608"/>
        </w:trPr>
        <w:tc>
          <w:tcPr>
            <w:tcW w:w="1320" w:type="dxa"/>
            <w:vAlign w:val="bottom"/>
          </w:tcPr>
          <w:p>
            <w:pPr>
              <w:spacing w:after="0"/>
              <w:rPr>
                <w:sz w:val="24"/>
                <w:szCs w:val="24"/>
                <w:color w:val="auto"/>
              </w:rPr>
            </w:pPr>
          </w:p>
        </w:tc>
        <w:tc>
          <w:tcPr>
            <w:tcW w:w="7020" w:type="dxa"/>
            <w:vAlign w:val="bottom"/>
            <w:gridSpan w:val="2"/>
          </w:tcPr>
          <w:p>
            <w:pPr>
              <w:ind w:left="1220"/>
              <w:spacing w:after="0"/>
              <w:rPr>
                <w:sz w:val="20"/>
                <w:szCs w:val="20"/>
                <w:color w:val="auto"/>
              </w:rPr>
            </w:pPr>
            <w:r>
              <w:rPr>
                <w:rFonts w:ascii="Courier New" w:cs="Courier New" w:eastAsia="Courier New" w:hAnsi="Courier New"/>
                <w:sz w:val="18"/>
                <w:szCs w:val="18"/>
                <w:color w:val="auto"/>
                <w:w w:val="97"/>
              </w:rPr>
              <w:t>Shared power to dispose or to direct the disposition of</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-0-</w:t>
            </w:r>
          </w:p>
        </w:tc>
      </w:tr>
      <w:tr>
        <w:trPr>
          <w:trHeight w:val="810"/>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02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Ownership of Five Percent or Less of a Class:</w:t>
            </w:r>
          </w:p>
        </w:tc>
      </w:tr>
      <w:tr>
        <w:trPr>
          <w:trHeight w:val="405"/>
        </w:trPr>
        <w:tc>
          <w:tcPr>
            <w:tcW w:w="1320" w:type="dxa"/>
            <w:vAlign w:val="bottom"/>
          </w:tcPr>
          <w:p>
            <w:pPr>
              <w:spacing w:after="0"/>
              <w:rPr>
                <w:sz w:val="24"/>
                <w:szCs w:val="24"/>
                <w:color w:val="auto"/>
              </w:rPr>
            </w:pPr>
          </w:p>
        </w:tc>
        <w:tc>
          <w:tcPr>
            <w:tcW w:w="70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9"/>
              </w:rPr>
              <w:t>If this statement is being filed to report the fact that as</w:t>
            </w:r>
          </w:p>
        </w:tc>
      </w:tr>
      <w:tr>
        <w:trPr>
          <w:trHeight w:val="203"/>
        </w:trPr>
        <w:tc>
          <w:tcPr>
            <w:tcW w:w="1320" w:type="dxa"/>
            <w:vAlign w:val="bottom"/>
          </w:tcPr>
          <w:p>
            <w:pPr>
              <w:spacing w:after="0"/>
              <w:rPr>
                <w:sz w:val="17"/>
                <w:szCs w:val="17"/>
                <w:color w:val="auto"/>
              </w:rPr>
            </w:pPr>
          </w:p>
        </w:tc>
        <w:tc>
          <w:tcPr>
            <w:tcW w:w="14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of the</w:t>
            </w:r>
          </w:p>
        </w:tc>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date hereof the reporting person has ceased to be the</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beneficial owner of more than five percent of the class of</w:t>
            </w:r>
          </w:p>
        </w:tc>
      </w:tr>
      <w:tr>
        <w:trPr>
          <w:trHeight w:val="203"/>
        </w:trPr>
        <w:tc>
          <w:tcPr>
            <w:tcW w:w="1320" w:type="dxa"/>
            <w:vAlign w:val="bottom"/>
          </w:tcPr>
          <w:p>
            <w:pPr>
              <w:spacing w:after="0"/>
              <w:rPr>
                <w:sz w:val="17"/>
                <w:szCs w:val="17"/>
                <w:color w:val="auto"/>
              </w:rPr>
            </w:pPr>
          </w:p>
        </w:tc>
        <w:tc>
          <w:tcPr>
            <w:tcW w:w="70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securities, check the following [ ]</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02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Ownership of More than Five Percent on Behalf of Another</w:t>
            </w:r>
          </w:p>
        </w:tc>
      </w:tr>
      <w:tr>
        <w:trPr>
          <w:trHeight w:val="203"/>
        </w:trPr>
        <w:tc>
          <w:tcPr>
            <w:tcW w:w="1320" w:type="dxa"/>
            <w:vAlign w:val="bottom"/>
          </w:tcPr>
          <w:p>
            <w:pPr>
              <w:spacing w:after="0"/>
              <w:rPr>
                <w:sz w:val="17"/>
                <w:szCs w:val="17"/>
                <w:color w:val="auto"/>
              </w:rPr>
            </w:pPr>
          </w:p>
        </w:tc>
        <w:tc>
          <w:tcPr>
            <w:tcW w:w="14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5"/>
              </w:rPr>
              <w:t>Person:</w:t>
            </w:r>
          </w:p>
        </w:tc>
        <w:tc>
          <w:tcPr>
            <w:tcW w:w="5600" w:type="dxa"/>
            <w:vAlign w:val="bottom"/>
          </w:tcPr>
          <w:p>
            <w:pPr>
              <w:spacing w:after="0"/>
              <w:rPr>
                <w:sz w:val="17"/>
                <w:szCs w:val="17"/>
                <w:color w:val="auto"/>
              </w:rPr>
            </w:pPr>
          </w:p>
        </w:tc>
      </w:tr>
      <w:tr>
        <w:trPr>
          <w:trHeight w:val="405"/>
        </w:trPr>
        <w:tc>
          <w:tcPr>
            <w:tcW w:w="1320" w:type="dxa"/>
            <w:vAlign w:val="bottom"/>
          </w:tcPr>
          <w:p>
            <w:pPr>
              <w:spacing w:after="0"/>
              <w:rPr>
                <w:sz w:val="24"/>
                <w:szCs w:val="24"/>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8"/>
                <w:szCs w:val="18"/>
                <w:color w:val="auto"/>
              </w:rPr>
              <w:t>N/A</w:t>
            </w:r>
          </w:p>
        </w:tc>
        <w:tc>
          <w:tcPr>
            <w:tcW w:w="560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02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bl>
    <w:p>
      <w:pPr>
        <w:sectPr>
          <w:pgSz w:w="11900" w:h="16838" w:orient="portrait"/>
          <w:cols w:equalWidth="0" w:num="1">
            <w:col w:w="10219"/>
          </w:cols>
          <w:pgMar w:left="240" w:top="136" w:right="1440" w:bottom="0" w:gutter="0" w:footer="0" w:header="0"/>
        </w:sectPr>
      </w:pPr>
    </w:p>
    <w:bookmarkStart w:id="3" w:name="page4"/>
    <w:bookmarkEnd w:id="3"/>
    <w:p>
      <w:pPr>
        <w:ind w:left="2000" w:right="177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280" w:space="720"/>
            <w:col w:w="8219"/>
          </w:cols>
          <w:pgMar w:left="240" w:top="142" w:right="1440" w:bottom="144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a Group:</w:t>
      </w:r>
    </w:p>
    <w:p>
      <w:pPr>
        <w:spacing w:after="0" w:line="200" w:lineRule="exact"/>
        <w:rPr>
          <w:sz w:val="20"/>
          <w:szCs w:val="20"/>
          <w:color w:val="auto"/>
        </w:rPr>
      </w:pPr>
    </w:p>
    <w:p>
      <w:pPr>
        <w:sectPr>
          <w:pgSz w:w="11900" w:h="16838" w:orient="portrait"/>
          <w:cols w:equalWidth="0" w:num="2">
            <w:col w:w="1280" w:space="720"/>
            <w:col w:w="8219"/>
          </w:cols>
          <w:pgMar w:left="240" w:top="142" w:right="1440" w:bottom="144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1280" w:space="720"/>
            <w:col w:w="8219"/>
          </w:cols>
          <w:pgMar w:left="240" w:top="142" w:right="1440" w:bottom="1440" w:gutter="0" w:footer="0" w:header="0"/>
          <w:type w:val="continuous"/>
        </w:sectPr>
      </w:pPr>
    </w:p>
    <w:p>
      <w:pPr>
        <w:spacing w:after="0" w:line="24" w:lineRule="exact"/>
        <w:rPr>
          <w:sz w:val="20"/>
          <w:szCs w:val="20"/>
          <w:color w:val="auto"/>
        </w:rPr>
      </w:pPr>
    </w:p>
    <w:p>
      <w:pPr>
        <w:ind w:left="200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2000" w:right="18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05/30/2008</w:t>
      </w:r>
    </w:p>
    <w:p>
      <w:pPr>
        <w:ind w:left="422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Impax Asset Management Ltd.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Bruce Jenkyn-Jones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Bruce Jenkyn-Jones</w:t>
      </w:r>
    </w:p>
    <w:p>
      <w:pPr>
        <w:ind w:left="4640"/>
        <w:spacing w:after="0" w:line="238" w:lineRule="auto"/>
        <w:rPr>
          <w:sz w:val="20"/>
          <w:szCs w:val="20"/>
          <w:color w:val="auto"/>
        </w:rPr>
      </w:pPr>
      <w:r>
        <w:rPr>
          <w:rFonts w:ascii="Courier New" w:cs="Courier New" w:eastAsia="Courier New" w:hAnsi="Courier New"/>
          <w:sz w:val="18"/>
          <w:szCs w:val="18"/>
          <w:color w:val="auto"/>
        </w:rPr>
        <w:t>Director of Investments</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2">
    <w:nsid w:val="3D1B58BA"/>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lvl w:ilvl="3">
      <w:lvlJc w:val="left"/>
      <w:lvlText w:val="%4"/>
      <w:numFmt w:val="decimal"/>
      <w:start w:val="1"/>
    </w:lvl>
  </w:abstractNum>
  <w:abstractNum w:abstractNumId="3">
    <w:nsid w:val="507ED7AB"/>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4">
    <w:nsid w:val="2EB141F2"/>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lvl w:ilvl="3">
      <w:lvlJc w:val="left"/>
      <w:lvlText w:val="%4."/>
      <w:numFmt w:val="decimal"/>
      <w:start w:val="5"/>
    </w:lvl>
  </w:abstractNum>
  <w:abstractNum w:abstractNumId="5">
    <w:nsid w:val="41B71EFB"/>
    <w:multiLevelType w:val="hybridMultilevel"/>
    <w:lvl w:ilvl="0">
      <w:lvlJc w:val="left"/>
      <w:lvlText w:val="-"/>
      <w:numFmt w:val="bullet"/>
      <w:start w:val="1"/>
    </w:lvl>
    <w:lvl w:ilvl="1">
      <w:lvlJc w:val="left"/>
      <w:lvlText w:val="%2."/>
      <w:numFmt w:val="decimal"/>
      <w:start w:val="9"/>
    </w:lvl>
  </w:abstractNum>
  <w:abstractNum w:abstractNumId="6">
    <w:nsid w:val="79E2A9E3"/>
    <w:multiLevelType w:val="hybridMultilevel"/>
    <w:lvl w:ilvl="0">
      <w:lvlJc w:val="left"/>
      <w:lvlText w:val="-"/>
      <w:numFmt w:val="bullet"/>
      <w:start w:val="1"/>
    </w:lvl>
    <w:lvl w:ilvl="1">
      <w:lvlJc w:val="left"/>
      <w:lvlText w:val="%2."/>
      <w:numFmt w:val="decimal"/>
      <w:start w:val="10"/>
    </w:lvl>
  </w:abstractNum>
  <w:abstractNum w:abstractNumId="7">
    <w:nsid w:val="7545E146"/>
    <w:multiLevelType w:val="hybridMultilevel"/>
    <w:lvl w:ilvl="0">
      <w:lvlJc w:val="left"/>
      <w:lvlText w:val="-"/>
      <w:numFmt w:val="bullet"/>
      <w:start w:val="1"/>
    </w:lvl>
    <w:lvl w:ilvl="1">
      <w:lvlJc w:val="left"/>
      <w:lvlText w:val="%2."/>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2019-12-14T18:11:05Z</dcterms:created>
  <dcterms:modified xsi:type="dcterms:W3CDTF">2019-12-14T18:11:05Z</dcterms:modified>
</cp:coreProperties>
</file>