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w:t>
      </w:r>
    </w:p>
    <w:p>
      <w:pPr>
        <w:jc w:val="center"/>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00504w100</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9, 2006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73"/>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8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PowerShares Exchange-Traded Fund Trust</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Massachusetts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4,960,507</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211" w:gutter="0" w:footer="0" w:header="0"/>
        </w:sectPr>
      </w:pPr>
    </w:p>
    <w:bookmarkStart w:id="1" w:name="page2"/>
    <w:bookmarkEnd w:id="1"/>
    <w:p>
      <w:pPr>
        <w:spacing w:after="0" w:line="36" w:lineRule="exact"/>
        <w:rPr>
          <w:sz w:val="20"/>
          <w:szCs w:val="20"/>
          <w:color w:val="auto"/>
        </w:rPr>
      </w:pPr>
    </w:p>
    <w:p>
      <w:pPr>
        <w:ind w:left="2700" w:right="688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4,960,507</w:t>
      </w:r>
    </w:p>
    <w:p>
      <w:pPr>
        <w:spacing w:after="0" w:line="386" w:lineRule="exact"/>
        <w:rPr>
          <w:rFonts w:ascii="Arial" w:cs="Arial" w:eastAsia="Arial" w:hAnsi="Arial"/>
          <w:sz w:val="18"/>
          <w:szCs w:val="18"/>
          <w:color w:val="auto"/>
        </w:rPr>
      </w:pPr>
    </w:p>
    <w:p>
      <w:pPr>
        <w:ind w:left="2700" w:right="67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8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4,960,507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48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60" w:right="8480" w:hanging="499"/>
        <w:spacing w:after="0" w:line="342" w:lineRule="auto"/>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Active Power, Inc.</w:t>
      </w:r>
    </w:p>
    <w:p>
      <w:pPr>
        <w:spacing w:after="0" w:line="29" w:lineRule="exact"/>
        <w:rPr>
          <w:rFonts w:ascii="Arial" w:cs="Arial" w:eastAsia="Arial" w:hAnsi="Arial"/>
          <w:sz w:val="16"/>
          <w:szCs w:val="16"/>
          <w:color w:val="auto"/>
        </w:rPr>
      </w:pPr>
    </w:p>
    <w:p>
      <w:pPr>
        <w:ind w:left="1460" w:right="6400" w:hanging="499"/>
        <w:spacing w:after="0" w:line="342" w:lineRule="auto"/>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2128 W. Braker Lane, BK12, Austin,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-14605</wp:posOffset>
            </wp:positionV>
            <wp:extent cx="6320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-366395</wp:posOffset>
            </wp:positionV>
            <wp:extent cx="63201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460" w:hanging="499"/>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PowerShares Capital Management, an Investment Adviser of the filing entities.</w:t>
      </w:r>
    </w:p>
    <w:p>
      <w:pPr>
        <w:spacing w:after="0" w:line="116" w:lineRule="exact"/>
        <w:rPr>
          <w:rFonts w:ascii="Arial" w:cs="Arial" w:eastAsia="Arial" w:hAnsi="Arial"/>
          <w:sz w:val="18"/>
          <w:szCs w:val="18"/>
          <w:color w:val="auto"/>
        </w:rPr>
      </w:pPr>
    </w:p>
    <w:p>
      <w:pPr>
        <w:ind w:left="1460" w:right="5540" w:hanging="499"/>
        <w:spacing w:after="0" w:line="342"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301 West Roosevelt Road, Wheaton, Illinois 60187</w:t>
      </w:r>
    </w:p>
    <w:p>
      <w:pPr>
        <w:spacing w:after="0" w:line="29" w:lineRule="exact"/>
        <w:rPr>
          <w:rFonts w:ascii="Arial" w:cs="Arial" w:eastAsia="Arial" w:hAnsi="Arial"/>
          <w:sz w:val="16"/>
          <w:szCs w:val="16"/>
          <w:color w:val="auto"/>
        </w:rPr>
      </w:pPr>
    </w:p>
    <w:p>
      <w:pPr>
        <w:ind w:left="1460" w:hanging="499"/>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Incorporated by reference to Item 4 of the cover page.</w:t>
      </w:r>
    </w:p>
    <w:p>
      <w:pPr>
        <w:spacing w:after="0" w:line="116" w:lineRule="exact"/>
        <w:rPr>
          <w:rFonts w:ascii="Arial" w:cs="Arial" w:eastAsia="Arial" w:hAnsi="Arial"/>
          <w:sz w:val="18"/>
          <w:szCs w:val="18"/>
          <w:color w:val="auto"/>
        </w:rPr>
      </w:pPr>
    </w:p>
    <w:p>
      <w:pPr>
        <w:ind w:left="1460" w:hanging="499"/>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116" w:lineRule="exact"/>
        <w:rPr>
          <w:rFonts w:ascii="Arial" w:cs="Arial" w:eastAsia="Arial" w:hAnsi="Arial"/>
          <w:sz w:val="18"/>
          <w:szCs w:val="18"/>
          <w:color w:val="auto"/>
        </w:rPr>
      </w:pPr>
    </w:p>
    <w:p>
      <w:pPr>
        <w:ind w:left="1460" w:right="8680" w:hanging="499"/>
        <w:spacing w:after="0" w:line="342"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-14605</wp:posOffset>
            </wp:positionV>
            <wp:extent cx="6320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-366395</wp:posOffset>
            </wp:positionV>
            <wp:extent cx="63201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-717550</wp:posOffset>
            </wp:positionV>
            <wp:extent cx="6320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-1069340</wp:posOffset>
            </wp:positionV>
            <wp:extent cx="63201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-1421130</wp:posOffset>
            </wp:positionV>
            <wp:extent cx="63201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17" w:lineRule="exact"/>
        <w:rPr>
          <w:sz w:val="20"/>
          <w:szCs w:val="20"/>
          <w:color w:val="auto"/>
        </w:rPr>
      </w:pPr>
    </w:p>
    <w:p>
      <w:pPr>
        <w:ind w:left="960" w:right="140"/>
        <w:spacing w:after="0" w:line="277" w:lineRule="auto"/>
        <w:rPr>
          <w:sz w:val="20"/>
          <w:szCs w:val="20"/>
          <w:color w:val="auto"/>
        </w:rPr>
      </w:pPr>
      <w:r>
        <w:rPr>
          <w:rFonts w:ascii="Arial" w:cs="Arial" w:eastAsia="Arial" w:hAnsi="Arial"/>
          <w:sz w:val="18"/>
          <w:szCs w:val="18"/>
          <w:color w:val="auto"/>
        </w:rPr>
        <w:t>PowerShares Exchange-Traded Fund Trust is an investment company registered under Section 8 of the Investment Company Act of 1940 (15 U.S.C. 80a-8).</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ownership information as of May 16, 2006 has been incorporated by reference to Items 5-11 of the cover pages.</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ectPr>
          <w:pgSz w:w="11900" w:h="16874" w:orient="portrait"/>
          <w:cols w:equalWidth="0" w:num="1">
            <w:col w:w="11280"/>
          </w:cols>
          <w:pgMar w:left="300" w:top="179" w:right="31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 or</w:t>
      </w:r>
    </w:p>
    <w:p>
      <w:pPr>
        <w:sectPr>
          <w:pgSz w:w="11900" w:h="16874" w:orient="portrait"/>
          <w:cols w:equalWidth="0" w:num="1">
            <w:col w:w="11280"/>
          </w:cols>
          <w:pgMar w:left="300" w:top="179" w:right="319" w:bottom="0" w:gutter="0" w:footer="0" w:header="0"/>
          <w:type w:val="continuous"/>
        </w:sectPr>
      </w:pPr>
    </w:p>
    <w:bookmarkStart w:id="2" w:name="page3"/>
    <w:bookmarkEnd w:id="2"/>
    <w:p>
      <w:pPr>
        <w:ind w:left="1180"/>
        <w:spacing w:after="0"/>
        <w:rPr>
          <w:sz w:val="20"/>
          <w:szCs w:val="20"/>
          <w:color w:val="auto"/>
        </w:rPr>
      </w:pPr>
      <w:r>
        <w:rPr>
          <w:rFonts w:ascii="Arial" w:cs="Arial" w:eastAsia="Arial" w:hAnsi="Arial"/>
          <w:sz w:val="18"/>
          <w:szCs w:val="18"/>
          <w:color w:val="auto"/>
        </w:rPr>
        <w:t>Control Person</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60" w:firstLine="972"/>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39"/>
        <w:spacing w:after="0"/>
        <w:rPr>
          <w:sz w:val="20"/>
          <w:szCs w:val="20"/>
          <w:color w:val="auto"/>
        </w:rPr>
      </w:pPr>
      <w:r>
        <w:rPr>
          <w:rFonts w:ascii="Arial" w:cs="Arial" w:eastAsia="Arial" w:hAnsi="Arial"/>
          <w:sz w:val="24"/>
          <w:szCs w:val="24"/>
          <w:color w:val="auto"/>
        </w:rPr>
        <w:t>Signature</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POWERSHARES CAPITAL MANAGEMENT LLC</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May 19, 2006</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John W. Southard</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John W. Southard</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180"/>
      </w:cols>
      <w:pgMar w:left="240" w:top="12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decimal"/>
      <w:start w:val="1"/>
    </w:lvl>
    <w:lvl w:ilvl="1">
      <w:lvlJc w:val="left"/>
      <w:lvlText w:val="%2."/>
      <w:numFmt w:val="decimal"/>
      <w:start w:val="7"/>
    </w:lvl>
  </w:abstractNum>
  <w:abstractNum w:abstractNumId="3">
    <w:nsid w:val="46E87CCD"/>
    <w:multiLevelType w:val="hybridMultilevel"/>
    <w:lvl w:ilvl="0">
      <w:lvlJc w:val="left"/>
      <w:lvlText w:val="%1."/>
      <w:numFmt w:val="decimal"/>
      <w:start w:val="9"/>
    </w:lvl>
    <w:lvl w:ilvl="1">
      <w:lvlJc w:val="left"/>
      <w:lvlText w:val="%2"/>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2019-12-14T17:13:42Z</dcterms:created>
  <dcterms:modified xsi:type="dcterms:W3CDTF">2019-12-14T17:13:42Z</dcterms:modified>
</cp:coreProperties>
</file>