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211" w:lineRule="exact"/>
        <w:rPr>
          <w:rFonts w:ascii="MS PGothic" w:cs="MS PGothic" w:eastAsia="MS PGothic" w:hAnsi="MS PGothic"/>
          <w:sz w:val="18"/>
          <w:szCs w:val="18"/>
          <w:color w:val="auto"/>
        </w:rPr>
      </w:pPr>
    </w:p>
    <w:p>
      <w:pPr>
        <w:ind w:left="460" w:hanging="452"/>
        <w:spacing w:after="0" w:line="268"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-3573145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-3230245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-2749550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-2406650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-2063750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-923290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-579755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105410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420"/>
          </w:cols>
          <w:pgMar w:left="240" w:top="21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2961640</wp:posOffset>
            </wp:positionH>
            <wp:positionV relativeFrom="page">
              <wp:posOffset>183515</wp:posOffset>
            </wp:positionV>
            <wp:extent cx="164655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46555" cy="38608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w:t>
      </w:r>
      <w:r>
        <w:rPr>
          <w:rFonts w:ascii="Arial" w:cs="Arial" w:eastAsia="Arial" w:hAnsi="Arial"/>
          <w:sz w:val="14"/>
          <w:szCs w:val="14"/>
          <w:color w:val="auto"/>
        </w:rPr>
        <w:t>RAKER</w:t>
      </w:r>
      <w:r>
        <w:rPr>
          <w:rFonts w:ascii="Arial" w:cs="Arial" w:eastAsia="Arial" w:hAnsi="Arial"/>
          <w:sz w:val="18"/>
          <w:szCs w:val="18"/>
          <w:color w:val="auto"/>
        </w:rPr>
        <w:t xml:space="preserve">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27,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You are cordially invited to attend the 2006 Annual Meeting of Stockholders of Active Power, Inc., which will be held at the company’s principal executive offices, located at 2128 W. Braker Lane, Austin, TX 78758, Braker 12, on Thursday, May 4, 2006, at 5:00 p.m. Central Time.</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8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and Chief Executive Officer</w:t>
      </w:r>
    </w:p>
    <w:p>
      <w:pPr>
        <w:sectPr>
          <w:pgSz w:w="11900" w:h="16838" w:orient="portrait"/>
          <w:cols w:equalWidth="0" w:num="1">
            <w:col w:w="11420"/>
          </w:cols>
          <w:pgMar w:left="240" w:top="1049"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4, 2006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4, 2006, at 5:00 p.m. Central Time, at 2128 W. Braker Lane, Austin, Texas 78758, Braker 12, for the following purposes, as more fully described in the proxy statement accompanying this notice:</w:t>
      </w:r>
    </w:p>
    <w:p>
      <w:pPr>
        <w:spacing w:after="0" w:line="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three Class III directors to serve until our 2009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our company for the fiscal year ending December 31, 2006;</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Amended and Restated Certificate of Incorporation to increase the number of authorized shares of common stock from 60,000,000 to 150,000,000 shares, to decrease the number of authorized shares of preferred stock from 10,420,000 to 10,000,000 and to eliminate certain provisions that are no longer applicable to Active Power;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6, 2006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Chibib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Chibib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and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2006</w:t>
      </w:r>
    </w:p>
    <w:p>
      <w:pPr>
        <w:spacing w:after="0" w:line="1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2128 W. Braker Lane, Braker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4,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4, 2006. The Annual Meeting will be held at 5:00 p.m. Central Time at our principal executive offices, located at 2128 W. Braker Lane, Austin, Texas 78758, Braker 12. These proxy solicitation materials were mailed on or about March 27, 2006, to all stockholders entitled to vote at our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6, 2006, the record date for determination of stockholders entitled to notice of and to vote at the Annual Meeting, there were 49,327,630 shares of our common stock outstanding and no shares of our preferred stock were outstanding. Each stockholder is entitled to one vote for each share of common stock held by such stockholder on March 6, 2006.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are withheld and, if no contrary instructions are given, the proxy will also be voted FOR the approval of Proposal Two and Proposal Three, both as described in this Notice of Annual Meeting and proxy statement. You may revoke or change your proxy at any time before the Annual Meeting by filing with our Corporate Secretary at our principal executive offices at 2128 W. Braker Lane, Austin, Texas 78758, Braker 12, a notice of revocation or another signed proxy with a later date. You may also revoke your proxy by attending the Annual Meeting and voting in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Deadline for Receipt of Stockholder Proposals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2007 Annual Meeting of Stockholders and in our proxy statement and form of proxy relating to that meeting, must be received by us at our principal executive offices in Austin, Texas, addressed to our Corporate Secretary, not later than November 27, 2006, the date which is 120 days prior to March 27, 2007. With respect to any stockholder proposal not submitted pursuant to Rule 14a-8 and unless notice is received by us in the manner specified in the previous sentence, the proxy holders shall have discretionary authority to vote against any proposal presented at our 2007 Annual Meeting of Stockholders. These proposals must comply with applicable Delaware law, the rules and regulations promulgated by the Securities and Exchange Commission and the procedures set forth in our Bylaws.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 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three Class III directors whose term will expire at our 2009 Annual Meeting. Our Board of Directors currently consists of eight persons. Each of the nominees listed below are current directors.</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nominees for election have agreed to serve if elected, and management has no reason to believe that the nominees will be unavailable to serve. In the event the nominees are unable or decline to serve as directors at the time of the Annual Meeting, the proxies will be voted for any nominee(s) who may be designated by our present Board of Directors to fill the vacancy(ies). Unless otherwise instructed, the proxy holders will vote the proxies received by them FOR the nominees named below.</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Board of Directors has determined that each of Messrs. Almgren, Anderson, Bond, Boston, Lindelow, Scott and Rock, are “independent directors” as defined in Rule 4200(a)(15) of the Marketplace Rules of the NASDAQ Stock Market,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III Directors with Terms Expiring at the 2009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current positions of the nominees for election of our directors: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3"/>
              </w:rPr>
              <w:t>Proposed Class</w:t>
            </w:r>
          </w:p>
        </w:tc>
      </w:tr>
      <w:tr>
        <w:trPr>
          <w:trHeight w:val="18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90"/>
              </w:rPr>
              <w:t>Age</w:t>
            </w:r>
          </w:p>
        </w:tc>
        <w:tc>
          <w:tcPr>
            <w:tcW w:w="440" w:type="dxa"/>
            <w:vAlign w:val="bottom"/>
          </w:tcPr>
          <w:p>
            <w:pPr>
              <w:spacing w:after="0"/>
              <w:rPr>
                <w:sz w:val="15"/>
                <w:szCs w:val="15"/>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1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of Director</w:t>
            </w:r>
          </w:p>
        </w:tc>
      </w:tr>
      <w:tr>
        <w:trPr>
          <w:trHeight w:val="209"/>
        </w:trPr>
        <w:tc>
          <w:tcPr>
            <w:tcW w:w="3740" w:type="dxa"/>
            <w:vAlign w:val="bottom"/>
          </w:tcPr>
          <w:p>
            <w:pPr>
              <w:spacing w:after="0" w:line="202" w:lineRule="exact"/>
              <w:rPr>
                <w:sz w:val="20"/>
                <w:szCs w:val="20"/>
                <w:color w:val="auto"/>
              </w:rPr>
            </w:pPr>
            <w:r>
              <w:rPr>
                <w:rFonts w:ascii="Arial" w:cs="Arial" w:eastAsia="Arial" w:hAnsi="Arial"/>
                <w:sz w:val="18"/>
                <w:szCs w:val="18"/>
                <w:color w:val="auto"/>
              </w:rPr>
              <w:t>Ake Almgren</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59</w:t>
            </w:r>
          </w:p>
        </w:tc>
        <w:tc>
          <w:tcPr>
            <w:tcW w:w="440" w:type="dxa"/>
            <w:vAlign w:val="bottom"/>
          </w:tcPr>
          <w:p>
            <w:pPr>
              <w:spacing w:after="0"/>
              <w:rPr>
                <w:sz w:val="18"/>
                <w:szCs w:val="18"/>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Director</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Class III</w:t>
            </w:r>
          </w:p>
        </w:tc>
      </w:tr>
      <w:tr>
        <w:trPr>
          <w:trHeight w:val="316"/>
        </w:trPr>
        <w:tc>
          <w:tcPr>
            <w:tcW w:w="3740" w:type="dxa"/>
            <w:vAlign w:val="bottom"/>
          </w:tcPr>
          <w:p>
            <w:pPr>
              <w:spacing w:after="0"/>
              <w:rPr>
                <w:sz w:val="20"/>
                <w:szCs w:val="20"/>
                <w:color w:val="auto"/>
              </w:rPr>
            </w:pPr>
            <w:r>
              <w:rPr>
                <w:rFonts w:ascii="Arial" w:cs="Arial" w:eastAsia="Arial" w:hAnsi="Arial"/>
                <w:sz w:val="18"/>
                <w:szCs w:val="18"/>
                <w:color w:val="auto"/>
              </w:rPr>
              <w:t>Brad Boston</w:t>
            </w:r>
          </w:p>
        </w:tc>
        <w:tc>
          <w:tcPr>
            <w:tcW w:w="500" w:type="dxa"/>
            <w:vAlign w:val="bottom"/>
            <w:gridSpan w:val="2"/>
          </w:tcPr>
          <w:p>
            <w:pPr>
              <w:jc w:val="center"/>
              <w:ind w:left="179"/>
              <w:spacing w:after="0"/>
              <w:rPr>
                <w:sz w:val="20"/>
                <w:szCs w:val="20"/>
                <w:color w:val="auto"/>
              </w:rPr>
            </w:pPr>
            <w:r>
              <w:rPr>
                <w:rFonts w:ascii="Arial" w:cs="Arial" w:eastAsia="Arial" w:hAnsi="Arial"/>
                <w:sz w:val="18"/>
                <w:szCs w:val="18"/>
                <w:color w:val="auto"/>
                <w:w w:val="79"/>
              </w:rPr>
              <w:t>52</w:t>
            </w:r>
          </w:p>
        </w:tc>
        <w:tc>
          <w:tcPr>
            <w:tcW w:w="4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318"/>
        </w:trPr>
        <w:tc>
          <w:tcPr>
            <w:tcW w:w="3740" w:type="dxa"/>
            <w:vAlign w:val="bottom"/>
          </w:tcPr>
          <w:p>
            <w:pPr>
              <w:spacing w:after="0"/>
              <w:rPr>
                <w:sz w:val="20"/>
                <w:szCs w:val="20"/>
                <w:color w:val="auto"/>
              </w:rPr>
            </w:pPr>
            <w:r>
              <w:rPr>
                <w:rFonts w:ascii="Arial" w:cs="Arial" w:eastAsia="Arial" w:hAnsi="Arial"/>
                <w:sz w:val="18"/>
                <w:szCs w:val="18"/>
                <w:color w:val="auto"/>
              </w:rPr>
              <w:t>Joseph Pinkerton</w:t>
            </w:r>
          </w:p>
        </w:tc>
        <w:tc>
          <w:tcPr>
            <w:tcW w:w="500" w:type="dxa"/>
            <w:vAlign w:val="bottom"/>
            <w:gridSpan w:val="2"/>
          </w:tcPr>
          <w:p>
            <w:pPr>
              <w:jc w:val="center"/>
              <w:ind w:left="179"/>
              <w:spacing w:after="0"/>
              <w:rPr>
                <w:sz w:val="20"/>
                <w:szCs w:val="20"/>
                <w:color w:val="auto"/>
              </w:rPr>
            </w:pPr>
            <w:r>
              <w:rPr>
                <w:rFonts w:ascii="Arial" w:cs="Arial" w:eastAsia="Arial" w:hAnsi="Arial"/>
                <w:sz w:val="18"/>
                <w:szCs w:val="18"/>
                <w:color w:val="auto"/>
                <w:w w:val="79"/>
              </w:rPr>
              <w:t>42</w:t>
            </w:r>
          </w:p>
        </w:tc>
        <w:tc>
          <w:tcPr>
            <w:tcW w:w="44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Director, Chairman of the Board</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Class III</w:t>
            </w:r>
          </w:p>
        </w:tc>
      </w:tr>
      <w:tr>
        <w:trPr>
          <w:trHeight w:val="222"/>
        </w:trPr>
        <w:tc>
          <w:tcPr>
            <w:tcW w:w="3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and Chief Executive Officer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Class III Directors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59,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directors of several private companies. Dr. Almgren holds a Ph.D. in Engineering from Linkopings Tekniska Hogskola in Sweden and a Masters of Mechanical Engineering from the Royal Institute of Technology in Stockholm, Sweden.</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b w:val="1"/>
          <w:bCs w:val="1"/>
          <w:color w:val="auto"/>
        </w:rPr>
        <w:t>Brad Boston</w:t>
      </w:r>
      <w:r>
        <w:rPr>
          <w:rFonts w:ascii="Arial" w:cs="Arial" w:eastAsia="Arial" w:hAnsi="Arial"/>
          <w:sz w:val="16"/>
          <w:szCs w:val="16"/>
          <w:color w:val="auto"/>
        </w:rPr>
        <w:t>, 52, has served as a member of our Board of Directors since March 2005. Since August 2001, Mr. Boston has been with Cisco Systems, Inc.,</w:t>
      </w:r>
      <w:r>
        <w:rPr>
          <w:rFonts w:ascii="Arial" w:cs="Arial" w:eastAsia="Arial" w:hAnsi="Arial"/>
          <w:sz w:val="16"/>
          <w:szCs w:val="16"/>
          <w:b w:val="1"/>
          <w:bCs w:val="1"/>
          <w:color w:val="auto"/>
        </w:rPr>
        <w:t xml:space="preserve"> </w:t>
      </w:r>
      <w:r>
        <w:rPr>
          <w:rFonts w:ascii="Arial" w:cs="Arial" w:eastAsia="Arial" w:hAnsi="Arial"/>
          <w:sz w:val="16"/>
          <w:szCs w:val="16"/>
          <w:color w:val="auto"/>
        </w:rPr>
        <w:t>and is currently serving as Cisco’s Senior Vice President and Chief Information Officer. From June 2000 to July 2001, Mr. Boston served as the Executive Vice President of Operations at Corio, an enterprise-focused Internet application service provider. From June 1996 to June 2000, Mr. Boston served as Executive Vice President of product development and delivery at the Sabre Group, a publicly traded travel-related products company. He has also held executive positions at American Express, Visa, United Airlines/Covia and at American National Bank and Trust Company of Chicago. Mr. Boston serves on the board of directors of Mercury Interactive Corporation, a publicly traded software solutions company. Mr. Boston holds a B.S. in Computer Science from University of Illinois, College of Engineering, Champaign-Urbana, Illinois.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both"/>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Joseph F. Pinkerton, III</w:t>
      </w:r>
      <w:r>
        <w:rPr>
          <w:rFonts w:ascii="Arial" w:cs="Arial" w:eastAsia="Arial" w:hAnsi="Arial"/>
          <w:sz w:val="18"/>
          <w:szCs w:val="18"/>
          <w:color w:val="auto"/>
        </w:rPr>
        <w:t>, 42, our founder, has served as our Chief Executive Officer and a member of our board of directors since August 1992.</w:t>
      </w:r>
      <w:r>
        <w:rPr>
          <w:rFonts w:ascii="Arial" w:cs="Arial" w:eastAsia="Arial" w:hAnsi="Arial"/>
          <w:sz w:val="18"/>
          <w:szCs w:val="18"/>
          <w:b w:val="1"/>
          <w:bCs w:val="1"/>
          <w:color w:val="auto"/>
        </w:rPr>
        <w:t xml:space="preserve"> </w:t>
      </w:r>
      <w:r>
        <w:rPr>
          <w:rFonts w:ascii="Arial" w:cs="Arial" w:eastAsia="Arial" w:hAnsi="Arial"/>
          <w:sz w:val="18"/>
          <w:szCs w:val="18"/>
          <w:color w:val="auto"/>
        </w:rPr>
        <w:t>Mr. Pinkerton also served as our President from our inception in 1992 until November 2005. In December 2001, Mr. Pinkerton was appointed Chairman of the Board. Prior to founding Active Power, Mr. Pinkerton was a principal with FRC, a private research and development company. Pinkerton holds a B.A. in Physics from Albion College, in association with Columbia University.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information concerning our other directors whose term of office continues after this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Whose Terms Expire at the 2007 Annual Meeting of Stockholders</w:t>
      </w:r>
    </w:p>
    <w:p>
      <w:pPr>
        <w:spacing w:after="0" w:line="84" w:lineRule="exact"/>
        <w:rPr>
          <w:sz w:val="20"/>
          <w:szCs w:val="20"/>
          <w:color w:val="auto"/>
        </w:rPr>
      </w:pPr>
    </w:p>
    <w:p>
      <w:pPr>
        <w:jc w:val="both"/>
        <w:ind w:firstLine="456"/>
        <w:spacing w:after="0" w:line="378" w:lineRule="auto"/>
        <w:rPr>
          <w:sz w:val="20"/>
          <w:szCs w:val="20"/>
          <w:color w:val="auto"/>
        </w:rPr>
      </w:pPr>
      <w:r>
        <w:rPr>
          <w:rFonts w:ascii="Arial" w:cs="Arial" w:eastAsia="Arial" w:hAnsi="Arial"/>
          <w:sz w:val="15"/>
          <w:szCs w:val="15"/>
          <w:b w:val="1"/>
          <w:bCs w:val="1"/>
          <w:color w:val="auto"/>
        </w:rPr>
        <w:t>Richard E. Anderson</w:t>
      </w:r>
      <w:r>
        <w:rPr>
          <w:rFonts w:ascii="Arial" w:cs="Arial" w:eastAsia="Arial" w:hAnsi="Arial"/>
          <w:sz w:val="15"/>
          <w:szCs w:val="15"/>
          <w:color w:val="auto"/>
        </w:rPr>
        <w:t>, 41, has served as a member of our Board of Directors since July 1997. In 1992, Mr. Anderson co-founded Hill Partners, Inc., a real</w:t>
      </w:r>
      <w:r>
        <w:rPr>
          <w:rFonts w:ascii="Arial" w:cs="Arial" w:eastAsia="Arial" w:hAnsi="Arial"/>
          <w:sz w:val="15"/>
          <w:szCs w:val="15"/>
          <w:b w:val="1"/>
          <w:bCs w:val="1"/>
          <w:color w:val="auto"/>
        </w:rPr>
        <w:t xml:space="preserve"> </w:t>
      </w:r>
      <w:r>
        <w:rPr>
          <w:rFonts w:ascii="Arial" w:cs="Arial" w:eastAsia="Arial" w:hAnsi="Arial"/>
          <w:sz w:val="15"/>
          <w:szCs w:val="15"/>
          <w:color w:val="auto"/>
        </w:rPr>
        <w:t>estate development and investment company, where he currently serves as partner. Mr. Anderson holds a B.A. in economics from Southern Methodist University.</w:t>
      </w:r>
    </w:p>
    <w:p>
      <w:pPr>
        <w:spacing w:after="0" w:line="51"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Rodney S. Bond</w:t>
      </w:r>
      <w:r>
        <w:rPr>
          <w:rFonts w:ascii="Arial" w:cs="Arial" w:eastAsia="Arial" w:hAnsi="Arial"/>
          <w:sz w:val="16"/>
          <w:szCs w:val="16"/>
          <w:color w:val="auto"/>
        </w:rPr>
        <w:t>, 61, has served as a member of our Board of Directors since September 1994. From October 2000 to the present, Mr. Bond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principal engaged in financial and strategic planning consulting at Sherman Partners. From May 1990 to October 2000, Mr. Bond served in various capacities, including as Chief Strategic Officer and Chief Financial Officer, with VTEL Corporation, a publicly traded digital video communications company. Mr. Bond holds a B.S. in metallurgical engineering from the University of Illinois and a M.B.A. from Northwestern University.</w:t>
      </w:r>
    </w:p>
    <w:p>
      <w:pPr>
        <w:spacing w:after="0" w:line="10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Benjamin L. Scott</w:t>
      </w:r>
      <w:r>
        <w:rPr>
          <w:rFonts w:ascii="Arial" w:cs="Arial" w:eastAsia="Arial" w:hAnsi="Arial"/>
          <w:sz w:val="18"/>
          <w:szCs w:val="18"/>
          <w:color w:val="auto"/>
        </w:rPr>
        <w:t>, 56, has served as a member of our Board of Directors since March 2002. Since May 2002, Mr. Scott has served as a Venture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Austin Ventures, a venture capital firm. From January 2000 to May 2002, Mr. Scott served as a Venture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Whose Terms Expire at the 2008 Annual Meeting of Stockholders</w:t>
      </w:r>
    </w:p>
    <w:p>
      <w:pPr>
        <w:spacing w:after="0" w:line="84"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color w:val="auto"/>
        </w:rPr>
        <w:t>Terrence L. Rock</w:t>
      </w:r>
      <w:r>
        <w:rPr>
          <w:rFonts w:ascii="Arial" w:cs="Arial" w:eastAsia="Arial" w:hAnsi="Arial"/>
          <w:sz w:val="16"/>
          <w:szCs w:val="16"/>
          <w:color w:val="auto"/>
        </w:rPr>
        <w:t>, 59, has served as a member of our Board of Directors since July 1997. Since 1996, Mr. Rock has served as a partner with CenterPoint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a venture capital firm. From 1983 to 1996, Mr. Rock worked for Convex Computer Corporation, a high performance computer company, holding various positions, including President and Vice President of Operations. Mr. Rock also serves on the board of directors of several private companies. Mr. Rock holds a B.S. in mechanical engineering from South Dakota School of Mines and Technology.</w:t>
      </w:r>
    </w:p>
    <w:p>
      <w:pPr>
        <w:spacing w:after="0" w:line="10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60, has served as a member of our Board of Directors since February 1998. From June 2001 to June 2002, Mr. Lindelow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serves on the board of directors of Vignette Corporation, a publicly traded software company, and several other private companies. Mr. Lindelow holds an M.S. in electrical engineering from the Royal Institute of Technology in Stockholm, Sweden.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2005, our Board of Directors held nine meetings and acted by written consent two times. The Board of Directors has an Audit Committee, a Compensation Committee, a Nominating and Corporate Governance Committee, a Special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Litigation Committee and a Special Stock Option Committee. The Board of Directors has adopted written charters for the Audit Committee, Compensation Committee and Nominating and Corporate Governance Committee, each of which is posted on our Internet website under the “Corporate Governance” link of our “Company” page at http://www.activepower.com. Each director attended or participated in 75% or more of the aggregate of (i) the total number of meetings of the Board of Directors and (ii) the total number of meetings held by all committees of the Board of Directors on which such director served during 2005.</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responsible for the selection, retention and oversight of our independent auditors. In addition,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reports to the Board of Directors with regard to:</w:t>
      </w:r>
    </w:p>
    <w:p>
      <w:pPr>
        <w:spacing w:after="0" w:line="51" w:lineRule="exact"/>
        <w:rPr>
          <w:sz w:val="20"/>
          <w:szCs w:val="20"/>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Audit Committee is further responsible to pre-approve all audit and non-audit services performed by our independent auditors. The members of the Audit Committee throughout 2005 and as of December 31, 2005 were Messrs. Bond, Anderson, Lindelow and Rock. For 2006, the Audit Committee members are Messrs. Bond, Lindelow and Rock. Mr. Bond serves as the Chairman of the Audit Committee. The Audit Committee held eight meetings during 2005. The board has determined that all members of the Audit Committee are “independent” as that term is defined in Rule 4200(a)(15) of the Marketplace Rules of The NASDAQ Stock Market, Inc. The Board of Directors has determined that Mr. Bond is qualified as an “audit committee financial expert” under Item 401(h) of Regulation S-K.</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reviews and makes recommendations to the Board of Directors regarding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and all forms of compensation to be provided to our directors, executive officers and certain other key employees. The Compensation Committee also manages the granting of stock options to new and existing employees. The Compensation Committee reviews bonus arrangements for all of our executive officers and assists the Special Stock Option Committee with the stock compensation for our new and existing employees. The Compensation Committee also administers our stock option and stock purchase plans. The members of the Compensation Committee during 2005 were Messrs. Almgren, Boston, Scott and Rock. Mr. Rock serves as the Chairman of the Compensation Committee. The Compensation Committee held one meeting during 2005 and acted by written consent two times. The Board of Directors has determined that all members of the Compensation Committee are “independent” as that term is defined in Rule 4200(a)(15) of the Marketplace Rules of The NASDAQ Stock Market, Inc.</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The Nominating and Corporate Governance Committee was established in March 2005 to assist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2005 were Messrs. Anderson, Bond and Scott, with Mr. Scott serving as its Chairman. The Nominating and Corporate Governance Committee held one meeting during fiscal 2005. The Board of Directors has determined that each member is an “independent director” as defined in Rule 4200(a)(15) of the Marketplace Rules of The NASDAQ Stock Market.</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Special Litigation Committee. </w:t>
      </w:r>
      <w:r>
        <w:rPr>
          <w:rFonts w:ascii="Arial" w:cs="Arial" w:eastAsia="Arial" w:hAnsi="Arial"/>
          <w:sz w:val="18"/>
          <w:szCs w:val="18"/>
          <w:color w:val="auto"/>
        </w:rPr>
        <w:t>The Special Litigation Committee is a committee of our Board of Directors composed of Messrs. Bond and Scott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responsible for keeping abreast of the company’s pending litigation, particularly as to the Magnex litigation which was resolved in 2004 and with respect to the </w:t>
      </w:r>
      <w:r>
        <w:rPr>
          <w:rFonts w:ascii="Arial" w:cs="Arial" w:eastAsia="Arial" w:hAnsi="Arial"/>
          <w:sz w:val="18"/>
          <w:szCs w:val="18"/>
          <w:i w:val="1"/>
          <w:iCs w:val="1"/>
          <w:color w:val="auto"/>
        </w:rPr>
        <w:t xml:space="preserve">Greenwich </w:t>
      </w:r>
      <w:r>
        <w:rPr>
          <w:rFonts w:ascii="Arial" w:cs="Arial" w:eastAsia="Arial" w:hAnsi="Arial"/>
          <w:sz w:val="18"/>
          <w:szCs w:val="18"/>
          <w:color w:val="auto"/>
        </w:rPr>
        <w:t>litigation which is described further under the heading “Certain Transactions” below and in our 2005 Annual Report on Form 10-K. The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Litigation Committee meets with our General Counsel and outside law firms and legal advisors and is involved in assisting with strategic decisions regarding legal matters. During 2005, the special litigation did not hold any formal meetings. The Board of Directors anticipates the dissolution of this committee following the resolution of the </w:t>
      </w:r>
      <w:r>
        <w:rPr>
          <w:rFonts w:ascii="Arial" w:cs="Arial" w:eastAsia="Arial" w:hAnsi="Arial"/>
          <w:sz w:val="18"/>
          <w:szCs w:val="18"/>
          <w:i w:val="1"/>
          <w:iCs w:val="1"/>
          <w:color w:val="auto"/>
        </w:rPr>
        <w:t>Greenwich</w:t>
      </w:r>
      <w:r>
        <w:rPr>
          <w:rFonts w:ascii="Arial" w:cs="Arial" w:eastAsia="Arial" w:hAnsi="Arial"/>
          <w:sz w:val="18"/>
          <w:szCs w:val="18"/>
          <w:color w:val="auto"/>
        </w:rPr>
        <w:t xml:space="preserve"> litigation.</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Special Stock Option Committee. </w:t>
      </w:r>
      <w:r>
        <w:rPr>
          <w:rFonts w:ascii="Arial" w:cs="Arial" w:eastAsia="Arial" w:hAnsi="Arial"/>
          <w:sz w:val="16"/>
          <w:szCs w:val="16"/>
          <w:color w:val="auto"/>
        </w:rPr>
        <w:t>The Special Stock Option Committee is a subcommittee of our Compensation Committee composed of Mr. Pinkerton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approves grants of stock options from our 2000 Stock Incentive Plan to non-executive officers and employees. During 2005, the Special Stock Option Committee acted by written consent 12 times. The Special Stock Option Committee was dissolved at the February 3, 2006 meeting of our Board of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Director Meetings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The independent directors met nine times during 2005. Benjamin Scott served as the lead independent director in 2005 and shall serve in such position until he resigns from such position or until a replacement is elected or appointed. The independent members of our Board of Directors meet in conjunction with each regularly scheduled meeting of our Board of Directors and other sessions may be called by our “lead independent director” in his own discretion or at the request of the other independent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March 2005, our Board of Directors created a Nominating and Corporate Governance Committee. This committee is responsible for, among other things, identifying potential director candidates. In evaluating potential director candidates, the Nominating and Corporate Governance Committee considers the appropriate balance of experience, skills and characteristics required of our Board of Directors and seeks to ensure that at least a majority of the directors are independent under the applicable Marketplace Rules of The NASDAQ Stock Market. The Nominating and Corporate Governance Committee selects director nominees based on their personal and professional integrity, depth and breadth of experience, ability to make independent analytical inquiries, understanding of our business, willingness to devote adequate attention and time to duties of our Board and such other criteria as is deemed relevant by the Nominating and Corporate Governance Committee. When considering potential director candidates, the Board of Directors also considers the candidate’s character, judgment, diversity, age, skills, including financial literacy, and experience in the context of the needs of Active Power and the Board of Directors.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2005, our Nominating and Corporate Governance Committee recommended and our full Board of Directors discussed potential candidates for our Board of Directors and the director nominees were selected by a majority of the independent directors meeting in executive session. All of the nominees recommended for election to the board at this Annual Meeting are directors standing for re-election.</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identifying potential director candidates, the Nominating and Corporate Governance Committee relies on any source available for the identification and recommendation of candidates, including current directors and officers. In addition, the Nominating and Corporate Governance Committee may engage a third party search firm to identify and recommend potential candidates. Finally, the Nominating and Corporate Governance Committee will consider candidates recommended by stockholders. In 2005, we paid $55,011 to a third party to assist us in identifying or evaluating potential nominees for our Board of Directors.</w:t>
      </w:r>
    </w:p>
    <w:p>
      <w:pPr>
        <w:spacing w:after="0" w:line="113"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6"/>
          <w:szCs w:val="16"/>
          <w:color w:val="auto"/>
        </w:rPr>
        <w:t>Any stockholder wishing to recommend a director candidate for consideration by the Nominating and Corporate Governance Committee as a potential candidate for submission to our stockholders at our 2007 annual meeting must provide written notice no later than November 27, 2006 to the Corporate Secretary at our principal executive offices located at 2128 W. Braker Lane, Braker 12, Austin, Texas 78758. Any such notice should clearly indicate that it is a recommendation of a director candidate by a stockholder and must set forth (i) 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w:t>
      </w:r>
    </w:p>
    <w:p>
      <w:pPr>
        <w:spacing w:after="0" w:line="5" w:lineRule="exact"/>
        <w:rPr>
          <w:sz w:val="20"/>
          <w:szCs w:val="20"/>
          <w:color w:val="auto"/>
        </w:rPr>
      </w:pPr>
    </w:p>
    <w:p>
      <w:pPr>
        <w:jc w:val="both"/>
        <w:ind w:firstLine="8"/>
        <w:spacing w:after="0" w:line="253" w:lineRule="auto"/>
        <w:tabs>
          <w:tab w:leader="none" w:pos="30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or with individual directors. Stockholders who wish to communicate with the Board of Directors or with individual directors should direct written correspondence to our Corporate Secretary at our principal executive offices located at 2128 W. Braker Lane, Braker 12, Austin, Texas 78758.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 The Corporate Secretary will forward such communications to the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officers, directors, employees and consultants. The Code of Business Conduct and Ethics is intended to comply with Item 406 of Regulation S-K of the Securities Exchange Act of 1934 and with applicable rules of The NASDAQ Stock Market, Inc. Our Code of Business Conduct and Ethics is posted on our Internet website under the “Corporate Governance” tab of our “Company” page. Our Internet website address is http://www.activepower.com.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Indemnification Arrangements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Board of Directors met in January 2003 and modified the Board’s compensation arrangement to ensure that it was comparable with other similarly situated companies, and considered the increased time commitments required for service and the heightened scrutiny and responsibility of directors of publicly traded companies. Our Compensation Committee reviewed our current director compensation programs, but has determined that director compensation will not change for 2006. Our non-employee directors receive a fee of $7,500 per quarter for their service as a director. Additional cash compensation in the following annual amounts will be paid to board members in 2006:</w:t>
      </w:r>
    </w:p>
    <w:p>
      <w:pPr>
        <w:spacing w:after="0" w:line="62"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Committee participants ($10,000);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Committee chairperson, in addition to Audit Committee participation compensation ($10,000);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participants ($5,000);</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and Nominating and Corporate Governance Committee or other committee chairperson, excluding the Audit Committee, in addition to committee participation compensation ($2,500);</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 Litigation Committee participants ($2,500), with potential additional compensation based on amount of pending litigation;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Lead Independent Director ($10,000).</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addition to the cash compensation, non-employee directors receive option grants at periodic intervals under the automatic option grant program of our 2000 Stock Incentive Plan. Non-employee and employee directors are also eligible to receive option grants under the discretionary option grant program of the Plan. Under the automatic option grant program, each individual who first becomes a non-employee board member receives an option grant to purchase 25,000 shares of common stock on the date such individual joins the Board of Directors. The initial automatic option grant is supplemented by a discretionary option grant to purchase 5,000 shares of common stock on the date such person joins the Board of Directors. In addition, on the date of each annual stockholders meeting,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option grant to purchase 7,500 shares of common stock on the date of such annual stockholders meeting hereafter. Under these programs, on the date of our 2005 Annual Meeting each of Messrs. Almgren, Anderson, Bond,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Lindelow, Rock and Scott received an option grant to purchase 15,000 shares of common stock at an exercise price of $2.60 per share, the closing sale price of our common stock on the date of our 2005 Annual Meeting. Upon his appointment to the Board of Directors in March 2005, Mr. Boston received an option grant to purchase 30,000 shares of common stock at an exercise price of $3.41 per share, the closing sale price of our common stock on the date Mr. Boston joined the Board of Directors. At the 2006 Annual Meeting, Messrs. Anderson, Bond, Lindelow, Rock and Scott and, assuming their re-election, Messrs. Almgren and Boston, will receive an option grant to purchase 15,000 shares of common stock at an exercise price equal to the closing sale price of our common stock on The NASDAQ National Market on such date. These options will vest in full on the one year anniversary of their grant date, based on the optionees continued service on our Board of Directors.</w:t>
      </w:r>
    </w:p>
    <w:p>
      <w:pPr>
        <w:spacing w:after="0" w:line="14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Seven of our eight directors attended the Annual Meeting of Stockholders held on April 29, 2005. One director attended our 2005 Annual Meeting via telephone.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that the stockholders vote FOR the election of the director nominees listed above.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3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RATIFICATION OF INDEPENDENT AUDITORS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independent auditors for the fiscal year ended December 31, 2006. The Audit Committee is asking the stockholders to ratify this appointment. The affirmative vote of a majority of the shares represented and voting at the Annual Meeting is required to ratify the selection of Ernst &amp; Young LLP. Ernst &amp; Young LLP served in this capacity for each of our audits since becoming a publicly traded company in 2000.</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and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2005 and 2004</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2005 and 2004,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Fees</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$472,500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$654,008</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Audit-related fees</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17,288</w:t>
            </w:r>
          </w:p>
        </w:tc>
        <w:tc>
          <w:tcPr>
            <w:tcW w:w="680" w:type="dxa"/>
            <w:vAlign w:val="bottom"/>
          </w:tcPr>
          <w:p>
            <w:pPr>
              <w:jc w:val="right"/>
              <w:spacing w:after="0"/>
              <w:rPr>
                <w:sz w:val="20"/>
                <w:szCs w:val="20"/>
                <w:color w:val="auto"/>
              </w:rPr>
            </w:pPr>
            <w:r>
              <w:rPr>
                <w:rFonts w:ascii="Arial" w:cs="Arial" w:eastAsia="Arial" w:hAnsi="Arial"/>
                <w:sz w:val="18"/>
                <w:szCs w:val="18"/>
                <w:color w:val="auto"/>
              </w:rPr>
              <w:t>20,829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24,920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All other fees</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7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514,958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707,717</w:t>
            </w:r>
          </w:p>
        </w:tc>
      </w:tr>
      <w:tr>
        <w:trPr>
          <w:trHeight w:val="20"/>
        </w:trPr>
        <w:tc>
          <w:tcPr>
            <w:tcW w:w="7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filings, Form S-8 consent procedures and audit and testing of the company’s internal controls in accordance with Section 404 of the Sarbanes-Oxley Act of 2002. Active Power was first required to comply with Section 404 for its fiscal year ending December 31, 2004. The numbers for 2004 are restated from last year’s disclosure due to the receipt of invoices and payment for services relating to the 2004 fiscal year after the filing of last year’s proxy statement. Beginning with this proxy statement we will attribute audit fees billed by our auditors to the audit year for which they were incurred.</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 Audit-related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as those audit-related fees paid during the specified fiscal year.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Tax services include fees for tax compliance, tax advice and tax planning. Tax fees are disclosed as those tax fees paid during the specified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nominal other fees in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Audit Committee pre-approves all audit and non-audit services provided by our independent auditors prior to the engagement 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 Our independent registered public accounting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ratification of the selection of Ernst &amp; Young LLP to serve as our independent auditors for the fiscal year ending December 31, 2006.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THREE: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Our Board of Directors has approved an Amendment to our Amended and Restated Certificate of Incorporation in the form set forth as </w:t>
      </w:r>
      <w:r>
        <w:rPr>
          <w:rFonts w:ascii="Arial" w:cs="Arial" w:eastAsia="Arial" w:hAnsi="Arial"/>
          <w:sz w:val="18"/>
          <w:szCs w:val="18"/>
          <w:u w:val="single" w:color="auto"/>
          <w:color w:val="auto"/>
        </w:rPr>
        <w:t>Appendix A</w:t>
      </w:r>
      <w:r>
        <w:rPr>
          <w:rFonts w:ascii="Arial" w:cs="Arial" w:eastAsia="Arial" w:hAnsi="Arial"/>
          <w:sz w:val="18"/>
          <w:szCs w:val="18"/>
          <w:color w:val="auto"/>
        </w:rPr>
        <w:t>, in order to amend Article IV of our Amended and Restated Certificate of Incorporation to:</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authorized shares of common stock from 60,000,000 to 150,000,000;</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the authorized shares of preferred stock from 10,420,000 to 10,000,000; and</w:t>
      </w:r>
    </w:p>
    <w:p>
      <w:pPr>
        <w:spacing w:after="0" w:line="90" w:lineRule="exact"/>
        <w:rPr>
          <w:rFonts w:ascii="Arial" w:cs="Arial" w:eastAsia="Arial" w:hAnsi="Arial"/>
          <w:sz w:val="18"/>
          <w:szCs w:val="18"/>
          <w:color w:val="auto"/>
        </w:rPr>
      </w:pPr>
    </w:p>
    <w:p>
      <w:pPr>
        <w:jc w:val="both"/>
        <w:ind w:left="78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Eliminate certain currently inoperative provisions in Article IV of our existing Amended and Restated Certificate of Incorporation which set forth the rights, preferences and privileges of certain series of our preferred stock that were outstanding prior to our initial public offering of shares of common stock in August 2000 but which were either converted into shares of our common stock in connection with our initial public offering or were repurchased by us and, therefore, are no longer issued and outstanding.</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March 6, 2006, we had 49,327,630 shares of common stock issued and outstanding and no shares of preferred stock issued and outstanding. We had an additional 6,638,936 shares of common stock issuable upon exercise of outstanding options or reserved for issuance under our 2000 Stock Incentive Plan. 400,000 shares of our preferred stock are designated as Series A Junior Participating Preferred Stock pursuant to the Certificate of Designation of Series A Junior Participating Preferred Stock of Active Power we filed with the Secretary of State of Delaware on December 18, 2001. We authorized this Series A Junior Participating Preferred Stock in connection with our Stockholder Rights Plan. The remaining undesignated shares of preferred stock may be issued from time to time in one or more series with such rights, preferences and privileges as may be determined by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Increase in Authorized Common Stock. </w:t>
      </w:r>
      <w:r>
        <w:rPr>
          <w:rFonts w:ascii="Arial" w:cs="Arial" w:eastAsia="Arial" w:hAnsi="Arial"/>
          <w:sz w:val="16"/>
          <w:szCs w:val="16"/>
          <w:color w:val="auto"/>
        </w:rPr>
        <w:t>This proposed increase in authorized shares of common stock will provide the Board of Directors with the authority,</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further action of the stockholders, to issue shares of common stock from time to time as the Board of Directors deems necessary. The Board believes it is necessary to have the ability to issues such additional shares of common stock for general corporate purposes. Potential uses of the additional authorized shares may include transactions such as equity financings, acquisition transactions, stock dividends and distributions, in each without further action by the stockholders, unless such stockholder action is specifically required by applicable law or the rules of the NASDAQ National Market or any stock exchange on which our securities may then be traded or listed. The Board of Directors believes that it is in the best interests of Active Power and its stockholders at this time to increase the number of authorized shares of its common stock. No such transactions are currently under consideration by the Board of Directors.</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stockholders do not generally have preemptive rights with respect to future issuances of additional shares of common stock, which means that current stockholders do not have a prior right to purchase any new issuance of common stock of the Company in order to maintain their proportionate ownership interest. As a result, the issuance of a significant amount of additional shares of common stock (other than as the result of a stock split or other pro rata distribution to stockholders) would result in a significant dilution of the beneficial ownership interests and/or voting power of each of our existing stockholders who do not purchase additional shares to maintain his or her pro rata ownership interest. As additional shares are issued, the shares owned by our existing stockholders will represent a smaller percentage ownership interest in Active Power. In addition, the issuance of additional shares of our common stock could result in a decrease in the trading price of our common stock, depending on the price at which such shares are issued.</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Decrease in Authorized Preferred Stock. </w:t>
      </w:r>
      <w:r>
        <w:rPr>
          <w:rFonts w:ascii="Arial" w:cs="Arial" w:eastAsia="Arial" w:hAnsi="Arial"/>
          <w:sz w:val="18"/>
          <w:szCs w:val="18"/>
          <w:color w:val="auto"/>
        </w:rPr>
        <w:t>The proposed decrease in the authorized shares of preferred stock from 10,420,000 shares to 10,000,000 shares is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our repurchase of the 420,000 shares of “1992 Preferred Stock” in December 2001. After this repurchase, no shares of 1992 Preferred Stock remained outstanding. The remaining undesignated shares of preferred stock may be issued from time to time in one or more series with such rights, preferences and privileges as may be determined by the Board of Directors.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Technical Amendments. </w:t>
      </w:r>
      <w:r>
        <w:rPr>
          <w:rFonts w:ascii="Arial" w:cs="Arial" w:eastAsia="Arial" w:hAnsi="Arial"/>
          <w:sz w:val="18"/>
          <w:szCs w:val="18"/>
          <w:color w:val="auto"/>
        </w:rPr>
        <w:t>The proposed amendment of Article IV of our Amended and Restated Certificate of Incorporation would also eliminate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relating to the designation of the rights, preferences and privileges of the shares of preferred stock that were outstanding prior to our initial public offering, all of which were converted into shares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in connection with our initial public offering and are no longer outstanding. The purpose of this amendment is merely to eliminate the currently inoperative provisions and streamline our certificate of incorporation by removing these lengthy and complicated provisions that no longer have any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Proposal</w:t>
      </w:r>
    </w:p>
    <w:p>
      <w:pPr>
        <w:spacing w:after="0" w:line="96"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5"/>
          <w:szCs w:val="15"/>
          <w:color w:val="auto"/>
        </w:rPr>
        <w:t>Our Board of Directors does not intend or view the proposed increase in the number of authorized shares of its common stock as an anti-takeover measure, but rather, as a means of providing greater flexibility to the Board of Directors, as indicated above. Nevertheless, the proposed increase in the authorized shares could enable the Board of Directors to issue additional shares to render more difficult or discourage an attempt by another person or entity to obtain control of Active Power, even if the holders of the common stock deem such acquisition of control of Active Power to be in their best interests. The issuance of additional shares of common stock in a public or private sale, merger or similar transaction would increase the number of outstanding shares and thereby could dilute the proportionate interest of a party attempting to gain control of Active Power. As of the date of this proxy statement, the Board of Directors and management are not aware of any attempt or plan to take over or acquire Active Power or our common stock, and the proposal to increase the authorized shares of common stock was not prompted by any specific takeover or acquisition effort or threat. Other than this proposed amendment of our Amended and Restated Certificate of Incorporation, the Board of Directors does not currently contemplate recommending the adoption of any other proposals or amendments to our Amended and Restated Certificate of Incorporation that could be construed to affect the ability of third parties to take over or change the control of Active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a vote FOR approval of the amendment to our existing Certificate of Incorporation in the form of the Amendment to the Amended and Restated Certificate of Incorporation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Approval of the proposed amendment to our existing Amended and Restated Certificate of Incorporation requires the affirmative vote of the holders of at least a majority of the outstanding shares of common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6, 2006 (unless otherwise indicated), by:</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of the Executive Compensation and Other Information section of this proxy statement;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49,327,630 shares of common stock outstanding as of March 6, 2006. In computing the number of shares beneficially owned by a person and the percentage ownership of that person, shares of our common stock subject to options held by that person that are currently exercisable or will become exercisable within 60 days following March 6, 2006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55"/>
        </w:trPr>
        <w:tc>
          <w:tcPr>
            <w:tcW w:w="89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Owned</w:t>
            </w:r>
          </w:p>
        </w:tc>
        <w:tc>
          <w:tcPr>
            <w:tcW w:w="9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Joseph F. Pinkerton, III</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5,755,435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Jim Clishem</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525,000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John K. Penver</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195,000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David S. Gino</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434,989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Sriram Sivaram</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553,916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Ake Almgren</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62,500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Richard E. Anderson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449,009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Rodney S. Bond</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110,220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Brad Boston</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30,000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Jan H. Lindelow</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Terrence L. Rock</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150,087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Benjamin L. Scott</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120,000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All current directors and executive officers as a group (12 persons)</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8,546,156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5% stockholders:</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Sound Energy Partners, Inc.</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4,049,468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Merrill Lynch &amp; Co., Inc.</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3,774,357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Dawson Herman Capital Management Inc.</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3,474,530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Dimensional Fund Advisors, Inc.</w:t>
            </w: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2,994,917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Notes Regarding Beneficial Ownership Table:</w:t>
      </w:r>
    </w:p>
    <w:p>
      <w:pPr>
        <w:spacing w:after="0" w:line="2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Includes immediately exercisable options to purchase 703,000 shares of common stock, 379,875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3,750,000 of the shares indicated as owned by Mr. Pinkerton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both"/>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held by CJP Partners, Ltd., a limited partnership in which CJP Management, L.L.C. is the sole general partner and Mr. Pinkerton and his spouse are the sole limited partners. In addition, 931,194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931,194 shares held by the trusts.</w:t>
      </w:r>
    </w:p>
    <w:p>
      <w:pPr>
        <w:spacing w:after="0" w:line="45" w:lineRule="exact"/>
        <w:rPr>
          <w:sz w:val="20"/>
          <w:szCs w:val="20"/>
          <w:color w:val="auto"/>
        </w:rPr>
      </w:pPr>
    </w:p>
    <w:p>
      <w:pPr>
        <w:jc w:val="both"/>
        <w:ind w:left="460" w:hanging="452"/>
        <w:spacing w:after="0" w:line="294"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Jim Clishem. </w:t>
      </w:r>
      <w:r>
        <w:rPr>
          <w:rFonts w:ascii="Arial" w:cs="Arial" w:eastAsia="Arial" w:hAnsi="Arial"/>
          <w:sz w:val="16"/>
          <w:szCs w:val="16"/>
          <w:color w:val="auto"/>
        </w:rPr>
        <w:t>Includes immediately exercisable options to purchase 425,000 shares of common stock, 15,625 of which were vested as of March 6,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100,000 of the shares indicated as owned by Mr. Clishem are in the form of restricted common stock issued to Mr. Clishem on March 10, 2006, as to 50,000 of which the restriction shall be removed on November 4, 2006. The restriction on the other 50,000 shares of common stock shall be removed upon the completion of certain corporate objectives determined by the Compensation Committee of the Board of Directors in its sole discretion. Mr. Clishem was hired in June 2005 as our Vice President of Business Development and was promoted to be our President and Chief Operating Officer in November 2005.</w:t>
      </w:r>
    </w:p>
    <w:p>
      <w:pPr>
        <w:spacing w:after="0" w:line="3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David S. Gino. </w:t>
      </w:r>
      <w:r>
        <w:rPr>
          <w:rFonts w:ascii="Arial" w:cs="Arial" w:eastAsia="Arial" w:hAnsi="Arial"/>
          <w:sz w:val="18"/>
          <w:szCs w:val="18"/>
          <w:color w:val="auto"/>
        </w:rPr>
        <w:t>Mr. Gino resigned from his position of Chief Operating Officer and Chief Financial Officer in March 2005. Mr. Gino’s share ownership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our most recent knowledge of his holdings after due inquiry.</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Sriram Sivaram. </w:t>
      </w:r>
      <w:r>
        <w:rPr>
          <w:rFonts w:ascii="Arial" w:cs="Arial" w:eastAsia="Arial" w:hAnsi="Arial"/>
          <w:sz w:val="18"/>
          <w:szCs w:val="18"/>
          <w:color w:val="auto"/>
        </w:rPr>
        <w:t>These shares include immediately exercisable options to purchase 470,000 shares of common stock, 276,875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Mr. Sivaram resigned as our Vice President of Sales and Service effective on January 31, 2006, but is serving as a consultant to us and will continue to vest in his options through June 30, 2006.</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John K. Penver. </w:t>
      </w:r>
      <w:r>
        <w:rPr>
          <w:rFonts w:ascii="Arial" w:cs="Arial" w:eastAsia="Arial" w:hAnsi="Arial"/>
          <w:sz w:val="18"/>
          <w:szCs w:val="18"/>
          <w:color w:val="auto"/>
        </w:rPr>
        <w:t>These shares include immediately exercisable options to purchase 195,000 shares of common stock, 27,500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6, 2006. Mr. Penver began his employment with us on February 28, 2005.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Ake Almgren. </w:t>
      </w:r>
      <w:r>
        <w:rPr>
          <w:rFonts w:ascii="Arial" w:cs="Arial" w:eastAsia="Arial" w:hAnsi="Arial"/>
          <w:sz w:val="16"/>
          <w:szCs w:val="16"/>
          <w:color w:val="auto"/>
        </w:rPr>
        <w:t>Includes immediately exercisable options to purchase 45,000 shares of common stock, 10,000 of which were vested as of March 6, 2006.</w:t>
      </w:r>
    </w:p>
    <w:p>
      <w:pPr>
        <w:spacing w:after="0" w:line="113"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93,800 shares indicated as owned by Mr. Anderson are included because of his association with Rita Investments. These shares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46,116 shares owned by Mr. Anderson’s spouse. These shares further include immediately exercisable options to purchase 45,000 shares of common stock, 30,000 of which were vested as of March 6, 2006.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Rodney S. Bond. </w:t>
      </w:r>
      <w:r>
        <w:rPr>
          <w:rFonts w:ascii="Arial" w:cs="Arial" w:eastAsia="Arial" w:hAnsi="Arial"/>
          <w:sz w:val="15"/>
          <w:szCs w:val="15"/>
          <w:color w:val="auto"/>
        </w:rPr>
        <w:t>Includes immediately exercisable options to purchase 87,000 shares of common stock, 72,000 of which were vested as of March 6, 2006.</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Brad Boston. </w:t>
      </w:r>
      <w:r>
        <w:rPr>
          <w:rFonts w:ascii="Arial" w:cs="Arial" w:eastAsia="Arial" w:hAnsi="Arial"/>
          <w:sz w:val="16"/>
          <w:szCs w:val="16"/>
          <w:color w:val="auto"/>
        </w:rPr>
        <w:t>Includes immediately exercisable options to purchase 30,000 shares of common stock, 0 of which were vested as of March 6, 2006.</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Jan H. Lindelow. </w:t>
      </w:r>
      <w:r>
        <w:rPr>
          <w:rFonts w:ascii="Arial" w:cs="Arial" w:eastAsia="Arial" w:hAnsi="Arial"/>
          <w:sz w:val="15"/>
          <w:szCs w:val="15"/>
          <w:color w:val="auto"/>
        </w:rPr>
        <w:t>Includes immediately exercisable options to purchase 60,000 shares of common stock, 45,000 of which were vested as of March 6, 2006.</w:t>
      </w:r>
    </w:p>
    <w:p>
      <w:pPr>
        <w:spacing w:after="0" w:line="124" w:lineRule="exact"/>
        <w:rPr>
          <w:rFonts w:ascii="Arial" w:cs="Arial" w:eastAsia="Arial" w:hAnsi="Arial"/>
          <w:sz w:val="15"/>
          <w:szCs w:val="15"/>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Terrence L. Rock. </w:t>
      </w:r>
      <w:r>
        <w:rPr>
          <w:rFonts w:ascii="Arial" w:cs="Arial" w:eastAsia="Arial" w:hAnsi="Arial"/>
          <w:sz w:val="18"/>
          <w:szCs w:val="18"/>
          <w:color w:val="auto"/>
        </w:rPr>
        <w:t>Includes immediately exercisable options to purchase 45,000 shares of common stock, 30,000 of which were vested as of March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immediately exercisable options to purchase 55,000 shares of common stock, 40,000 of which were vested as of March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Pursuant to a Schedule 13G dated February 9, 2006, as filed with the Securities and Exchange Commission, Sound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Inc. reported that it had shared voting power and shared dispositive power over 4,049,468 shares of common stock as of December 31, 2005 and that its address is 354 Pequot Avenue, Southport, Connecticut 06890.</w:t>
      </w:r>
    </w:p>
    <w:p>
      <w:pPr>
        <w:spacing w:after="0" w:line="59"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Merrill Lynch &amp; Co., Inc. </w:t>
      </w:r>
      <w:r>
        <w:rPr>
          <w:rFonts w:ascii="Arial" w:cs="Arial" w:eastAsia="Arial" w:hAnsi="Arial"/>
          <w:sz w:val="16"/>
          <w:szCs w:val="16"/>
          <w:color w:val="auto"/>
        </w:rPr>
        <w:t>Pursuant to a Schedule 13G dated February 8, 2006, as filed with the Securities and Exchange Commission, Merrill Lynch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 Inc., on behalf of Merrill Lynch Investment Managers, reported that it had shared voting power and shared dispositive power over 3,774,357 shares of common stock as of December 31, 2005 and that its address is World Financial Center, North Tower, 250 Vesey Street, New York, NY 10381.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both"/>
        <w:ind w:left="452" w:right="20" w:hanging="452"/>
        <w:spacing w:after="0" w:line="259"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Dawson Herman Capital Management Inc. </w:t>
      </w:r>
      <w:r>
        <w:rPr>
          <w:rFonts w:ascii="Arial" w:cs="Arial" w:eastAsia="Arial" w:hAnsi="Arial"/>
          <w:sz w:val="18"/>
          <w:szCs w:val="18"/>
          <w:color w:val="auto"/>
        </w:rPr>
        <w:t>Pursuant to a Schedule 13G/A dated February 14, 2006, as filed with the Securities and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Dawson Herman Capital Management Inc. reported that it had sole voting power and sole dispositive power over 3,474,530 shares of common stock as of December 31, 2005 and that its address is 354 Pequot Avenue, Southport, Connecticut 06890.</w:t>
      </w:r>
    </w:p>
    <w:p>
      <w:pPr>
        <w:spacing w:after="0" w:line="59" w:lineRule="exact"/>
        <w:rPr>
          <w:rFonts w:ascii="Arial" w:cs="Arial" w:eastAsia="Arial" w:hAnsi="Arial"/>
          <w:sz w:val="18"/>
          <w:szCs w:val="18"/>
          <w:color w:val="auto"/>
        </w:rPr>
      </w:pPr>
    </w:p>
    <w:p>
      <w:pPr>
        <w:jc w:val="both"/>
        <w:ind w:left="452" w:hanging="452"/>
        <w:spacing w:after="0" w:line="273"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Dimensional Fund Advisors, Inc. </w:t>
      </w:r>
      <w:r>
        <w:rPr>
          <w:rFonts w:ascii="Arial" w:cs="Arial" w:eastAsia="Arial" w:hAnsi="Arial"/>
          <w:sz w:val="18"/>
          <w:szCs w:val="18"/>
          <w:color w:val="auto"/>
        </w:rPr>
        <w:t>Pursuant to a Schedule 13G/A dated February 1, 2006, as filed with the Securities and Exchange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Dimensional Fund Advisors, Inc. reported that it had sole voting power and sole dispositive power over 2,994,917 shares of common stock as of December 31, 2005 and that its address is 1299 Ocean Avenue,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Santa Monica, California 90401.</w:t>
      </w:r>
    </w:p>
    <w:p>
      <w:pPr>
        <w:spacing w:after="0" w:line="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and consulting agreements.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David Gino. </w:t>
      </w:r>
      <w:r>
        <w:rPr>
          <w:rFonts w:ascii="Arial" w:cs="Arial" w:eastAsia="Arial" w:hAnsi="Arial"/>
          <w:sz w:val="16"/>
          <w:szCs w:val="16"/>
          <w:color w:val="auto"/>
        </w:rPr>
        <w:t>On January 26, 2005 we entered into an agreement with David Gino, then our Chief Operating Officer and Chief Financial Officer, wherein</w:t>
      </w:r>
      <w:r>
        <w:rPr>
          <w:rFonts w:ascii="Arial" w:cs="Arial" w:eastAsia="Arial" w:hAnsi="Arial"/>
          <w:sz w:val="16"/>
          <w:szCs w:val="16"/>
          <w:i w:val="1"/>
          <w:iCs w:val="1"/>
          <w:color w:val="auto"/>
        </w:rPr>
        <w:t xml:space="preserve"> </w:t>
      </w:r>
      <w:r>
        <w:rPr>
          <w:rFonts w:ascii="Arial" w:cs="Arial" w:eastAsia="Arial" w:hAnsi="Arial"/>
          <w:sz w:val="16"/>
          <w:szCs w:val="16"/>
          <w:color w:val="auto"/>
        </w:rPr>
        <w:t>we agreed to set the period in which Mr. Gino could exercise options to purchase an aggregate of 198,000 shares of Active Power common stock at exercise prices ranging from $1.22 to $20.00 per share until January 30, 2006. In exchange for setting the exercise period for these options, Mr. Gino agreed to continue his employment with us through the completion of certain financial reporting events, including the filing of our 2004 Annual Report on Form 10-K.</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Jim Clishem. </w:t>
      </w:r>
      <w:r>
        <w:rPr>
          <w:rFonts w:ascii="Arial" w:cs="Arial" w:eastAsia="Arial" w:hAnsi="Arial"/>
          <w:sz w:val="18"/>
          <w:szCs w:val="18"/>
          <w:color w:val="auto"/>
        </w:rPr>
        <w:t>In connection with our promotion of Jim Clishem to be our President and Chief Operating Officer on November 4, 2005, we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 with Mr. Clishem relating to the terms of his employment, which sets forth the following terms:</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salary of $250,000;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bonus target that represents up to 100% of the annualized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300,000 option shares to vest over four years of continued employment with Active Power;</w:t>
      </w:r>
    </w:p>
    <w:p>
      <w:pPr>
        <w:spacing w:after="0" w:line="90"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50,000 shares of common stock to be issued in 2006 for a purchase price of $0.001 per share, for an aggregate payment of $50. The shares will be subject to a lock-up agreement prohibiting their sale or transfer for a period of one year after Mr. Clishem’s promotion. We will have the right to repurchase these shares for $0.001 per share for a period of one year from the date of the agreement in the event of Mr. Clishem terminating his employment or his employment is terminated by us for cause. This repurchase right will lapse upon the consummation of a change of control (as defined in the agreement) of Active Power.</w:t>
      </w:r>
    </w:p>
    <w:p>
      <w:pPr>
        <w:spacing w:after="0" w:line="61" w:lineRule="exact"/>
        <w:rPr>
          <w:rFonts w:ascii="Arial" w:cs="Arial" w:eastAsia="Arial" w:hAnsi="Arial"/>
          <w:sz w:val="18"/>
          <w:szCs w:val="18"/>
          <w:color w:val="auto"/>
        </w:rPr>
      </w:pPr>
    </w:p>
    <w:p>
      <w:pPr>
        <w:jc w:val="both"/>
        <w:ind w:left="900" w:hanging="446"/>
        <w:spacing w:after="0" w:line="29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50,000 shares of common stock to be issued in 2006 for a purchase price of $0.001 per share, for an aggregate payment of $50. The shares will be subject to a lock-up agreement prohibiting their sale or transfer for a period of one year after Mr. Clishem’s promotion. We will have the right to repurchase these shares for $0.001 per share for a period of one year from the date of the agreement if (i) Mr. Clishem terminates his employment or such employment is terminated by us for cause or (ii) Mr. Clishem fails to meet certain company objectives which shall be determined and agreed on by Mr. Clishem, our Compensation Committee and Chief Executive Officer for 2006. This repurchase right will lapse upon the consummation of a change of control (as defined in the agreement) of Active Power.</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Sriram Sivaram. </w:t>
      </w:r>
      <w:r>
        <w:rPr>
          <w:rFonts w:ascii="Arial" w:cs="Arial" w:eastAsia="Arial" w:hAnsi="Arial"/>
          <w:sz w:val="18"/>
          <w:szCs w:val="18"/>
          <w:color w:val="auto"/>
        </w:rPr>
        <w:t>On November 7, 2005, we entered into an agreement with Sriram Sivaram, then our Vice President of Sales and Marketing,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agreed to pay Mr. Sivaram a severance payment in the event his employment with Active Power is terminated by us other than for cause prior to November 7, 2006, pursuant to which we would pay Mr. Sivaram his salary through November 7, 2006. Mr. Sivaram resigned from his position, effective January 31, 2006, and was not entitled to this severance payment.</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November 22, 2005, we entered into another agreement with Mr. Sivaram, then our Vice President of Sales and Service, that sets forth the terms and conditions of Mr. Sivaram’s resignation from his position with Active Power. Pursuant to this November 22, 2005 letter agreement, Mr. Sivaram agreed that his resignation would be effective on January 31, 2006 and that he would remain as a consultant to us through June 30, 2006 to help with the transition of his responsibilities in the sales department. Mr. Sivaram also agreed to generally release us from any and all claims he has or may have against us. We agreed to pay Mr. Sivaram an amount coincident with his achievement of certain objectives relating to our sales department.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directors and officers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Greenwich litigation. </w:t>
      </w:r>
      <w:r>
        <w:rPr>
          <w:rFonts w:ascii="Arial" w:cs="Arial" w:eastAsia="Arial" w:hAnsi="Arial"/>
          <w:sz w:val="16"/>
          <w:szCs w:val="16"/>
          <w:color w:val="auto"/>
        </w:rPr>
        <w:t>In connection with the Greenwich litigation described in Part I, Item 3. Legal Proceedings in our 2005 Annual Report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which we are seeking coverage under our insurance policy with Greenwich Insurance Company for expenses incurred in connection with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litigation that we settled in 2004, we have agreed that in the event of any recovery in the lawsuit we have filed against Greenwich, we will first be reimbursed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our legal expenses related to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lawsuit. Any additional recovery up to $1.22 million will next be paid to Mr. Pinkerton as reimbursement for his settlement expense in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lawsuit. We will retain any recovery beyond that amount. In the event we do not recover any amount in this action, we have no obligation to pay Mr. Pinkerton any amount relating to either the </w:t>
      </w:r>
      <w:r>
        <w:rPr>
          <w:rFonts w:ascii="Arial" w:cs="Arial" w:eastAsia="Arial" w:hAnsi="Arial"/>
          <w:sz w:val="16"/>
          <w:szCs w:val="16"/>
          <w:i w:val="1"/>
          <w:iCs w:val="1"/>
          <w:color w:val="auto"/>
        </w:rPr>
        <w:t>Magnex</w:t>
      </w:r>
      <w:r>
        <w:rPr>
          <w:rFonts w:ascii="Arial" w:cs="Arial" w:eastAsia="Arial" w:hAnsi="Arial"/>
          <w:sz w:val="16"/>
          <w:szCs w:val="16"/>
          <w:color w:val="auto"/>
        </w:rPr>
        <w:t xml:space="preserve"> lawsuit or the </w:t>
      </w:r>
      <w:r>
        <w:rPr>
          <w:rFonts w:ascii="Arial" w:cs="Arial" w:eastAsia="Arial" w:hAnsi="Arial"/>
          <w:sz w:val="16"/>
          <w:szCs w:val="16"/>
          <w:i w:val="1"/>
          <w:iCs w:val="1"/>
          <w:color w:val="auto"/>
        </w:rPr>
        <w:t>Greenwich</w:t>
      </w:r>
      <w:r>
        <w:rPr>
          <w:rFonts w:ascii="Arial" w:cs="Arial" w:eastAsia="Arial" w:hAnsi="Arial"/>
          <w:sz w:val="16"/>
          <w:szCs w:val="16"/>
          <w:color w:val="auto"/>
        </w:rPr>
        <w:t xml:space="preserve"> lawsuit.</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Mr. Pinkerton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their shares of common stock.</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to executive officers and directors.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more information regarding the grant of stock options to executive officers and directors in 2005, please see “Director Compensation and Indemnification Arrangements” above and “Option Grants in 2005” below.</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Joseph F. Pinkerton,</w:t>
      </w:r>
      <w:r>
        <w:rPr>
          <w:rFonts w:ascii="Arial" w:cs="Arial" w:eastAsia="Arial" w:hAnsi="Arial"/>
          <w:sz w:val="16"/>
          <w:szCs w:val="16"/>
          <w:i w:val="1"/>
          <w:iCs w:val="1"/>
          <w:color w:val="auto"/>
        </w:rPr>
        <w:t xml:space="preserve"> </w:t>
      </w:r>
      <w:r>
        <w:rPr>
          <w:rFonts w:ascii="Arial" w:cs="Arial" w:eastAsia="Arial" w:hAnsi="Arial"/>
          <w:sz w:val="16"/>
          <w:szCs w:val="16"/>
          <w:color w:val="auto"/>
        </w:rPr>
        <w:t>III, Jim Clishem and John K. Penver, please see “Employment Contracts, Termination of Employment and Change in Control Agreements” below.</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Real estate landlord services. </w:t>
      </w:r>
      <w:r>
        <w:rPr>
          <w:rFonts w:ascii="Arial" w:cs="Arial" w:eastAsia="Arial" w:hAnsi="Arial"/>
          <w:sz w:val="18"/>
          <w:szCs w:val="18"/>
          <w:color w:val="auto"/>
        </w:rPr>
        <w:t>We lease some of our office space from landlords who have since sold that property to Hill Partners. Some or all of our lease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now paid directly to Hill Partners. One of our directors, Dick Anderson, is a partner of Hill Partners. The amount paid to Hill Partners as our landlord in 2005 was $15,085.</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0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2005 audited financial statements: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(Communication with Audit Committees).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2005 filed with the Securities and Exchange Commission.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Rodney S. Bond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E. Anderson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Jan H. Lindelow</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L. Rock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ind w:right="3220" w:firstLine="3222"/>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 AND OTHER INFORMATION Summary of Cash and Certain Other Compensation</w:t>
      </w:r>
    </w:p>
    <w:p>
      <w:pPr>
        <w:spacing w:after="0" w:line="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following table provides certain summary information concerning the compensation earned by our Chief Executive Officer and each of the other most highly compensated executive officers whose salary and bonus for 2005 was in excess of $100,000, for services rendered in all capacities to the company for the fiscal years ended December 31, 2003, 2004 and 2005. No executive officer who would have otherwise been includable in such table on the basis of salary and bonus earned in 2005 has been excluded by reason of his or her termination of employment or change in executive status during 2005.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Long-Term</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4"/>
          </w:tcPr>
          <w:p>
            <w:pPr>
              <w:ind w:left="80"/>
              <w:spacing w:after="0"/>
              <w:rPr>
                <w:sz w:val="20"/>
                <w:szCs w:val="20"/>
                <w:color w:val="auto"/>
              </w:rPr>
            </w:pPr>
            <w:r>
              <w:rPr>
                <w:rFonts w:ascii="Arial" w:cs="Arial" w:eastAsia="Arial" w:hAnsi="Arial"/>
                <w:sz w:val="14"/>
                <w:szCs w:val="14"/>
                <w:b w:val="1"/>
                <w:bCs w:val="1"/>
                <w:color w:val="auto"/>
              </w:rPr>
              <w:t>Annual Compensation</w:t>
            </w:r>
          </w:p>
        </w:tc>
        <w:tc>
          <w:tcPr>
            <w:tcW w:w="3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Awards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Fiscal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5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22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 xml:space="preserve">Bonus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300" w:type="dxa"/>
            <w:vAlign w:val="bottom"/>
          </w:tcPr>
          <w:p>
            <w:pPr>
              <w:spacing w:after="0"/>
              <w:rPr>
                <w:sz w:val="12"/>
                <w:szCs w:val="12"/>
                <w:color w:val="auto"/>
              </w:rPr>
            </w:pPr>
          </w:p>
        </w:tc>
        <w:tc>
          <w:tcPr>
            <w:tcW w:w="1020" w:type="dxa"/>
            <w:vAlign w:val="bottom"/>
          </w:tcPr>
          <w:p>
            <w:pPr>
              <w:spacing w:after="0" w:line="148" w:lineRule="exact"/>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300" w:type="dxa"/>
            <w:vAlign w:val="bottom"/>
          </w:tcPr>
          <w:p>
            <w:pPr>
              <w:spacing w:after="0"/>
              <w:rPr>
                <w:sz w:val="12"/>
                <w:szCs w:val="12"/>
                <w:color w:val="auto"/>
              </w:rPr>
            </w:pPr>
          </w:p>
        </w:tc>
        <w:tc>
          <w:tcPr>
            <w:tcW w:w="11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Options (#)</w:t>
            </w:r>
          </w:p>
        </w:tc>
        <w:tc>
          <w:tcPr>
            <w:tcW w:w="12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 xml:space="preserve">Compensation </w:t>
            </w: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270,143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Chairman of the Board and</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270,169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Executive Officer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270,417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127,500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Jim Clishem (1)</w:t>
            </w:r>
          </w:p>
        </w:tc>
        <w:tc>
          <w:tcPr>
            <w:tcW w:w="300" w:type="dxa"/>
            <w:vAlign w:val="bottom"/>
          </w:tcPr>
          <w:p>
            <w:pPr>
              <w:spacing w:after="0"/>
              <w:rPr>
                <w:sz w:val="18"/>
                <w:szCs w:val="18"/>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114,708</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7,963(2)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President and Chief Operating Officer</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 (3)</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142,927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Financial Officer, Vice President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of Finance, Secretary and Treasurer</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Sriram Sivaram (4)</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208,000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i w:val="1"/>
                <w:iCs w:val="1"/>
                <w:color w:val="auto"/>
              </w:rPr>
              <w:t>Vice President of Sales &amp; Marketing</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198,291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8"/>
                <w:szCs w:val="18"/>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9"/>
              </w:rPr>
              <w:t>2003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179,258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190,000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78,258(2)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Gino (5)</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Chief Operating Officer, Vice</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2004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229,358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President, Chief Financial Officer,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229,624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85,000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Secretary and Treasurer</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Clishem was hired as our Vice President of Business Development effective June 6, 2005. On November 4, 2005, Mr. Clishem was named our President and Chief Operating Officer.</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Moving and relocation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Penver was hired as our Chief Financial Officer, Vice President of Finance, Secretary and Treasurer effective February 28, 2005.</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Sivaram served as our Vice President of Sales, Marketing and Service since May 2003. Mr. Sivaram resigned from his employment with Active Power effective January 31, 2006.</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Gino resigned from his position as Chief Operating Officer and Chief Financial Officer in March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OPTION/SAR GRANTS IN LAST FISCAL YEAR</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2005 to each of our executive officers named in the Summary Compensation Table. We have never granted any stock appreciation rights. Unless otherwise indicated, the exercise prices represent the fair market value of the common stock on the grant date.</w:t>
      </w:r>
    </w:p>
    <w:p>
      <w:pPr>
        <w:spacing w:after="0" w:line="14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common stock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granted these options under our 2000 Stock Incentive Plan. Each option has a maximum term of ten years, subject to earlier termination if the optionee’s services are terminated. The percentage of total options granted to our employees in the last fiscal year is based on options to purchase an aggregate of 2,257,500 shares of common stock granted during 2005. The following table sets forth information concerning the individual grants of stock options to each of our named executive officers in 2005.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Individual Grants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3"/>
              </w:rPr>
              <w:t>Potential Realizable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Percent of 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2"/>
              </w:rPr>
              <w:t>of Assumed Annual Rates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Underlying</w:t>
            </w:r>
          </w:p>
        </w:tc>
        <w:tc>
          <w:tcPr>
            <w:tcW w:w="14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Options Granted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of Stock Price Appreciation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to Employees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Expiration</w:t>
            </w:r>
          </w:p>
        </w:tc>
        <w:tc>
          <w:tcPr>
            <w:tcW w:w="176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Option Term</w:t>
            </w:r>
          </w:p>
        </w:tc>
        <w:tc>
          <w:tcPr>
            <w:tcW w:w="0" w:type="dxa"/>
            <w:vAlign w:val="bottom"/>
          </w:tcPr>
          <w:p>
            <w:pPr>
              <w:spacing w:after="0"/>
              <w:rPr>
                <w:sz w:val="1"/>
                <w:szCs w:val="1"/>
                <w:color w:val="auto"/>
              </w:rPr>
            </w:pPr>
          </w:p>
        </w:tc>
      </w:tr>
      <w:tr>
        <w:trPr>
          <w:trHeight w:val="129"/>
        </w:trPr>
        <w:tc>
          <w:tcPr>
            <w:tcW w:w="5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8"/>
              </w:rPr>
              <w:t>Granted(#)(1)</w:t>
            </w:r>
          </w:p>
        </w:tc>
        <w:tc>
          <w:tcPr>
            <w:tcW w:w="14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Fiscal 2005(%)</w:t>
            </w:r>
          </w:p>
        </w:tc>
        <w:tc>
          <w:tcPr>
            <w:tcW w:w="1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Per Share(2)</w:t>
            </w:r>
          </w:p>
        </w:tc>
        <w:tc>
          <w:tcPr>
            <w:tcW w:w="10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5%($)</w:t>
            </w:r>
          </w:p>
        </w:tc>
        <w:tc>
          <w:tcPr>
            <w:tcW w:w="106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02/13/2015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259,797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658,375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Jim Clishem</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125,000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06/05/2015</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210,680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11/09/2015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630,153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02/27/2015</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261,495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Sriram Sivaram (3)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02/13/2015</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173,198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David S. Gino (4)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jc w:val="both"/>
        <w:ind w:left="46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noted, 25% of the shares vest after one year of service from the date of the grant, and the remaining options vest in 12 equal quarterly installments thereafter. Each option expires on the earlier of ten years from the date of grant or within a specified period following termination of the optionee’s employment with us.</w:t>
      </w:r>
    </w:p>
    <w:p>
      <w:pPr>
        <w:jc w:val="both"/>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may be paid in cash or shares of our common stock valued at fair market value on the exercise date. Alternatively, the option may be exercised through a cashless exercise procedure. Outstanding options will become exercisable on an accelerated basis if we are acquired and (i) such options are not assumed and continued in full force and effect; (ii) such options are not replaced with a cash incentive plan that preserves the option spread existing at the time of the change in control; or (iii) if acceleration of the option is subject to other limitations imposed by the plan administrator in the option agreement.</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Sivaram resigned from his employment with Active Power effective January 31, 2006 but has agreed to continue to serve as a consultant to us through June 30, 2006. Mr. Sivaram’s options will continue to vest through June 30, 2006.</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Gino resigned from his position as Chief Operating Officer and Chief Financial Officer in March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and Fiscal Year-End Option Values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provides information about stock options exercised in 2005 and options held as of December 31, 2005 by each of our executive officers named in the Summary Compensation Table. We have never issued any stock appreciation rights. Actual gains on exercise, if any, will depend on the value of our common stock on the date on which the shares are sold.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2005 OPTION VALUES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17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 Unexercised</w:t>
            </w:r>
          </w:p>
        </w:tc>
      </w:tr>
      <w:tr>
        <w:trPr>
          <w:trHeight w:val="161"/>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Unexercised Options At</w:t>
            </w: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In-the-money Options At</w:t>
            </w:r>
          </w:p>
        </w:tc>
      </w:tr>
      <w:tr>
        <w:trPr>
          <w:trHeight w:val="162"/>
        </w:trPr>
        <w:tc>
          <w:tcPr>
            <w:tcW w:w="9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1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December 31, 2005(#)(2)</w:t>
            </w:r>
          </w:p>
        </w:tc>
        <w:tc>
          <w:tcPr>
            <w:tcW w:w="17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December 31, 2005($)(2)(3)</w:t>
            </w:r>
          </w:p>
        </w:tc>
      </w:tr>
      <w:tr>
        <w:trPr>
          <w:trHeight w:val="142"/>
        </w:trPr>
        <w:tc>
          <w:tcPr>
            <w:tcW w:w="9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On Exercise (#)</w:t>
            </w:r>
          </w:p>
        </w:tc>
        <w:tc>
          <w:tcPr>
            <w:tcW w:w="220" w:type="dxa"/>
            <w:vAlign w:val="bottom"/>
          </w:tcPr>
          <w:p>
            <w:pPr>
              <w:spacing w:after="0"/>
              <w:rPr>
                <w:sz w:val="12"/>
                <w:szCs w:val="12"/>
                <w:color w:val="auto"/>
              </w:rPr>
            </w:pPr>
          </w:p>
        </w:tc>
        <w:tc>
          <w:tcPr>
            <w:tcW w:w="8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u w:val="single" w:color="auto"/>
                <w:color w:val="auto"/>
                <w:w w:val="87"/>
              </w:rPr>
              <w:t>Realized($</w:t>
            </w:r>
            <w:r>
              <w:rPr>
                <w:rFonts w:ascii="Arial" w:cs="Arial" w:eastAsia="Arial" w:hAnsi="Arial"/>
                <w:sz w:val="14"/>
                <w:szCs w:val="14"/>
                <w:b w:val="1"/>
                <w:bCs w:val="1"/>
                <w:color w:val="auto"/>
                <w:w w:val="87"/>
              </w:rPr>
              <w:t>)(1)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Exercisable</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2"/>
              </w:rPr>
              <w:t>Unexercisable</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Exercisable</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Unexercisable</w:t>
            </w:r>
          </w:p>
        </w:tc>
        <w:tc>
          <w:tcPr>
            <w:tcW w:w="20" w:type="dxa"/>
            <w:vAlign w:val="bottom"/>
          </w:tcPr>
          <w:p>
            <w:pPr>
              <w:spacing w:after="0"/>
              <w:rPr>
                <w:sz w:val="12"/>
                <w:szCs w:val="12"/>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F. Pinkerton, III</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354,562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248,438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228,845</w:t>
            </w:r>
          </w:p>
        </w:tc>
        <w:tc>
          <w:tcPr>
            <w:tcW w:w="2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Jim Clishem</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15,625</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409,375</w:t>
            </w:r>
          </w:p>
        </w:tc>
        <w:tc>
          <w:tcPr>
            <w:tcW w:w="700" w:type="dxa"/>
            <w:vAlign w:val="bottom"/>
          </w:tcPr>
          <w:p>
            <w:pPr>
              <w:jc w:val="right"/>
              <w:spacing w:after="0"/>
              <w:rPr>
                <w:sz w:val="20"/>
                <w:szCs w:val="20"/>
                <w:color w:val="auto"/>
              </w:rPr>
            </w:pPr>
            <w:r>
              <w:rPr>
                <w:rFonts w:ascii="Arial" w:cs="Arial" w:eastAsia="Arial" w:hAnsi="Arial"/>
                <w:sz w:val="18"/>
                <w:szCs w:val="18"/>
                <w:color w:val="auto"/>
              </w:rPr>
              <w:t>18,281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280,969</w:t>
            </w:r>
          </w:p>
        </w:tc>
        <w:tc>
          <w:tcPr>
            <w:tcW w:w="2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K. Penver</w:t>
            </w: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0" w:type="dxa"/>
            <w:vAlign w:val="bottom"/>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Sriram Sivaram (4)</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238,437</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231,563</w:t>
            </w:r>
          </w:p>
        </w:tc>
        <w:tc>
          <w:tcPr>
            <w:tcW w:w="700" w:type="dxa"/>
            <w:vAlign w:val="bottom"/>
          </w:tcPr>
          <w:p>
            <w:pPr>
              <w:jc w:val="right"/>
              <w:spacing w:after="0"/>
              <w:rPr>
                <w:sz w:val="20"/>
                <w:szCs w:val="20"/>
                <w:color w:val="auto"/>
              </w:rPr>
            </w:pPr>
            <w:r>
              <w:rPr>
                <w:rFonts w:ascii="Arial" w:cs="Arial" w:eastAsia="Arial" w:hAnsi="Arial"/>
                <w:sz w:val="18"/>
                <w:szCs w:val="18"/>
                <w:color w:val="auto"/>
              </w:rPr>
              <w:t>510,522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328,178</w:t>
            </w:r>
          </w:p>
        </w:tc>
        <w:tc>
          <w:tcPr>
            <w:tcW w:w="2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Gino (5)</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3"/>
              </w:rPr>
              <w:t>43,011</w:t>
            </w:r>
          </w:p>
        </w:tc>
        <w:tc>
          <w:tcPr>
            <w:tcW w:w="12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103,657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jc w:val="both"/>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 is determined by subtracting the exercise price from the fair market value of our common stock at December 30, 2005 ($3.85 per share based upon the closing sale price of our common stock on The NASDAQ National Market on such date) and multiplying by the number of shares underlying the options.</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Sivaram resigned from his employment with Active Power effective January 31, 2006 but has agreed to continue to serve as a consultant to us through June 30, 2006.</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Gino resigned as our Chief Operating Officer and Chief Financial Officer in March 2005. .</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Termination of Employment and Change in Control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a termination of employment and change in control arrangement in place with Joseph F. Pinkerton, III.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change in control arrangement in place with Jim Clishem. Upon a change in corporate control that results in a significant reduction in his role and/or responsibility within 12 months of the change in corporate control, our repurchase rights in 100,000 shares of restricted stock granted to Mr. Clishem will lapse.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 change in control arrangement in place with John K. Penver. Upon a change in corporate control that results in a significant reduction in his role and/or responsibility within 12 months of the change in corporate control Mr. Penver will receive four months of severance pay, which would result in a severance payment of $61,667 based on Mr. Penver’s current salary. Additionally, up to 75% of his originally granted 110,000 options will accelerate and vest immediately upon a change in control, to the extent not already vested.</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51" w:lineRule="exact"/>
        <w:rPr>
          <w:sz w:val="20"/>
          <w:szCs w:val="20"/>
          <w:color w:val="auto"/>
        </w:rPr>
      </w:pPr>
    </w:p>
    <w:p>
      <w:pPr>
        <w:jc w:val="both"/>
        <w:ind w:left="78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ind w:lef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64" w:lineRule="exact"/>
        <w:rPr>
          <w:sz w:val="20"/>
          <w:szCs w:val="20"/>
          <w:color w:val="auto"/>
        </w:rPr>
      </w:pPr>
    </w:p>
    <w:p>
      <w:pPr>
        <w:jc w:val="both"/>
        <w:ind w:left="780" w:hanging="326"/>
        <w:spacing w:after="0" w:line="306"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25" w:lineRule="exact"/>
        <w:rPr>
          <w:rFonts w:ascii="Arial" w:cs="Arial" w:eastAsia="Arial" w:hAnsi="Arial"/>
          <w:sz w:val="16"/>
          <w:szCs w:val="16"/>
          <w:color w:val="auto"/>
        </w:rPr>
      </w:pPr>
    </w:p>
    <w:p>
      <w:pPr>
        <w:jc w:val="both"/>
        <w:ind w:left="780" w:hanging="326"/>
        <w:spacing w:after="0" w:line="25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62" w:lineRule="exact"/>
        <w:rPr>
          <w:rFonts w:ascii="Arial" w:cs="Arial" w:eastAsia="Arial" w:hAnsi="Arial"/>
          <w:sz w:val="18"/>
          <w:szCs w:val="18"/>
          <w:color w:val="auto"/>
        </w:rPr>
      </w:pPr>
    </w:p>
    <w:p>
      <w:pPr>
        <w:jc w:val="both"/>
        <w:ind w:left="780" w:hanging="326"/>
        <w:spacing w:after="0" w:line="294"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Almgren, Boston, Rock and Scott, none of whom currently serves or has previously served as an officer or employee of Active Power.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2005 with respect to shares of our common stock that may be issued under our existing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A</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B</w:t>
            </w:r>
          </w:p>
        </w:tc>
        <w:tc>
          <w:tcPr>
            <w:tcW w:w="2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 Remaining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 Equity Compensation Plans</w:t>
            </w:r>
          </w:p>
        </w:tc>
        <w:tc>
          <w:tcPr>
            <w:tcW w:w="0" w:type="dxa"/>
            <w:vAlign w:val="bottom"/>
          </w:tcPr>
          <w:p>
            <w:pPr>
              <w:spacing w:after="0"/>
              <w:rPr>
                <w:sz w:val="1"/>
                <w:szCs w:val="1"/>
                <w:color w:val="auto"/>
              </w:rPr>
            </w:pPr>
          </w:p>
        </w:tc>
      </w:tr>
      <w:tr>
        <w:trPr>
          <w:trHeight w:val="149"/>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Plan Category</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(Excluding Securities Reflected in</w:t>
            </w:r>
          </w:p>
        </w:tc>
        <w:tc>
          <w:tcPr>
            <w:tcW w:w="0" w:type="dxa"/>
            <w:vAlign w:val="bottom"/>
          </w:tcPr>
          <w:p>
            <w:pPr>
              <w:spacing w:after="0"/>
              <w:rPr>
                <w:sz w:val="1"/>
                <w:szCs w:val="1"/>
                <w:color w:val="auto"/>
              </w:rPr>
            </w:pPr>
          </w:p>
        </w:tc>
      </w:tr>
      <w:tr>
        <w:trPr>
          <w:trHeight w:val="155"/>
        </w:trPr>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Outstanding Options</w:t>
            </w:r>
          </w:p>
        </w:tc>
        <w:tc>
          <w:tcPr>
            <w:tcW w:w="340" w:type="dxa"/>
            <w:vAlign w:val="bottom"/>
          </w:tcPr>
          <w:p>
            <w:pPr>
              <w:spacing w:after="0"/>
              <w:rPr>
                <w:sz w:val="13"/>
                <w:szCs w:val="13"/>
                <w:color w:val="auto"/>
              </w:rPr>
            </w:pPr>
          </w:p>
        </w:tc>
        <w:tc>
          <w:tcPr>
            <w:tcW w:w="190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7"/>
              </w:rPr>
              <w:t>Outstanding Options</w:t>
            </w:r>
          </w:p>
        </w:tc>
        <w:tc>
          <w:tcPr>
            <w:tcW w:w="22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w:t>
            </w:r>
          </w:p>
        </w:tc>
        <w:tc>
          <w:tcPr>
            <w:tcW w:w="12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Compensation</w:t>
            </w:r>
          </w:p>
        </w:tc>
        <w:tc>
          <w:tcPr>
            <w:tcW w:w="72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Plans</w:t>
            </w:r>
          </w:p>
        </w:tc>
        <w:tc>
          <w:tcPr>
            <w:tcW w:w="106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Approved</w:t>
            </w:r>
          </w:p>
        </w:tc>
        <w:tc>
          <w:tcPr>
            <w:tcW w:w="360" w:type="dxa"/>
            <w:vAlign w:val="bottom"/>
            <w:tcBorders>
              <w:top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w w:val="85"/>
              </w:rPr>
              <w:t>by</w:t>
            </w:r>
          </w:p>
        </w:tc>
        <w:tc>
          <w:tcPr>
            <w:tcW w:w="66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(1)</w:t>
            </w: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6,277,316(2)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center"/>
              <w:ind w:left="62"/>
              <w:spacing w:after="0"/>
              <w:rPr>
                <w:sz w:val="20"/>
                <w:szCs w:val="20"/>
                <w:color w:val="auto"/>
              </w:rPr>
            </w:pPr>
            <w:r>
              <w:rPr>
                <w:rFonts w:ascii="Arial" w:cs="Arial" w:eastAsia="Arial" w:hAnsi="Arial"/>
                <w:sz w:val="18"/>
                <w:szCs w:val="18"/>
                <w:color w:val="auto"/>
                <w:w w:val="91"/>
              </w:rPr>
              <w:t>4.55</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1,794,877(3)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9"/>
          </w:tcPr>
          <w:p>
            <w:pPr>
              <w:spacing w:after="0" w:line="201" w:lineRule="exact"/>
              <w:rPr>
                <w:sz w:val="20"/>
                <w:szCs w:val="20"/>
                <w:color w:val="auto"/>
              </w:rPr>
            </w:pPr>
            <w:r>
              <w:rPr>
                <w:rFonts w:ascii="Arial" w:cs="Arial" w:eastAsia="Arial" w:hAnsi="Arial"/>
                <w:sz w:val="18"/>
                <w:szCs w:val="18"/>
                <w:b w:val="1"/>
                <w:bCs w:val="1"/>
                <w:color w:val="auto"/>
              </w:rPr>
              <w:t>Equity  Compensation  Plans  Not  Approved  by</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Shareholders</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702"/>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20"/>
                <w:szCs w:val="20"/>
                <w:color w:val="auto"/>
              </w:rPr>
            </w:pPr>
          </w:p>
        </w:tc>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6,277,316(2)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center"/>
              <w:ind w:left="62"/>
              <w:spacing w:after="0"/>
              <w:rPr>
                <w:sz w:val="20"/>
                <w:szCs w:val="20"/>
                <w:color w:val="auto"/>
              </w:rPr>
            </w:pPr>
            <w:r>
              <w:rPr>
                <w:rFonts w:ascii="Arial" w:cs="Arial" w:eastAsia="Arial" w:hAnsi="Arial"/>
                <w:sz w:val="18"/>
                <w:szCs w:val="18"/>
                <w:b w:val="1"/>
                <w:bCs w:val="1"/>
                <w:color w:val="auto"/>
                <w:w w:val="91"/>
              </w:rPr>
              <w:t>4.55</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1,794,877(3)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the 1993 and 2000 Stock Incentive Plans and the 2000 Employee Stock Purchase Plan.</w:t>
      </w:r>
    </w:p>
    <w:p>
      <w:pPr>
        <w:spacing w:after="0" w:line="15"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purchase rights accruing under the company’s 2000 Employee Stock Purchase Plan, which was terminated on February 3, 2006 with a remaining stockholder approved reserve of 937,238 shares. Under the 2000 Employee Stock Purchase Plan, until January 31, 2005, each eligible employee was able to purchase 5,400 shares of Common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5" w:name="page26"/>
    <w:bookmarkEnd w:id="25"/>
    <w:p>
      <w:pPr>
        <w:jc w:val="both"/>
        <w:ind w:left="452"/>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at semi-annual intervals on the last U.S. business day of January and July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 From February 1, 2005 until January 31, 2006, each eligible employee was able to purchase 4,000 shares of Common Stock at semi-annual intervals on the last U.S. business day of January and July each year at a purchase price per share equal to 85% of the lower of (i) the closing selling price per share of Common Stock on the employee’s entry date into the one-year offering period in which that semi-annual purchase date occurs or (ii) the closing selling price per share on the semi-annual purchase date. The purchase price for the recently concluded one-year offering period was $3.15 per share, and the recently concluded one-year offering period lasted until January 31, 2006.</w:t>
      </w:r>
    </w:p>
    <w:p>
      <w:pPr>
        <w:spacing w:after="0" w:line="5" w:lineRule="exact"/>
        <w:rPr>
          <w:sz w:val="20"/>
          <w:szCs w:val="20"/>
          <w:color w:val="auto"/>
        </w:rPr>
      </w:pPr>
    </w:p>
    <w:p>
      <w:pPr>
        <w:jc w:val="both"/>
        <w:ind w:left="452" w:hanging="452"/>
        <w:spacing w:after="0" w:line="255"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2000 Employee Stock Purchase Plan and the 2000 Stock Incentive Plan. As of December 31, 2005, an aggregate of 937,238 shares of Common Stock were available for issuance under the 2000 Employee Stock Purchase Plan and 849,675 shares of Common Stock were available for issuance under the 2000 Stock Incentive Plan.</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12"/>
          </w:cols>
          <w:pgMar w:left="248" w:top="2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duty of the Compensation Committee to review and determine the salaries and bonuses of executive officers of Active Power and to establish the general compensation policies for such individuals. The compensation committee also has the sole and exclusive authority to make discretionary option grants to executive officers under our 2000 Stock Incentive Plan.</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Compensation Committee believes that the compensation programs for the company’s executive officers should reflect Active Power’s performance and the value created for Active Power’s stockholders, and to provide further incentive to create both long and short-term value for our stockholders. In addition, the compensation programs should support the short-term and long-term strategic goals and values of the company and should reward individual contribution to Active Power’s success. Active Power is engaged in a very competitive industry dominated by many large companies, and the company’s success depends upon its ability to attract and retain qualified executives through the competitive compensation packages it offers to such individuals.</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General compensation policy</w:t>
      </w:r>
      <w:r>
        <w:rPr>
          <w:rFonts w:ascii="Arial" w:cs="Arial" w:eastAsia="Arial" w:hAnsi="Arial"/>
          <w:sz w:val="16"/>
          <w:szCs w:val="16"/>
          <w:color w:val="auto"/>
        </w:rPr>
        <w:t>. The Compensation Committee’s policy is to provide the company’s executive officers with compensation opportunities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Factors</w:t>
      </w:r>
      <w:r>
        <w:rPr>
          <w:rFonts w:ascii="Arial" w:cs="Arial" w:eastAsia="Arial" w:hAnsi="Arial"/>
          <w:sz w:val="16"/>
          <w:szCs w:val="16"/>
          <w:color w:val="auto"/>
        </w:rPr>
        <w:t>. The principal factors that were taken into account in establishing each executive officer’s compensation package for 2005 are described below.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Compensation Committee may in its discretion apply entirely different factors, such as different measures of financial performance, for future years.</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In setting base salaries, the Compensation Committee reviewed published compensation survey data for our industry. The base salary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(ii) the competitive marketplace for persons in comparable positions; and (iii) Active Power’s annual performance versus the objectives set forth at the beginning of the year.</w:t>
      </w:r>
    </w:p>
    <w:p>
      <w:pPr>
        <w:spacing w:after="0" w:line="14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Annual incentives</w:t>
      </w:r>
      <w:r>
        <w:rPr>
          <w:rFonts w:ascii="Arial" w:cs="Arial" w:eastAsia="Arial" w:hAnsi="Arial"/>
          <w:sz w:val="16"/>
          <w:szCs w:val="16"/>
          <w:color w:val="auto"/>
        </w:rPr>
        <w:t>. In setting variable compensation payment amounts to executive officers, the Compensation Committee looks to external market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assemble competitive variable compensation levels in competitive companies and markets. The committee further established objective and subjective criteria for each executive officer and measured performance against these criteria. Based on the foregoing factors and the company’s performance in 2004, variable compensation was awarded in 2005 to our executive officers named in the Summary Compensation Table in the indicated amounts. In the first quarter of 2006, the Compensation Committee will review the executive officers’ performances against similar criteria established for 2005.</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 Generally, stock option grants are made annually by the Compensation Committee to each of the company’s executive officers. Each</w:t>
      </w:r>
      <w:r>
        <w:rPr>
          <w:rFonts w:ascii="Arial" w:cs="Arial" w:eastAsia="Arial" w:hAnsi="Arial"/>
          <w:sz w:val="16"/>
          <w:szCs w:val="16"/>
          <w:i w:val="1"/>
          <w:iCs w:val="1"/>
          <w:color w:val="auto"/>
        </w:rPr>
        <w:t xml:space="preserve"> </w:t>
      </w:r>
      <w:r>
        <w:rPr>
          <w:rFonts w:ascii="Arial" w:cs="Arial" w:eastAsia="Arial" w:hAnsi="Arial"/>
          <w:sz w:val="16"/>
          <w:szCs w:val="16"/>
          <w:color w:val="auto"/>
        </w:rPr>
        <w:t>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size of the option grant to each executive officer is set by the Compensation Committee at a level that is intended to create a meaningful opportunity for stock ownership based upon the individual’s current position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individual’s personal performance in recent periods and his or her potential for future responsibility and 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14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connection with the promotion of Jim Clishem as our President in November 2005, the Compensation Committee determined that a portion of Mr. Clishem’s compensation would be in the form of 100,000 shares of restricted common stock, that would be issued in 2006 following the filing of Active Power’s Annual Report on Form 10-K. The Compensation Committee determined that a portion of Mr. Clishem’s restricted stock grant would vest upon Mr. Clishem’s continued employment with Active Power and a portion would vest at the sole discretion of the Compensation Committee. The Compensation Committee utilized restricted stock as a means to increase the equity ownership position of Mr. Clishem and also in conjunction with a company-wide goal of reducing the number of stock options granted due to the financial impact of stock options under the new accounting standards. In 2006 the Compensation Committee will continue to evaluate the use of restricted stock as a portion of executive compensation.</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CEO compensation</w:t>
      </w:r>
      <w:r>
        <w:rPr>
          <w:rFonts w:ascii="Arial" w:cs="Arial" w:eastAsia="Arial" w:hAnsi="Arial"/>
          <w:sz w:val="16"/>
          <w:szCs w:val="16"/>
          <w:color w:val="auto"/>
        </w:rPr>
        <w:t>. In setting the total compensation payable to our Chief Executive Officer, Joseph F. Pinkerton III, in 2005,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took into consideration Mr. Pinkerton’s prior accomplishments and strategic leadership in our industry and also sought to make that compensation competitive with the compensation paid to the chief executive officers of comparable companies. Additionally, the Compensation Committee looked at Active Power’s performance and stock price appreciation for a significant percentage of his total compensation.</w:t>
      </w:r>
    </w:p>
    <w:p>
      <w:pPr>
        <w:spacing w:after="0" w:line="113"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In 2005, we maintained an employee stock purchase plan that qualifies under Section 423 of the Internal Revenue Code and</w:t>
      </w:r>
      <w:r>
        <w:rPr>
          <w:rFonts w:ascii="Arial" w:cs="Arial" w:eastAsia="Arial" w:hAnsi="Arial"/>
          <w:sz w:val="16"/>
          <w:szCs w:val="16"/>
          <w:i w:val="1"/>
          <w:iCs w:val="1"/>
          <w:color w:val="auto"/>
        </w:rPr>
        <w:t xml:space="preserve"> </w:t>
      </w:r>
      <w:r>
        <w:rPr>
          <w:rFonts w:ascii="Arial" w:cs="Arial" w:eastAsia="Arial" w:hAnsi="Arial"/>
          <w:sz w:val="16"/>
          <w:szCs w:val="16"/>
          <w:color w:val="auto"/>
        </w:rPr>
        <w:t>permits 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could designate up to 15% of their base compensation for the purchase of our common stock under this plan. Active Power’s executive officers are eligible to participate in this program, subject to any applicable tax laws. Effective February 1, 2005, our Board of Directors amended our employee stock purchase plan to</w:t>
      </w:r>
    </w:p>
    <w:p>
      <w:pPr>
        <w:spacing w:after="0" w:line="2" w:lineRule="exact"/>
        <w:rPr>
          <w:sz w:val="20"/>
          <w:szCs w:val="20"/>
          <w:color w:val="auto"/>
        </w:rPr>
      </w:pPr>
    </w:p>
    <w:p>
      <w:pPr>
        <w:jc w:val="both"/>
        <w:ind w:firstLine="8"/>
        <w:spacing w:after="0" w:line="288" w:lineRule="auto"/>
        <w:tabs>
          <w:tab w:leader="none" w:pos="2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reduce our current two year offering period to one year; (ii) reduce the maximum number of shares any individual participant may purchase in any semi-annual purchase period from 5,400 share to 4,000 shares; and (iii) reduce the maximum dollar amount of shares any individual participant may purchase during any calendar year from $25,000 to $20,000. These amendments were made to make the terms of our employee stock purchase plan consistent with those of plans offered by comparable companies, reduce the dilutive effect of this plan to our stockholders and mitigate the effect of non-cash charges to our income statement. Effective February 1, 2006, our Board of Directors terminated our Employee Stock Purchase Plan because the requirement of recording compensation expense in our income statement from this plan as a result of the adoption of a new accounting standard SFAS No. 123R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would be significantly detrimental to Active Power’s financial results.</w:t>
      </w:r>
    </w:p>
    <w:p>
      <w:pPr>
        <w:spacing w:after="0" w:line="12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maintain a plan that complies with the provisions of Section 401(k) of the Internal Revenue Code. Substantially all U.S.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are eligible to participate in this plan, and eligibility for participation commences upon hiring. We also maintain retirement plans for certain non-U.S. employees. Obligations under these plans are determined in accordance with local regulations and customs. Active Power’s executive officers are eligible to participate in this program, subject to any applicable tax laws.</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Compliance with internal revenue code section 162(m)</w:t>
      </w:r>
      <w:r>
        <w:rPr>
          <w:rFonts w:ascii="Arial" w:cs="Arial" w:eastAsia="Arial" w:hAnsi="Arial"/>
          <w:sz w:val="16"/>
          <w:szCs w:val="16"/>
          <w:color w:val="auto"/>
        </w:rPr>
        <w:t>. Section 162(m) of the Internal Revenue Code disallows a tax deduction to publicly held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2005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the opinion of the Compensation Committee that the executive compensation policies and plans provide the necessary total remuneration program to properly align the company’s performance and the interests of the company’s stockholders through the use of competitive and equitable executive compensation in a balanced and reasonable manner, for both the short and long-term.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L. Rock (Chair)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Ake Almgren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 Boston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Benjamin L. Scott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Performance Graph</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Index and a peer group of power technology companies having similar market capitalizations. Last year, we depicted a comparison of cumulative total stockholder returns with the CIBC Power Technology &amp; Growth Index, which was made up of most of the companies used in the peer group. This index, however, is no longer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96520</wp:posOffset>
            </wp:positionV>
            <wp:extent cx="5857240" cy="3910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57240"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“Power Tech Peer Group” consists of the following companies, all traded on The NASDAQ National Market: Active Power, Inc. (ACPW), American Superconductor Corp. (AMSC), Capstone Turbine, Inc. (CPST), FuelCell Energy, Inc. (FCEL), Plug Power, Inc. (PLUG), Distributed Energy Systems Corp. (DESC), and Satcon Technology Corp. (SATC).</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graph covers the period from December 29, 2000, the last trading day before the beginning of our fifth preceding fiscal year, through December 30, 2005, the last trading day of our most recently completed fiscal year.</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December 29, 2000 at the closing price on that date of $21.94 per share, in The NASDAQ Stock Market (U.S.) Index and the Power Tech Peer Group, and that all dividends, if any, were reinvested. No cash dividends have been declared or paid on our common stock.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2005.</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copy of our Annual Report to Stockholders for 2005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filed an Annual Report on Form 10-K with the Securities and Exchange Commission on February 27, 2006. Stockholders may obtain a copy of this report, without charge, by writing to the attention of Investor Relations, at our principal executive offices, located at 2128 W. Braker Lane, Braker 12, Austin, Texas 78758.</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27,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17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If Active Power obtains the affirmative vote of a majority of the holders of its outstanding shares of common stock in favor of Proposal Three, Article IV of Active Power’s Amended and Restated Certificate of Incorporation will be amended and restated to read in its entirety as follows:</w:t>
      </w:r>
    </w:p>
    <w:p>
      <w:pPr>
        <w:spacing w:after="0" w:line="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aggregate number of shares that the Company shall have authority to issue is One Hundred Sixty Million (160,000,000), (a) One Hundred Fifty Million (150,000,000) shares of which shall be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(b) Ten Million (10,000,000) shares of which shall be preferred stock, par value $0.001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Of such shares of Preferred Stock, Four Hundred Thousand (400,000) shall be designated as “Series A Junior Participating Preferred Stock,” the rights, preferences and privileges of which are set forth in the Certificate of Designation of Series A Junior Participating Preferred Stock of Active Power filed with the Secretary of State of Delaware on December 18, 2001.</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Common Stock</w:t>
      </w:r>
      <w:r>
        <w:rPr>
          <w:rFonts w:ascii="Arial" w:cs="Arial" w:eastAsia="Arial" w:hAnsi="Arial"/>
          <w:sz w:val="16"/>
          <w:szCs w:val="16"/>
          <w:color w:val="auto"/>
        </w:rPr>
        <w:t>. Each share of Common Stock shall have one vote on each matter submitted to a vote of the stockholders of the Company. Subject to the provisions of applicable law and the rights of the holders of the outstanding shares of Preferred Stock, if any, the holders of shares of Common Stock shall be entitled to receive, when and as declared by the Board of Directors of the Company, out of the assets of the Company legally available therefor, dividends or other distributions, whether payable in cash, property or securities of the Company. The holders of shares of Common Stock shall be entitled to receive, in proportion to the number of shares of Common Stock held, the net assets of the Company upon dissolution after any preferential amounts required to be paid or distributed to holders of outstanding shares of Preferred Stock, if any, are so paid or distributed.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90" w:lineRule="exact"/>
        <w:rPr>
          <w:sz w:val="20"/>
          <w:szCs w:val="20"/>
          <w:color w:val="auto"/>
        </w:rPr>
      </w:pPr>
    </w:p>
    <w:p>
      <w:pPr>
        <w:jc w:val="both"/>
        <w:ind w:firstLine="921"/>
        <w:spacing w:after="0" w:line="306" w:lineRule="auto"/>
        <w:tabs>
          <w:tab w:leader="none" w:pos="1088"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Series</w:t>
      </w:r>
      <w:r>
        <w:rPr>
          <w:rFonts w:ascii="Arial" w:cs="Arial" w:eastAsia="Arial" w:hAnsi="Arial"/>
          <w:sz w:val="16"/>
          <w:szCs w:val="16"/>
          <w:color w:val="auto"/>
        </w:rPr>
        <w:t>. The Preferred Stock may be issued from time to time by the Board of Directors as shares of one or more series. The description of shares of each additional series of Preferred Stock, including any designations, preferences, conversion and other rights, voting powers, restrictions, limitations as to dividends, qualifications, and terms and conditions of redemption shall be as set forth in resolutions adopted by the Board of Directors.</w:t>
      </w:r>
    </w:p>
    <w:p>
      <w:pPr>
        <w:spacing w:after="0" w:line="106" w:lineRule="exact"/>
        <w:rPr>
          <w:rFonts w:ascii="Arial" w:cs="Arial" w:eastAsia="Arial" w:hAnsi="Arial"/>
          <w:sz w:val="16"/>
          <w:szCs w:val="16"/>
          <w:color w:val="auto"/>
        </w:rPr>
      </w:pPr>
    </w:p>
    <w:p>
      <w:pPr>
        <w:jc w:val="both"/>
        <w:ind w:firstLine="921"/>
        <w:spacing w:after="0" w:line="291" w:lineRule="auto"/>
        <w:tabs>
          <w:tab w:leader="none" w:pos="110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Rights and Preferences</w:t>
      </w:r>
      <w:r>
        <w:rPr>
          <w:rFonts w:ascii="Arial" w:cs="Arial" w:eastAsia="Arial" w:hAnsi="Arial"/>
          <w:sz w:val="16"/>
          <w:szCs w:val="16"/>
          <w:color w:val="auto"/>
        </w:rPr>
        <w:t>. The Board of Directors is expressly authorized, at any time, by adopting resolutions providing for the issuance of, or providing for a change in the number of, shares of any particular series of Preferred Stock and, if and to the extent from time to time required by law, by filing certificates of amendment or designation which are effective without stockholder action, to increase or decrease the number of shares included in each series of Preferred Stock, but not below the number of shares then issued, and to set in any one or more respects the designations, preferences, conversion or other rights, voting powers, restrictions, limitations as to dividends, qualifications, or terms and conditions of redemption relating to the shares of each such series. The authority of the Board of Directors with respect to each series of Preferred Stock shall include, but not be limited to, setting or changing the following:</w:t>
      </w:r>
    </w:p>
    <w:p>
      <w:pPr>
        <w:spacing w:after="0" w:line="39" w:lineRule="exact"/>
        <w:rPr>
          <w:rFonts w:ascii="Arial" w:cs="Arial" w:eastAsia="Arial" w:hAnsi="Arial"/>
          <w:sz w:val="16"/>
          <w:szCs w:val="16"/>
          <w:color w:val="auto"/>
        </w:rPr>
      </w:pPr>
    </w:p>
    <w:p>
      <w:pPr>
        <w:ind w:firstLine="1492"/>
        <w:spacing w:after="0" w:line="268" w:lineRule="auto"/>
        <w:tabs>
          <w:tab w:leader="none" w:pos="16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dividend rate, if any, on shares of such series, the times of payment and the date from which dividends shall be accumulated, if dividends are to be cumulative;</w:t>
      </w:r>
    </w:p>
    <w:p>
      <w:pPr>
        <w:spacing w:after="0" w:line="131" w:lineRule="exact"/>
        <w:rPr>
          <w:rFonts w:ascii="Arial" w:cs="Arial" w:eastAsia="Arial" w:hAnsi="Arial"/>
          <w:sz w:val="18"/>
          <w:szCs w:val="18"/>
          <w:color w:val="auto"/>
        </w:rPr>
      </w:pPr>
    </w:p>
    <w:p>
      <w:pPr>
        <w:ind w:left="1660" w:hanging="168"/>
        <w:spacing w:after="0"/>
        <w:tabs>
          <w:tab w:leader="none" w:pos="1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whether the shares of such series shall be redeemable and, if so, the redemption price and the terms and conditions of such redemption;</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obligation, if any, of the Company to redeem shares of such series pursuant to a sinking fund;</w:t>
      </w:r>
    </w:p>
    <w:p>
      <w:pPr>
        <w:spacing w:after="0" w:line="171" w:lineRule="exact"/>
        <w:rPr>
          <w:rFonts w:ascii="Arial" w:cs="Arial" w:eastAsia="Arial" w:hAnsi="Arial"/>
          <w:sz w:val="18"/>
          <w:szCs w:val="18"/>
          <w:color w:val="auto"/>
        </w:rPr>
      </w:pPr>
    </w:p>
    <w:p>
      <w:pPr>
        <w:jc w:val="both"/>
        <w:ind w:firstLine="1492"/>
        <w:spacing w:after="0" w:line="259" w:lineRule="auto"/>
        <w:tabs>
          <w:tab w:leader="none" w:pos="16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whether shares of such series shall be convertible into, or exchangeable for, shares of stock of any other class or classes and, if so, the terms and conditions of such conversion or exchange, including the price or prices or the rate or rates of conversion or exchange and the terms of adjustment, if any;</w:t>
      </w:r>
    </w:p>
    <w:p>
      <w:pPr>
        <w:spacing w:after="0" w:line="140" w:lineRule="exact"/>
        <w:rPr>
          <w:rFonts w:ascii="Arial" w:cs="Arial" w:eastAsia="Arial" w:hAnsi="Arial"/>
          <w:sz w:val="18"/>
          <w:szCs w:val="18"/>
          <w:color w:val="auto"/>
        </w:rPr>
      </w:pPr>
    </w:p>
    <w:p>
      <w:pPr>
        <w:ind w:left="1660" w:hanging="168"/>
        <w:spacing w:after="0"/>
        <w:tabs>
          <w:tab w:leader="none" w:pos="1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whether the shares of such series shall have voting rights, in addition to the voting rights provided by law, and, if so, the extent of such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rights;</w:t>
      </w:r>
    </w:p>
    <w:p>
      <w:pPr>
        <w:spacing w:after="0" w:line="164" w:lineRule="exact"/>
        <w:rPr>
          <w:rFonts w:ascii="Arial" w:cs="Arial" w:eastAsia="Arial" w:hAnsi="Arial"/>
          <w:sz w:val="16"/>
          <w:szCs w:val="16"/>
          <w:color w:val="auto"/>
        </w:rPr>
      </w:pPr>
    </w:p>
    <w:p>
      <w:pPr>
        <w:ind w:left="1640" w:hanging="148"/>
        <w:spacing w:after="0"/>
        <w:tabs>
          <w:tab w:leader="none" w:pos="16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rights of the shares of such series in the event of voluntary or involuntary liquidation, dissolution or winding-up of the Company; and</w:t>
      </w:r>
    </w:p>
    <w:p>
      <w:pPr>
        <w:spacing w:after="0" w:line="194" w:lineRule="exact"/>
        <w:rPr>
          <w:rFonts w:ascii="Arial" w:cs="Arial" w:eastAsia="Arial" w:hAnsi="Arial"/>
          <w:sz w:val="16"/>
          <w:szCs w:val="16"/>
          <w:color w:val="auto"/>
        </w:rPr>
      </w:pPr>
    </w:p>
    <w:p>
      <w:pPr>
        <w:ind w:left="1660" w:hanging="168"/>
        <w:spacing w:after="0"/>
        <w:tabs>
          <w:tab w:leader="none" w:pos="1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other relative rights, powers, preferences, qualifications, limitations or restrictions thereof relating to such series.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[front of card]</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17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PROXY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PROXY IS SOLICITED ON BEHALF OF THE BOARD OF DIRECTORS OF ACTIVE POWER, INC.</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March 27, 2006, and appoints Michael Chibib the Proxy of the undersigned, with full power of substitution, to vote all shares of Common Stock of Active Power that the undersigned is entitled to vote, either on his or her own behalf or on behalf of any entity or entities, at the Annual Meeting to be held May 4, 2006 at 2128 W. Braker Lane, Austin, Texas 78758 (Braker 12), at 5:00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61"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ELECT THE FOLLOWING NOMINEES AS DIRECTORS:</w:t>
      </w:r>
    </w:p>
    <w:p>
      <w:pPr>
        <w:spacing w:after="0" w:line="225" w:lineRule="exact"/>
        <w:rPr>
          <w:rFonts w:ascii="Arial" w:cs="Arial" w:eastAsia="Arial" w:hAnsi="Arial"/>
          <w:sz w:val="18"/>
          <w:szCs w:val="18"/>
          <w:color w:val="auto"/>
        </w:rPr>
      </w:pPr>
    </w:p>
    <w:p>
      <w:pPr>
        <w:ind w:left="480" w:right="100"/>
        <w:spacing w:after="0" w:line="485" w:lineRule="auto"/>
        <w:rPr>
          <w:rFonts w:ascii="Arial" w:cs="Arial" w:eastAsia="Arial" w:hAnsi="Arial"/>
          <w:sz w:val="18"/>
          <w:szCs w:val="18"/>
          <w:color w:val="auto"/>
        </w:rPr>
      </w:pPr>
      <w:r>
        <w:rPr>
          <w:rFonts w:ascii="Arial" w:cs="Arial" w:eastAsia="Arial" w:hAnsi="Arial"/>
          <w:sz w:val="18"/>
          <w:szCs w:val="18"/>
          <w:color w:val="auto"/>
        </w:rPr>
        <w:t>Class III Directors to serve for a three-year term ending at the 2009 annual meeting of stockholders or until their successors are duly elected and qualified: Ake Almgren</w:t>
      </w:r>
    </w:p>
    <w:p>
      <w:pPr>
        <w:ind w:left="480" w:right="9740"/>
        <w:spacing w:after="0" w:line="578" w:lineRule="auto"/>
        <w:rPr>
          <w:rFonts w:ascii="Arial" w:cs="Arial" w:eastAsia="Arial" w:hAnsi="Arial"/>
          <w:sz w:val="18"/>
          <w:szCs w:val="18"/>
          <w:color w:val="auto"/>
        </w:rPr>
      </w:pPr>
      <w:r>
        <w:rPr>
          <w:rFonts w:ascii="Arial" w:cs="Arial" w:eastAsia="Arial" w:hAnsi="Arial"/>
          <w:sz w:val="15"/>
          <w:szCs w:val="15"/>
          <w:color w:val="auto"/>
        </w:rPr>
        <w:t>Brad Boston Joseph Pinkerton</w:t>
      </w:r>
    </w:p>
    <w:p>
      <w:pPr>
        <w:spacing w:after="0" w:line="1" w:lineRule="exact"/>
        <w:rPr>
          <w:sz w:val="20"/>
          <w:szCs w:val="20"/>
          <w:color w:val="auto"/>
        </w:rPr>
      </w:pPr>
    </w:p>
    <w:p>
      <w:pPr>
        <w:ind w:left="480"/>
        <w:spacing w:after="0" w:line="207" w:lineRule="exact"/>
        <w:tabs>
          <w:tab w:leader="none" w:pos="7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 ALL nominees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AUTHORITY to vote for ALL nominees</w:t>
      </w:r>
    </w:p>
    <w:p>
      <w:pPr>
        <w:spacing w:after="0" w:line="258" w:lineRule="exact"/>
        <w:rPr>
          <w:sz w:val="20"/>
          <w:szCs w:val="20"/>
          <w:color w:val="auto"/>
        </w:rPr>
      </w:pPr>
    </w:p>
    <w:p>
      <w:pPr>
        <w:ind w:left="680" w:hanging="199"/>
        <w:spacing w:after="0"/>
        <w:tabs>
          <w:tab w:leader="none" w:pos="68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FOR all nominees listed EXCEPT those listed below</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INSTRUCTION: To withhold authority to vote for any individual nominee, write that nominee’s name on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147955</wp:posOffset>
            </wp:positionV>
            <wp:extent cx="69462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(continued and to be signed on the reverse)</w:t>
      </w:r>
    </w:p>
    <w:p>
      <w:pPr>
        <w:sectPr>
          <w:pgSz w:w="11900" w:h="16838" w:orient="portrait"/>
          <w:cols w:equalWidth="0" w:num="1">
            <w:col w:w="11420"/>
          </w:cols>
          <w:pgMar w:left="240" w:top="27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8"/>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89"/>
              </w:rPr>
              <w:t>[reverse of card]</w:t>
            </w: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378"/>
        </w:trPr>
        <w:tc>
          <w:tcPr>
            <w:tcW w:w="2500" w:type="dxa"/>
            <w:vAlign w:val="bottom"/>
            <w:gridSpan w:val="3"/>
          </w:tcPr>
          <w:p>
            <w:pPr>
              <w:spacing w:after="0"/>
              <w:rPr>
                <w:sz w:val="20"/>
                <w:szCs w:val="20"/>
                <w:color w:val="auto"/>
              </w:rPr>
            </w:pPr>
            <w:r>
              <w:rPr>
                <w:rFonts w:ascii="Arial" w:cs="Arial" w:eastAsia="Arial" w:hAnsi="Arial"/>
                <w:sz w:val="18"/>
                <w:szCs w:val="18"/>
                <w:i w:val="1"/>
                <w:iCs w:val="1"/>
                <w:color w:val="auto"/>
              </w:rPr>
              <w:t>(continued from front)</w:t>
            </w:r>
          </w:p>
        </w:tc>
        <w:tc>
          <w:tcPr>
            <w:tcW w:w="150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9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2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15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7420" w:type="dxa"/>
            <w:vAlign w:val="bottom"/>
          </w:tcPr>
          <w:p>
            <w:pPr>
              <w:ind w:left="360"/>
              <w:spacing w:after="0"/>
              <w:rPr>
                <w:sz w:val="20"/>
                <w:szCs w:val="20"/>
                <w:color w:val="auto"/>
              </w:rPr>
            </w:pPr>
            <w:r>
              <w:rPr>
                <w:rFonts w:ascii="Arial" w:cs="Arial" w:eastAsia="Arial" w:hAnsi="Arial"/>
                <w:sz w:val="18"/>
                <w:szCs w:val="18"/>
                <w:color w:val="auto"/>
                <w:w w:val="99"/>
              </w:rPr>
              <w:t>TO  RATIFY  THE  APPOINTMENT  OF  ERNST  &amp;  YOUNG  LLP  AS  INDEPENDENT</w:t>
            </w:r>
          </w:p>
        </w:tc>
      </w:tr>
      <w:tr>
        <w:trPr>
          <w:trHeight w:val="222"/>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w w:val="94"/>
              </w:rPr>
              <w:t>AUDITORS FOR ACTIVE POWER FOR THE FISCAL YEAR ENDING DECEMBER 31, 2006.</w:t>
            </w: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96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p>
        </w:tc>
        <w:tc>
          <w:tcPr>
            <w:tcW w:w="12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AGAINST</w:t>
            </w:r>
          </w:p>
        </w:tc>
        <w:tc>
          <w:tcPr>
            <w:tcW w:w="15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ABSTAIN</w:t>
            </w:r>
          </w:p>
        </w:tc>
        <w:tc>
          <w:tcPr>
            <w:tcW w:w="7420" w:type="dxa"/>
            <w:vAlign w:val="bottom"/>
          </w:tcPr>
          <w:p>
            <w:pPr>
              <w:ind w:left="360"/>
              <w:spacing w:after="0"/>
              <w:rPr>
                <w:sz w:val="20"/>
                <w:szCs w:val="20"/>
                <w:color w:val="auto"/>
              </w:rPr>
            </w:pPr>
            <w:r>
              <w:rPr>
                <w:rFonts w:ascii="Arial" w:cs="Arial" w:eastAsia="Arial" w:hAnsi="Arial"/>
                <w:sz w:val="18"/>
                <w:szCs w:val="18"/>
                <w:color w:val="auto"/>
                <w:w w:val="98"/>
              </w:rPr>
              <w:t>TO APPROVE AMENDMENTS TO THE AMENDED AND RESTATED CERTIFICATE OF</w:t>
            </w:r>
          </w:p>
        </w:tc>
      </w:tr>
      <w:tr>
        <w:trPr>
          <w:trHeight w:val="222"/>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INCORPORATION.</w:t>
            </w: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00" w:right="2080"/>
        <w:spacing w:after="0" w:line="268" w:lineRule="auto"/>
        <w:rPr>
          <w:sz w:val="20"/>
          <w:szCs w:val="20"/>
          <w:color w:val="auto"/>
        </w:rPr>
      </w:pPr>
      <w:r>
        <w:rPr>
          <w:rFonts w:ascii="Arial" w:cs="Arial" w:eastAsia="Arial" w:hAnsi="Arial"/>
          <w:sz w:val="18"/>
          <w:szCs w:val="18"/>
          <w:color w:val="auto"/>
        </w:rPr>
        <w:t>In accordance with the discretion of the proxy holders, to act upon all matters incident to the conduct of the meeting and upon other matters as may properly come before the Annual Meeting.</w:t>
      </w:r>
    </w:p>
    <w:p>
      <w:pPr>
        <w:spacing w:after="0" w:line="132" w:lineRule="exact"/>
        <w:rPr>
          <w:sz w:val="20"/>
          <w:szCs w:val="20"/>
          <w:color w:val="auto"/>
        </w:rPr>
      </w:pPr>
    </w:p>
    <w:p>
      <w:pPr>
        <w:jc w:val="both"/>
        <w:ind w:firstLine="843"/>
        <w:spacing w:after="0" w:line="259" w:lineRule="auto"/>
        <w:rPr>
          <w:sz w:val="20"/>
          <w:szCs w:val="20"/>
          <w:color w:val="auto"/>
        </w:rPr>
      </w:pPr>
      <w:r>
        <w:rPr>
          <w:rFonts w:ascii="Arial" w:cs="Arial" w:eastAsia="Arial" w:hAnsi="Arial"/>
          <w:sz w:val="18"/>
          <w:szCs w:val="18"/>
          <w:color w:val="auto"/>
        </w:rPr>
        <w:t xml:space="preserve">The Board of Directors recommends a vote FOR the directors listed above and a vote FOR the listed proposals. This Proxy, when properly executed, will be voted as specified hereon. </w:t>
      </w:r>
      <w:r>
        <w:rPr>
          <w:rFonts w:ascii="Arial" w:cs="Arial" w:eastAsia="Arial" w:hAnsi="Arial"/>
          <w:sz w:val="18"/>
          <w:szCs w:val="18"/>
          <w:b w:val="1"/>
          <w:bCs w:val="1"/>
          <w:color w:val="auto"/>
        </w:rPr>
        <w:t>If no specification is made, this Proxy will be voted “FOR” the election of the directors listed above and “FOR” the</w:t>
      </w:r>
      <w:r>
        <w:rPr>
          <w:rFonts w:ascii="Arial" w:cs="Arial" w:eastAsia="Arial" w:hAnsi="Arial"/>
          <w:sz w:val="18"/>
          <w:szCs w:val="18"/>
          <w:color w:val="auto"/>
        </w:rPr>
        <w:t xml:space="preserve"> </w:t>
      </w:r>
      <w:r>
        <w:rPr>
          <w:rFonts w:ascii="Arial" w:cs="Arial" w:eastAsia="Arial" w:hAnsi="Arial"/>
          <w:sz w:val="18"/>
          <w:szCs w:val="18"/>
          <w:b w:val="1"/>
          <w:bCs w:val="1"/>
          <w:color w:val="auto"/>
        </w:rPr>
        <w:t>listed proposals</w:t>
      </w:r>
      <w:r>
        <w:rPr>
          <w:rFonts w:ascii="Arial" w:cs="Arial" w:eastAsia="Arial" w:hAnsi="Arial"/>
          <w:sz w:val="18"/>
          <w:szCs w:val="18"/>
          <w:color w:val="auto"/>
        </w:rPr>
        <w: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the name(s) appearing on each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certificate(s) over which you have voting authority:__________________________________________________________________</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(Print name(s) exactly as it (they) appear(s) on certificates)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Please sign your name: ________________________________________ Date: ____________________________________, 2006</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(Authorized Signature(s))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Please sign as your name appears hereon. If shares are held jointly, all holders must sign. When signing as attorney, executor,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or guardian, please give your full title.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Roman"/>
      <w:start w:val="4"/>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3"/>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2019-12-14T16:14:06Z</dcterms:created>
  <dcterms:modified xsi:type="dcterms:W3CDTF">2019-12-14T16:14:06Z</dcterms:modified>
</cp:coreProperties>
</file>