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986790</wp:posOffset>
            </wp:positionH>
            <wp:positionV relativeFrom="page">
              <wp:posOffset>150495</wp:posOffset>
            </wp:positionV>
            <wp:extent cx="557530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0" cy="6985"/>
                    </a:xfrm>
                    <a:prstGeom prst="rect">
                      <a:avLst/>
                    </a:prstGeom>
                    <a:noFill/>
                  </pic:spPr>
                </pic:pic>
              </a:graphicData>
            </a:graphic>
          </wp:anchor>
        </w:drawing>
        <w:drawing>
          <wp:anchor simplePos="0" relativeHeight="251657728" behindDoc="1" locked="0" layoutInCell="0" allowOverlap="1">
            <wp:simplePos x="0" y="0"/>
            <wp:positionH relativeFrom="page">
              <wp:posOffset>986790</wp:posOffset>
            </wp:positionH>
            <wp:positionV relativeFrom="page">
              <wp:posOffset>184785</wp:posOffset>
            </wp:positionV>
            <wp:extent cx="55753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0" cy="6985"/>
                    </a:xfrm>
                    <a:prstGeom prst="rect">
                      <a:avLst/>
                    </a:prstGeom>
                    <a:noFill/>
                  </pic:spPr>
                </pic:pic>
              </a:graphicData>
            </a:graphic>
          </wp:anchor>
        </w:drawing>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130175</wp:posOffset>
            </wp:positionV>
            <wp:extent cx="11753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148590</wp:posOffset>
            </wp:positionV>
            <wp:extent cx="11753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3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November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151130</wp:posOffset>
            </wp:positionV>
            <wp:extent cx="11753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P10,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142875</wp:posOffset>
            </wp:positionV>
            <wp:extent cx="11753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p>
      <w:pPr>
        <w:spacing w:after="0" w:line="359"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001-40937</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87-2908160</w:t>
      </w:r>
    </w:p>
    <w:p>
      <w:pPr>
        <w:spacing w:after="0" w:line="14" w:lineRule="exact"/>
        <w:rPr>
          <w:sz w:val="24"/>
          <w:szCs w:val="24"/>
          <w:color w:val="auto"/>
        </w:rPr>
      </w:pPr>
    </w:p>
    <w:p>
      <w:pPr>
        <w:sectPr>
          <w:pgSz w:w="11900" w:h="16838" w:orient="portrait"/>
          <w:cols w:equalWidth="0" w:num="3">
            <w:col w:w="3560" w:space="720"/>
            <w:col w:w="2140" w:space="720"/>
            <w:col w:w="1879"/>
          </w:cols>
          <w:pgMar w:left="1440" w:top="327" w:right="1440" w:bottom="1440" w:gutter="0" w:footer="0" w:header="0"/>
          <w:type w:val="continuous"/>
        </w:sectPr>
      </w:pPr>
    </w:p>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1"/>
          <w:szCs w:val="11"/>
          <w:b w:val="1"/>
          <w:bCs w:val="1"/>
          <w:color w:val="auto"/>
        </w:rPr>
        <w:t>(Commission</w:t>
      </w:r>
    </w:p>
    <w:p>
      <w:pPr>
        <w:spacing w:after="0"/>
        <w:rPr>
          <w:sz w:val="20"/>
          <w:szCs w:val="20"/>
          <w:color w:val="auto"/>
        </w:rPr>
      </w:pPr>
      <w:r>
        <w:rPr>
          <w:rFonts w:ascii="Times New Roman" w:cs="Times New Roman" w:eastAsia="Times New Roman" w:hAnsi="Times New Roman"/>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1079"/>
        <w:spacing w:after="0"/>
        <w:rPr>
          <w:sz w:val="20"/>
          <w:szCs w:val="20"/>
          <w:color w:val="auto"/>
        </w:rPr>
      </w:pPr>
      <w:r>
        <w:rPr>
          <w:rFonts w:ascii="Times New Roman" w:cs="Times New Roman" w:eastAsia="Times New Roman" w:hAnsi="Times New Roman"/>
          <w:sz w:val="11"/>
          <w:szCs w:val="11"/>
          <w:b w:val="1"/>
          <w:bCs w:val="1"/>
          <w:color w:val="auto"/>
        </w:rPr>
        <w:t>(IRS Employer</w:t>
      </w:r>
    </w:p>
    <w:p>
      <w:pPr>
        <w:jc w:val="center"/>
        <w:ind w:right="1079"/>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110" w:lineRule="exact"/>
        <w:rPr>
          <w:sz w:val="24"/>
          <w:szCs w:val="24"/>
          <w:color w:val="auto"/>
        </w:rPr>
      </w:pPr>
    </w:p>
    <w:p>
      <w:pPr>
        <w:sectPr>
          <w:pgSz w:w="11900" w:h="16838" w:orient="portrait"/>
          <w:cols w:equalWidth="0" w:num="3">
            <w:col w:w="3540" w:space="720"/>
            <w:col w:w="2060" w:space="720"/>
            <w:col w:w="1979"/>
          </w:cols>
          <w:pgMar w:left="1440" w:top="327" w:right="1440"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4"/>
          <w:szCs w:val="14"/>
          <w:b w:val="1"/>
          <w:bCs w:val="1"/>
          <w:color w:val="auto"/>
        </w:rPr>
        <w:t>4514 Cole Avenue, Suite 1600, Dallas,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75205</w:t>
      </w:r>
    </w:p>
    <w:p>
      <w:pPr>
        <w:spacing w:after="0" w:line="27" w:lineRule="exact"/>
        <w:rPr>
          <w:sz w:val="24"/>
          <w:szCs w:val="24"/>
          <w:color w:val="auto"/>
        </w:rPr>
      </w:pPr>
    </w:p>
    <w:p>
      <w:pPr>
        <w:sectPr>
          <w:pgSz w:w="11900" w:h="16838" w:orient="portrait"/>
          <w:cols w:equalWidth="0" w:num="2">
            <w:col w:w="5860" w:space="720"/>
            <w:col w:w="2439"/>
          </w:cols>
          <w:pgMar w:left="1440" w:top="327"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(Zip Code)</w:t>
      </w:r>
    </w:p>
    <w:p>
      <w:pPr>
        <w:spacing w:after="0" w:line="95" w:lineRule="exact"/>
        <w:rPr>
          <w:sz w:val="24"/>
          <w:szCs w:val="24"/>
          <w:color w:val="auto"/>
        </w:rPr>
      </w:pPr>
    </w:p>
    <w:p>
      <w:pPr>
        <w:sectPr>
          <w:pgSz w:w="11900" w:h="16838" w:orient="portrait"/>
          <w:cols w:equalWidth="0" w:num="2">
            <w:col w:w="5780" w:space="720"/>
            <w:col w:w="2519"/>
          </w:cols>
          <w:pgMar w:left="1440" w:top="327"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865-7998</w:t>
      </w: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137160</wp:posOffset>
            </wp:positionV>
            <wp:extent cx="11753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310" w:lineRule="exact"/>
        <w:rPr>
          <w:sz w:val="24"/>
          <w:szCs w:val="24"/>
          <w:color w:val="auto"/>
        </w:rPr>
      </w:pPr>
    </w:p>
    <w:p>
      <w:pPr>
        <w:ind w:left="120" w:right="499"/>
        <w:spacing w:after="0" w:line="293"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 provisions:</w:t>
      </w:r>
    </w:p>
    <w:p>
      <w:pPr>
        <w:spacing w:after="0" w:line="48" w:lineRule="exact"/>
        <w:rPr>
          <w:sz w:val="24"/>
          <w:szCs w:val="2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07" w:lineRule="exact"/>
        <w:rPr>
          <w:rFonts w:ascii="MS PGothic" w:cs="MS PGothic" w:eastAsia="MS PGothic" w:hAnsi="MS PGothic"/>
          <w:sz w:val="14"/>
          <w:szCs w:val="14"/>
          <w:color w:val="auto"/>
        </w:rPr>
      </w:pPr>
    </w:p>
    <w:p>
      <w:pPr>
        <w:ind w:left="460" w:right="2159" w:hanging="346"/>
        <w:spacing w:after="0" w:line="429" w:lineRule="auto"/>
        <w:tabs>
          <w:tab w:leader="none" w:pos="453"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120" w:type="dxa"/>
        <w:tblCellMar>
          <w:top w:w="0" w:type="dxa"/>
          <w:left w:w="0" w:type="dxa"/>
          <w:bottom w:w="0" w:type="dxa"/>
          <w:right w:w="0" w:type="dxa"/>
        </w:tblCellMar>
      </w:tblPr>
      <w:tr>
        <w:trPr>
          <w:trHeight w:val="119"/>
        </w:trPr>
        <w:tc>
          <w:tcPr>
            <w:tcW w:w="3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88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1"/>
                <w:szCs w:val="11"/>
                <w:b w:val="1"/>
                <w:bCs w:val="1"/>
                <w:color w:val="auto"/>
              </w:rPr>
              <w:t>Trading</w:t>
            </w:r>
          </w:p>
        </w:tc>
        <w:tc>
          <w:tcPr>
            <w:tcW w:w="282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rPr>
              <w:t>Name of each exchange</w:t>
            </w:r>
          </w:p>
        </w:tc>
        <w:tc>
          <w:tcPr>
            <w:tcW w:w="0" w:type="dxa"/>
            <w:vAlign w:val="bottom"/>
          </w:tcPr>
          <w:p>
            <w:pPr>
              <w:spacing w:after="0"/>
              <w:rPr>
                <w:sz w:val="1"/>
                <w:szCs w:val="1"/>
                <w:color w:val="auto"/>
              </w:rPr>
            </w:pPr>
          </w:p>
        </w:tc>
      </w:tr>
      <w:tr>
        <w:trPr>
          <w:trHeight w:val="148"/>
        </w:trPr>
        <w:tc>
          <w:tcPr>
            <w:tcW w:w="3080" w:type="dxa"/>
            <w:vAlign w:val="bottom"/>
            <w:gridSpan w:val="2"/>
            <w:vMerge w:val="continue"/>
          </w:tcPr>
          <w:p>
            <w:pPr>
              <w:spacing w:after="0"/>
              <w:rPr>
                <w:sz w:val="12"/>
                <w:szCs w:val="12"/>
                <w:color w:val="auto"/>
              </w:rPr>
            </w:pPr>
          </w:p>
        </w:tc>
        <w:tc>
          <w:tcPr>
            <w:tcW w:w="28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Symbol</w:t>
            </w: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on which registered</w:t>
            </w:r>
          </w:p>
        </w:tc>
        <w:tc>
          <w:tcPr>
            <w:tcW w:w="0" w:type="dxa"/>
            <w:vAlign w:val="bottom"/>
          </w:tcPr>
          <w:p>
            <w:pPr>
              <w:spacing w:after="0"/>
              <w:rPr>
                <w:sz w:val="1"/>
                <w:szCs w:val="1"/>
                <w:color w:val="auto"/>
              </w:rPr>
            </w:pPr>
          </w:p>
        </w:tc>
      </w:tr>
      <w:tr>
        <w:trPr>
          <w:trHeight w:val="146"/>
        </w:trPr>
        <w:tc>
          <w:tcPr>
            <w:tcW w:w="298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Class A Common Stock, par value $0.001 per</w:t>
            </w:r>
          </w:p>
        </w:tc>
        <w:tc>
          <w:tcPr>
            <w:tcW w:w="100" w:type="dxa"/>
            <w:vAlign w:val="bottom"/>
          </w:tcPr>
          <w:p>
            <w:pPr>
              <w:spacing w:after="0"/>
              <w:rPr>
                <w:sz w:val="12"/>
                <w:szCs w:val="12"/>
                <w:color w:val="auto"/>
              </w:rPr>
            </w:pPr>
          </w:p>
        </w:tc>
        <w:tc>
          <w:tcPr>
            <w:tcW w:w="280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PX</w:t>
            </w:r>
          </w:p>
        </w:tc>
        <w:tc>
          <w:tcPr>
            <w:tcW w:w="80" w:type="dxa"/>
            <w:vAlign w:val="bottom"/>
          </w:tcPr>
          <w:p>
            <w:pPr>
              <w:spacing w:after="0"/>
              <w:rPr>
                <w:sz w:val="12"/>
                <w:szCs w:val="12"/>
                <w:color w:val="auto"/>
              </w:rPr>
            </w:pPr>
          </w:p>
        </w:tc>
        <w:tc>
          <w:tcPr>
            <w:tcW w:w="282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New York Stock Exchange LLC</w:t>
            </w:r>
          </w:p>
        </w:tc>
        <w:tc>
          <w:tcPr>
            <w:tcW w:w="0" w:type="dxa"/>
            <w:vAlign w:val="bottom"/>
          </w:tcPr>
          <w:p>
            <w:pPr>
              <w:spacing w:after="0"/>
              <w:rPr>
                <w:sz w:val="1"/>
                <w:szCs w:val="1"/>
                <w:color w:val="auto"/>
              </w:rPr>
            </w:pPr>
          </w:p>
        </w:tc>
      </w:tr>
      <w:tr>
        <w:trPr>
          <w:trHeight w:val="172"/>
        </w:trPr>
        <w:tc>
          <w:tcPr>
            <w:tcW w:w="3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Series A Junior Participating Preferred Stock</w:t>
            </w: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 Rights</w:t>
            </w:r>
          </w:p>
        </w:tc>
        <w:tc>
          <w:tcPr>
            <w:tcW w:w="2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120" w:right="259" w:firstLine="351"/>
        <w:spacing w:after="0" w:line="29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ind w:left="71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53" w:lineRule="exact"/>
        <w:rPr>
          <w:sz w:val="24"/>
          <w:szCs w:val="24"/>
          <w:color w:val="auto"/>
        </w:rPr>
      </w:pPr>
    </w:p>
    <w:p>
      <w:pPr>
        <w:ind w:left="120" w:right="359"/>
        <w:spacing w:after="0" w:line="18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107315</wp:posOffset>
            </wp:positionV>
            <wp:extent cx="55753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5300" cy="698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141605</wp:posOffset>
            </wp:positionV>
            <wp:extent cx="55753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5300" cy="698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type w:val="continuous"/>
        </w:sectPr>
      </w:pPr>
    </w:p>
    <w:bookmarkStart w:id="1" w:name="page2"/>
    <w:bookmarkEnd w:id="1"/>
    <w:p>
      <w:pPr>
        <w:ind w:left="12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4"/>
          <w:szCs w:val="14"/>
          <w:b w:val="1"/>
          <w:bCs w:val="1"/>
          <w:color w:val="auto"/>
        </w:rPr>
        <w:t>Results of Operations and Financial Condition.</w:t>
      </w:r>
    </w:p>
    <w:p>
      <w:pPr>
        <w:spacing w:after="0" w:line="99" w:lineRule="exact"/>
        <w:rPr>
          <w:sz w:val="20"/>
          <w:szCs w:val="20"/>
          <w:color w:val="auto"/>
        </w:rPr>
      </w:pPr>
    </w:p>
    <w:p>
      <w:pPr>
        <w:jc w:val="both"/>
        <w:ind w:left="120" w:right="319" w:firstLine="351"/>
        <w:spacing w:after="0" w:line="275" w:lineRule="auto"/>
        <w:rPr>
          <w:sz w:val="20"/>
          <w:szCs w:val="20"/>
          <w:color w:val="auto"/>
        </w:rPr>
      </w:pPr>
      <w:r>
        <w:rPr>
          <w:rFonts w:ascii="Times New Roman" w:cs="Times New Roman" w:eastAsia="Times New Roman" w:hAnsi="Times New Roman"/>
          <w:sz w:val="14"/>
          <w:szCs w:val="14"/>
          <w:color w:val="auto"/>
        </w:rPr>
        <w:t>On November 10, 2022, P10, Inc. (the “Company”) issued a press release and detailed presentation announcing its financial results for its third quarter ended September 30, 2022. A copy of the press release and presentation are furnished as Exhibit 99.1 to this Current Report on Form 8-K and are incorporated by reference into this Item 2.02 as if fully set forth herein.</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Company plans to host a conference call at 8:30 a.m. Eastern Time on Thursday, November 10, 2022, to discuss these results.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information furnished by the Company pursuant to this Item 2.02, including Exhibit 99.1, shall not be deemed “filed” for purposes of</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Section 18 of the Securities Exchange Act of 1934, as amended (the “Exchange Act”) or otherwise subject to the liability of that section, and shall not be</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deemed to be incorporated by reference into any Company filing under the Securities Act of 1933, as amended, or the Exchange Act, regardless of any</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general incorporation language in such filing.</w:t>
      </w:r>
    </w:p>
    <w:p>
      <w:pPr>
        <w:spacing w:after="0" w:line="286"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99" w:lineRule="exact"/>
        <w:rPr>
          <w:sz w:val="20"/>
          <w:szCs w:val="20"/>
          <w:color w:val="auto"/>
        </w:rPr>
      </w:pPr>
    </w:p>
    <w:p>
      <w:pPr>
        <w:ind w:left="120" w:right="239" w:firstLine="351"/>
        <w:spacing w:after="0" w:line="293" w:lineRule="auto"/>
        <w:rPr>
          <w:sz w:val="20"/>
          <w:szCs w:val="20"/>
          <w:color w:val="auto"/>
        </w:rPr>
      </w:pPr>
      <w:r>
        <w:rPr>
          <w:rFonts w:ascii="Times New Roman" w:cs="Times New Roman" w:eastAsia="Times New Roman" w:hAnsi="Times New Roman"/>
          <w:sz w:val="14"/>
          <w:szCs w:val="14"/>
          <w:color w:val="auto"/>
        </w:rPr>
        <w:t xml:space="preserve">On November 10, 2022, the Company posted an investor presentation to its website at </w:t>
      </w:r>
      <w:r>
        <w:rPr>
          <w:rFonts w:ascii="Times New Roman" w:cs="Times New Roman" w:eastAsia="Times New Roman" w:hAnsi="Times New Roman"/>
          <w:sz w:val="14"/>
          <w:szCs w:val="14"/>
          <w:u w:val="single" w:color="auto"/>
          <w:color w:val="auto"/>
        </w:rPr>
        <w:t>https://ir.p10alts.com/</w:t>
      </w:r>
      <w:r>
        <w:rPr>
          <w:rFonts w:ascii="Times New Roman" w:cs="Times New Roman" w:eastAsia="Times New Roman" w:hAnsi="Times New Roman"/>
          <w:sz w:val="14"/>
          <w:szCs w:val="14"/>
          <w:color w:val="auto"/>
        </w:rPr>
        <w:t>. A copy of the investor presentation is attached as Exhibit 99.2 to this Current Report on Form 8-K.</w:t>
      </w:r>
    </w:p>
    <w:p>
      <w:pPr>
        <w:spacing w:after="0" w:line="123" w:lineRule="exact"/>
        <w:rPr>
          <w:sz w:val="20"/>
          <w:szCs w:val="20"/>
          <w:color w:val="auto"/>
        </w:rPr>
      </w:pPr>
    </w:p>
    <w:p>
      <w:pPr>
        <w:ind w:left="120" w:right="119" w:firstLine="351"/>
        <w:spacing w:after="0" w:line="265" w:lineRule="auto"/>
        <w:rPr>
          <w:sz w:val="20"/>
          <w:szCs w:val="20"/>
          <w:color w:val="auto"/>
        </w:rPr>
      </w:pPr>
      <w:r>
        <w:rPr>
          <w:rFonts w:ascii="Times New Roman" w:cs="Times New Roman" w:eastAsia="Times New Roman" w:hAnsi="Times New Roman"/>
          <w:sz w:val="14"/>
          <w:szCs w:val="14"/>
          <w:color w:val="auto"/>
        </w:rPr>
        <w:t>The information in this Current Report on Form 8-K, including Exhibit 99.2 attached hereto, is being furnished and shall not be deemed “filed” for the purposes of Section 18 of the Exchange, or otherwise subject to the liabilities of that Section, nor shall it be deemed subject to the requirements of amended Item 10 of Regulation S-K, nor shall it be deemed incorporated by reference into any filing of the Company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w:t>
      </w:r>
    </w:p>
    <w:p>
      <w:pPr>
        <w:spacing w:after="0" w:line="260"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10" w:lineRule="exact"/>
        <w:rPr>
          <w:sz w:val="20"/>
          <w:szCs w:val="20"/>
          <w:color w:val="auto"/>
        </w:rPr>
      </w:pPr>
    </w:p>
    <w:p>
      <w:pPr>
        <w:ind w:left="460" w:hanging="346"/>
        <w:spacing w:after="0"/>
        <w:tabs>
          <w:tab w:leader="none" w:pos="4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Exhibit</w:t>
      </w:r>
    </w:p>
    <w:p>
      <w:pPr>
        <w:spacing w:after="0" w:line="4" w:lineRule="exact"/>
        <w:rPr>
          <w:sz w:val="20"/>
          <w:szCs w:val="20"/>
          <w:color w:val="auto"/>
        </w:rPr>
      </w:pPr>
    </w:p>
    <w:p>
      <w:pPr>
        <w:ind w:left="560"/>
        <w:spacing w:after="0"/>
        <w:tabs>
          <w:tab w:leader="none" w:pos="1100" w:val="left"/>
        </w:tabs>
        <w:rPr>
          <w:sz w:val="20"/>
          <w:szCs w:val="20"/>
          <w:color w:val="auto"/>
        </w:rPr>
      </w:pPr>
      <w:r>
        <w:rPr>
          <w:rFonts w:ascii="Times New Roman" w:cs="Times New Roman" w:eastAsia="Times New Roman" w:hAnsi="Times New Roman"/>
          <w:sz w:val="11"/>
          <w:szCs w:val="11"/>
          <w:color w:val="auto"/>
        </w:rPr>
        <w:t>No.</w:t>
      </w:r>
      <w:r>
        <w:rPr>
          <w:sz w:val="20"/>
          <w:szCs w:val="20"/>
          <w:color w:val="auto"/>
        </w:rPr>
        <w:tab/>
      </w:r>
      <w:r>
        <w:rPr>
          <w:rFonts w:ascii="Times New Roman" w:cs="Times New Roman" w:eastAsia="Times New Roman" w:hAnsi="Times New Roman"/>
          <w:sz w:val="11"/>
          <w:szCs w:val="1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-1270</wp:posOffset>
            </wp:positionV>
            <wp:extent cx="21844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8440" cy="6985"/>
                    </a:xfrm>
                    <a:prstGeom prst="rect">
                      <a:avLst/>
                    </a:prstGeom>
                    <a:noFill/>
                  </pic:spPr>
                </pic:pic>
              </a:graphicData>
            </a:graphic>
          </wp:anchor>
        </w:drawing>
      </w:r>
    </w:p>
    <w:p>
      <w:pPr>
        <w:spacing w:after="0" w:line="59" w:lineRule="exact"/>
        <w:rPr>
          <w:sz w:val="20"/>
          <w:szCs w:val="20"/>
          <w:color w:val="auto"/>
        </w:rPr>
      </w:pPr>
    </w:p>
    <w:p>
      <w:pPr>
        <w:ind w:left="460"/>
        <w:spacing w:after="0"/>
        <w:tabs>
          <w:tab w:leader="none" w:pos="1100" w:val="left"/>
        </w:tabs>
        <w:rPr>
          <w:sz w:val="20"/>
          <w:szCs w:val="20"/>
          <w:color w:val="auto"/>
        </w:rPr>
      </w:pPr>
      <w:r>
        <w:rPr>
          <w:rFonts w:ascii="Times New Roman" w:cs="Times New Roman" w:eastAsia="Times New Roman" w:hAnsi="Times New Roman"/>
          <w:sz w:val="14"/>
          <w:szCs w:val="14"/>
          <w:color w:val="auto"/>
        </w:rPr>
        <w:t>99.1</w:t>
      </w:r>
      <w:r>
        <w:rPr>
          <w:sz w:val="20"/>
          <w:szCs w:val="20"/>
          <w:color w:val="auto"/>
        </w:rPr>
        <w:tab/>
      </w:r>
      <w:r>
        <w:rPr>
          <w:rFonts w:ascii="Times New Roman" w:cs="Times New Roman" w:eastAsia="Times New Roman" w:hAnsi="Times New Roman"/>
          <w:sz w:val="14"/>
          <w:szCs w:val="14"/>
          <w:u w:val="single" w:color="auto"/>
          <w:color w:val="0000EE"/>
        </w:rPr>
        <w:t>Press Release of P10, Inc., dated November 10, 2022 and Q3 2022 earnings presentation.</w:t>
      </w:r>
    </w:p>
    <w:p>
      <w:pPr>
        <w:spacing w:after="0" w:line="97" w:lineRule="exact"/>
        <w:rPr>
          <w:sz w:val="20"/>
          <w:szCs w:val="20"/>
          <w:color w:val="auto"/>
        </w:rPr>
      </w:pPr>
    </w:p>
    <w:p>
      <w:pPr>
        <w:ind w:left="460"/>
        <w:spacing w:after="0"/>
        <w:tabs>
          <w:tab w:leader="none" w:pos="1100" w:val="left"/>
        </w:tabs>
        <w:rPr>
          <w:sz w:val="20"/>
          <w:szCs w:val="20"/>
          <w:color w:val="auto"/>
        </w:rPr>
      </w:pPr>
      <w:r>
        <w:rPr>
          <w:rFonts w:ascii="Times New Roman" w:cs="Times New Roman" w:eastAsia="Times New Roman" w:hAnsi="Times New Roman"/>
          <w:sz w:val="14"/>
          <w:szCs w:val="14"/>
          <w:color w:val="auto"/>
        </w:rPr>
        <w:t>99.2</w:t>
      </w:r>
      <w:r>
        <w:rPr>
          <w:sz w:val="20"/>
          <w:szCs w:val="20"/>
          <w:color w:val="auto"/>
        </w:rPr>
        <w:tab/>
      </w:r>
      <w:r>
        <w:rPr>
          <w:rFonts w:ascii="Times New Roman" w:cs="Times New Roman" w:eastAsia="Times New Roman" w:hAnsi="Times New Roman"/>
          <w:sz w:val="14"/>
          <w:szCs w:val="14"/>
          <w:u w:val="single" w:color="auto"/>
          <w:color w:val="0000EE"/>
        </w:rPr>
        <w:t>Q3 2022 Company Overview dated November 10, 2022.</w:t>
      </w:r>
    </w:p>
    <w:p>
      <w:pPr>
        <w:spacing w:after="0" w:line="97" w:lineRule="exact"/>
        <w:rPr>
          <w:sz w:val="20"/>
          <w:szCs w:val="20"/>
          <w:color w:val="auto"/>
        </w:rPr>
      </w:pPr>
    </w:p>
    <w:p>
      <w:pPr>
        <w:ind w:left="460"/>
        <w:spacing w:after="0"/>
        <w:tabs>
          <w:tab w:leader="none" w:pos="110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(formatted as inline XBRL)</w:t>
      </w:r>
    </w:p>
    <w:p>
      <w:pPr>
        <w:sectPr>
          <w:pgSz w:w="11900" w:h="16838" w:orient="portrait"/>
          <w:cols w:equalWidth="0" w:num="1">
            <w:col w:w="9019"/>
          </w:cols>
          <w:pgMar w:left="1440" w:top="26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SIGNATURES</w:t>
      </w:r>
    </w:p>
    <w:p>
      <w:pPr>
        <w:spacing w:after="0" w:line="185" w:lineRule="exact"/>
        <w:rPr>
          <w:sz w:val="20"/>
          <w:szCs w:val="20"/>
          <w:color w:val="auto"/>
        </w:rPr>
      </w:pPr>
    </w:p>
    <w:p>
      <w:pPr>
        <w:ind w:left="120" w:right="359" w:firstLine="351"/>
        <w:spacing w:after="0" w:line="29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2980" w:type="dxa"/>
            <w:vAlign w:val="bottom"/>
          </w:tcPr>
          <w:p>
            <w:pPr>
              <w:spacing w:after="0"/>
              <w:rPr>
                <w:sz w:val="16"/>
                <w:szCs w:val="16"/>
                <w:color w:val="auto"/>
              </w:rPr>
            </w:pPr>
          </w:p>
        </w:tc>
        <w:tc>
          <w:tcPr>
            <w:tcW w:w="5800" w:type="dxa"/>
            <w:vAlign w:val="bottom"/>
            <w:gridSpan w:val="2"/>
          </w:tcPr>
          <w:p>
            <w:pPr>
              <w:ind w:left="1420"/>
              <w:spacing w:after="0"/>
              <w:rPr>
                <w:sz w:val="20"/>
                <w:szCs w:val="20"/>
                <w:color w:val="auto"/>
              </w:rPr>
            </w:pPr>
            <w:r>
              <w:rPr>
                <w:rFonts w:ascii="Times New Roman" w:cs="Times New Roman" w:eastAsia="Times New Roman" w:hAnsi="Times New Roman"/>
                <w:sz w:val="14"/>
                <w:szCs w:val="14"/>
                <w:b w:val="1"/>
                <w:bCs w:val="1"/>
                <w:color w:val="auto"/>
              </w:rPr>
              <w:t>P10, INC.</w:t>
            </w:r>
          </w:p>
        </w:tc>
      </w:tr>
      <w:tr>
        <w:trPr>
          <w:trHeight w:val="345"/>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Dated: November 10, 2022</w:t>
            </w:r>
          </w:p>
        </w:tc>
        <w:tc>
          <w:tcPr>
            <w:tcW w:w="194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Amanda Coussens</w:t>
            </w:r>
          </w:p>
        </w:tc>
      </w:tr>
      <w:tr>
        <w:trPr>
          <w:trHeight w:val="159"/>
        </w:trPr>
        <w:tc>
          <w:tcPr>
            <w:tcW w:w="2980" w:type="dxa"/>
            <w:vAlign w:val="bottom"/>
          </w:tcPr>
          <w:p>
            <w:pPr>
              <w:spacing w:after="0"/>
              <w:rPr>
                <w:sz w:val="13"/>
                <w:szCs w:val="13"/>
                <w:color w:val="auto"/>
              </w:rPr>
            </w:pPr>
          </w:p>
        </w:tc>
        <w:tc>
          <w:tcPr>
            <w:tcW w:w="1940" w:type="dxa"/>
            <w:vAlign w:val="bottom"/>
          </w:tcPr>
          <w:p>
            <w:pPr>
              <w:ind w:left="1420"/>
              <w:spacing w:after="0" w:line="159" w:lineRule="exact"/>
              <w:rPr>
                <w:sz w:val="20"/>
                <w:szCs w:val="20"/>
                <w:color w:val="auto"/>
              </w:rPr>
            </w:pPr>
            <w:r>
              <w:rPr>
                <w:rFonts w:ascii="Times New Roman" w:cs="Times New Roman" w:eastAsia="Times New Roman" w:hAnsi="Times New Roman"/>
                <w:sz w:val="14"/>
                <w:szCs w:val="14"/>
                <w:color w:val="auto"/>
              </w:rPr>
              <w:t>Name:</w:t>
            </w:r>
          </w:p>
        </w:tc>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Amanda Coussens</w:t>
            </w:r>
          </w:p>
        </w:tc>
      </w:tr>
      <w:tr>
        <w:trPr>
          <w:trHeight w:val="186"/>
        </w:trPr>
        <w:tc>
          <w:tcPr>
            <w:tcW w:w="2980" w:type="dxa"/>
            <w:vAlign w:val="bottom"/>
          </w:tcPr>
          <w:p>
            <w:pPr>
              <w:spacing w:after="0"/>
              <w:rPr>
                <w:sz w:val="16"/>
                <w:szCs w:val="16"/>
                <w:color w:val="auto"/>
              </w:rPr>
            </w:pPr>
          </w:p>
        </w:tc>
        <w:tc>
          <w:tcPr>
            <w:tcW w:w="194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Title:</w:t>
            </w: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9019"/>
          </w:cols>
          <w:pgMar w:left="1440" w:top="263" w:right="1440" w:bottom="1440" w:gutter="0" w:footer="0" w:header="0"/>
        </w:sectPr>
      </w:pPr>
    </w:p>
    <w:bookmarkStart w:id="3" w:name="page4"/>
    <w:bookmarkEnd w:id="3"/>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140970</wp:posOffset>
            </wp:positionV>
            <wp:extent cx="703580" cy="361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580" cy="361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P10 Reports Third Quarter 2022 Results</w:t>
      </w:r>
    </w:p>
    <w:p>
      <w:pPr>
        <w:spacing w:after="0" w:line="183" w:lineRule="exact"/>
        <w:rPr>
          <w:sz w:val="20"/>
          <w:szCs w:val="20"/>
          <w:color w:val="auto"/>
        </w:rPr>
      </w:pPr>
    </w:p>
    <w:p>
      <w:pPr>
        <w:jc w:val="center"/>
        <w:ind w:left="120" w:right="139"/>
        <w:spacing w:after="0" w:line="296" w:lineRule="auto"/>
        <w:rPr>
          <w:sz w:val="20"/>
          <w:szCs w:val="20"/>
          <w:color w:val="auto"/>
        </w:rPr>
      </w:pPr>
      <w:r>
        <w:rPr>
          <w:rFonts w:ascii="Times New Roman" w:cs="Times New Roman" w:eastAsia="Times New Roman" w:hAnsi="Times New Roman"/>
          <w:sz w:val="14"/>
          <w:szCs w:val="14"/>
          <w:i w:val="1"/>
          <w:iCs w:val="1"/>
          <w:color w:val="auto"/>
        </w:rPr>
        <w:t>Record Results Driven by a 31% Increase in Year-Over-Year Revenue and a 17% Increase in Year-Over-Year Fee Paying Assets Under Management. Company Declares Cash Dividend of $.03 Per Share</w:t>
      </w:r>
    </w:p>
    <w:p>
      <w:pPr>
        <w:spacing w:after="0" w:line="119" w:lineRule="exact"/>
        <w:rPr>
          <w:sz w:val="20"/>
          <w:szCs w:val="20"/>
          <w:color w:val="auto"/>
        </w:rPr>
      </w:pPr>
    </w:p>
    <w:p>
      <w:pPr>
        <w:ind w:left="120" w:right="199"/>
        <w:spacing w:after="0" w:line="296" w:lineRule="auto"/>
        <w:rPr>
          <w:sz w:val="20"/>
          <w:szCs w:val="20"/>
          <w:color w:val="auto"/>
        </w:rPr>
      </w:pPr>
      <w:r>
        <w:rPr>
          <w:rFonts w:ascii="Times New Roman" w:cs="Times New Roman" w:eastAsia="Times New Roman" w:hAnsi="Times New Roman"/>
          <w:sz w:val="14"/>
          <w:szCs w:val="14"/>
          <w:b w:val="1"/>
          <w:bCs w:val="1"/>
          <w:color w:val="auto"/>
        </w:rPr>
        <w:t xml:space="preserve">Dallas, Texas – November 10, 2022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P10, Inc.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(NYSE: PX), a leading private markets solutions provider, today reported financial results for the third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quarter ended September 30, 2022.</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Third Quarter 2022 Financial Highlights:</w:t>
      </w:r>
    </w:p>
    <w:p>
      <w:pPr>
        <w:spacing w:after="0" w:line="108" w:lineRule="exact"/>
        <w:rPr>
          <w:sz w:val="20"/>
          <w:szCs w:val="20"/>
          <w:color w:val="auto"/>
        </w:rPr>
      </w:pPr>
    </w:p>
    <w:p>
      <w:pPr>
        <w:ind w:left="460" w:hanging="260"/>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 Paying Assets Under Management: $19 billion, a 17% increase year-over-year.</w:t>
      </w:r>
    </w:p>
    <w:p>
      <w:pPr>
        <w:spacing w:after="0" w:line="108" w:lineRule="exact"/>
        <w:rPr>
          <w:rFonts w:ascii="Times New Roman" w:cs="Times New Roman" w:eastAsia="Times New Roman" w:hAnsi="Times New Roman"/>
          <w:sz w:val="14"/>
          <w:szCs w:val="14"/>
          <w:color w:val="auto"/>
        </w:rPr>
      </w:pPr>
    </w:p>
    <w:p>
      <w:pPr>
        <w:ind w:left="460" w:hanging="260"/>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$50 million, a 31% increase year-over-year.</w:t>
      </w:r>
    </w:p>
    <w:p>
      <w:pPr>
        <w:spacing w:after="0" w:line="107" w:lineRule="exact"/>
        <w:rPr>
          <w:rFonts w:ascii="Times New Roman" w:cs="Times New Roman" w:eastAsia="Times New Roman" w:hAnsi="Times New Roman"/>
          <w:sz w:val="14"/>
          <w:szCs w:val="14"/>
          <w:color w:val="auto"/>
        </w:rPr>
      </w:pPr>
    </w:p>
    <w:p>
      <w:pPr>
        <w:ind w:left="460" w:hanging="260"/>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GAAP Net Income: $5.6 million, a 38% increase year-over-year.</w:t>
      </w:r>
    </w:p>
    <w:p>
      <w:pPr>
        <w:spacing w:after="0" w:line="108" w:lineRule="exact"/>
        <w:rPr>
          <w:rFonts w:ascii="Times New Roman" w:cs="Times New Roman" w:eastAsia="Times New Roman" w:hAnsi="Times New Roman"/>
          <w:sz w:val="14"/>
          <w:szCs w:val="14"/>
          <w:color w:val="auto"/>
        </w:rPr>
      </w:pPr>
    </w:p>
    <w:p>
      <w:pPr>
        <w:ind w:left="460" w:hanging="260"/>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$27.8 million, a 28% increase year-over-year.</w:t>
      </w:r>
    </w:p>
    <w:p>
      <w:pPr>
        <w:spacing w:after="0" w:line="107" w:lineRule="exact"/>
        <w:rPr>
          <w:rFonts w:ascii="Times New Roman" w:cs="Times New Roman" w:eastAsia="Times New Roman" w:hAnsi="Times New Roman"/>
          <w:sz w:val="14"/>
          <w:szCs w:val="14"/>
          <w:color w:val="auto"/>
        </w:rPr>
      </w:pPr>
    </w:p>
    <w:p>
      <w:pPr>
        <w:ind w:left="460" w:hanging="260"/>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Net Income (ANI): $25.1 million, a 56% increase year-over-year.</w:t>
      </w:r>
    </w:p>
    <w:p>
      <w:pPr>
        <w:spacing w:after="0" w:line="107" w:lineRule="exact"/>
        <w:rPr>
          <w:rFonts w:ascii="Times New Roman" w:cs="Times New Roman" w:eastAsia="Times New Roman" w:hAnsi="Times New Roman"/>
          <w:sz w:val="14"/>
          <w:szCs w:val="14"/>
          <w:color w:val="auto"/>
        </w:rPr>
      </w:pPr>
    </w:p>
    <w:p>
      <w:pPr>
        <w:ind w:left="460" w:hanging="260"/>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Fully diluted GAAP EPS: $.05, a 23% increase year-over-year.</w:t>
      </w:r>
    </w:p>
    <w:p>
      <w:pPr>
        <w:spacing w:after="0" w:line="108" w:lineRule="exact"/>
        <w:rPr>
          <w:rFonts w:ascii="Times New Roman" w:cs="Times New Roman" w:eastAsia="Times New Roman" w:hAnsi="Times New Roman"/>
          <w:sz w:val="14"/>
          <w:szCs w:val="14"/>
          <w:color w:val="auto"/>
        </w:rPr>
      </w:pPr>
    </w:p>
    <w:p>
      <w:pPr>
        <w:ind w:left="460" w:hanging="260"/>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Fully diluted ANI per share: $.21, a 41% increase year-over-year.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Declaration of Dividend:</w:t>
      </w:r>
    </w:p>
    <w:p>
      <w:pPr>
        <w:spacing w:after="0" w:line="97" w:lineRule="exact"/>
        <w:rPr>
          <w:sz w:val="20"/>
          <w:szCs w:val="20"/>
          <w:color w:val="auto"/>
        </w:rPr>
      </w:pPr>
    </w:p>
    <w:p>
      <w:pPr>
        <w:ind w:left="120" w:right="459"/>
        <w:spacing w:after="0" w:line="293" w:lineRule="auto"/>
        <w:rPr>
          <w:sz w:val="20"/>
          <w:szCs w:val="20"/>
          <w:color w:val="auto"/>
        </w:rPr>
      </w:pPr>
      <w:r>
        <w:rPr>
          <w:rFonts w:ascii="Times New Roman" w:cs="Times New Roman" w:eastAsia="Times New Roman" w:hAnsi="Times New Roman"/>
          <w:sz w:val="14"/>
          <w:szCs w:val="14"/>
          <w:color w:val="auto"/>
        </w:rPr>
        <w:t>The Board of Directors of the Company has declared a quarterly cash dividend of $.03 per share of Class A and Class B common stock, payable on December 20, 2022, to the holders of record as of the close of business on November 30, 2022.</w:t>
      </w:r>
    </w:p>
    <w:p>
      <w:pPr>
        <w:spacing w:after="0" w:line="123" w:lineRule="exact"/>
        <w:rPr>
          <w:sz w:val="20"/>
          <w:szCs w:val="20"/>
          <w:color w:val="auto"/>
        </w:rPr>
      </w:pPr>
    </w:p>
    <w:p>
      <w:pPr>
        <w:ind w:left="120" w:right="199"/>
        <w:spacing w:after="0" w:line="275" w:lineRule="auto"/>
        <w:rPr>
          <w:sz w:val="20"/>
          <w:szCs w:val="20"/>
          <w:color w:val="auto"/>
        </w:rPr>
      </w:pPr>
      <w:r>
        <w:rPr>
          <w:rFonts w:ascii="Times New Roman" w:cs="Times New Roman" w:eastAsia="Times New Roman" w:hAnsi="Times New Roman"/>
          <w:sz w:val="14"/>
          <w:szCs w:val="14"/>
          <w:color w:val="auto"/>
        </w:rPr>
        <w:t>Robert Alpert, Chairman and Co-CEO, and Co-CEO Clark Webb said, “P10 continues to deliver double-digit organic growth. With best-in-class strategies that have long track records of investing through various market conditions, we remain confident in our ability to deliver attractive returns for clients and public shareholders.”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A presentation of the quarterly financials may be accessed </w:t>
      </w:r>
      <w:r>
        <w:rPr>
          <w:rFonts w:ascii="Times New Roman" w:cs="Times New Roman" w:eastAsia="Times New Roman" w:hAnsi="Times New Roman"/>
          <w:sz w:val="14"/>
          <w:szCs w:val="14"/>
          <w:u w:val="single" w:color="auto"/>
          <w:color w:val="auto"/>
        </w:rPr>
        <w:t>here</w:t>
      </w:r>
      <w:r>
        <w:rPr>
          <w:rFonts w:ascii="Times New Roman" w:cs="Times New Roman" w:eastAsia="Times New Roman" w:hAnsi="Times New Roman"/>
          <w:sz w:val="14"/>
          <w:szCs w:val="14"/>
          <w:color w:val="auto"/>
        </w:rPr>
        <w:t xml:space="preserve"> and is available on the Company’s website.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Conference Call Details:</w:t>
      </w:r>
    </w:p>
    <w:p>
      <w:pPr>
        <w:spacing w:after="0" w:line="97" w:lineRule="exact"/>
        <w:rPr>
          <w:sz w:val="20"/>
          <w:szCs w:val="20"/>
          <w:color w:val="auto"/>
        </w:rPr>
      </w:pPr>
    </w:p>
    <w:p>
      <w:pPr>
        <w:ind w:left="120" w:right="159"/>
        <w:spacing w:after="0" w:line="293" w:lineRule="auto"/>
        <w:rPr>
          <w:sz w:val="20"/>
          <w:szCs w:val="20"/>
          <w:color w:val="auto"/>
        </w:rPr>
      </w:pPr>
      <w:r>
        <w:rPr>
          <w:rFonts w:ascii="Times New Roman" w:cs="Times New Roman" w:eastAsia="Times New Roman" w:hAnsi="Times New Roman"/>
          <w:sz w:val="14"/>
          <w:szCs w:val="14"/>
          <w:color w:val="auto"/>
        </w:rPr>
        <w:t xml:space="preserve">The company will host a conference call at 8:30 a.m. Eastern Time on Thursday, November 10, 2022. The call will be webcast live and may be accessed </w:t>
      </w:r>
      <w:r>
        <w:rPr>
          <w:rFonts w:ascii="Times New Roman" w:cs="Times New Roman" w:eastAsia="Times New Roman" w:hAnsi="Times New Roman"/>
          <w:sz w:val="14"/>
          <w:szCs w:val="14"/>
          <w:u w:val="single" w:color="auto"/>
          <w:color w:val="auto"/>
        </w:rPr>
        <w:t>here</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All participants joining by telephone should dial one of the following numbers, followed by the Participant Access Code provided:</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U.S. (toll free):</w:t>
            </w:r>
          </w:p>
        </w:tc>
        <w:tc>
          <w:tcPr>
            <w:tcW w:w="1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1-844-200-6205</w:t>
            </w:r>
          </w:p>
        </w:tc>
      </w:tr>
      <w:tr>
        <w:trPr>
          <w:trHeight w:val="172"/>
        </w:trPr>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U.S. (local):</w:t>
            </w:r>
          </w:p>
        </w:tc>
        <w:tc>
          <w:tcPr>
            <w:tcW w:w="1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1-646-904-5544</w:t>
            </w:r>
          </w:p>
        </w:tc>
      </w:tr>
      <w:tr>
        <w:trPr>
          <w:trHeight w:val="186"/>
        </w:trPr>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All other locations:</w:t>
            </w:r>
          </w:p>
        </w:tc>
        <w:tc>
          <w:tcPr>
            <w:tcW w:w="1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+1-929-526-1599</w:t>
            </w: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Participant Access Code:</w:t>
            </w:r>
          </w:p>
        </w:tc>
        <w:tc>
          <w:tcPr>
            <w:tcW w:w="1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075962</w:t>
            </w:r>
          </w:p>
        </w:tc>
      </w:tr>
    </w:tbl>
    <w:p>
      <w:pPr>
        <w:sectPr>
          <w:pgSz w:w="11900" w:h="16838" w:orient="portrait"/>
          <w:cols w:equalWidth="0" w:num="1">
            <w:col w:w="9019"/>
          </w:cols>
          <w:pgMar w:left="1440" w:top="123" w:right="1440" w:bottom="1440" w:gutter="0" w:footer="0" w:header="0"/>
        </w:sectPr>
      </w:pPr>
    </w:p>
    <w:bookmarkStart w:id="4" w:name="page5"/>
    <w:bookmarkEnd w:id="4"/>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 xml:space="preserve">For those unable to participate in the live call, a replay will be made available on P10’s </w:t>
      </w:r>
      <w:r>
        <w:rPr>
          <w:rFonts w:ascii="Times New Roman" w:cs="Times New Roman" w:eastAsia="Times New Roman" w:hAnsi="Times New Roman"/>
          <w:sz w:val="14"/>
          <w:szCs w:val="14"/>
          <w:u w:val="single" w:color="auto"/>
          <w:color w:val="auto"/>
        </w:rPr>
        <w:t>investor relations page</w:t>
      </w:r>
      <w:r>
        <w:rPr>
          <w:rFonts w:ascii="Times New Roman" w:cs="Times New Roman" w:eastAsia="Times New Roman" w:hAnsi="Times New Roman"/>
          <w:sz w:val="14"/>
          <w:szCs w:val="14"/>
          <w:color w:val="auto"/>
        </w:rPr>
        <w:t>.</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About P10</w:t>
      </w:r>
    </w:p>
    <w:p>
      <w:pPr>
        <w:spacing w:after="0" w:line="99" w:lineRule="exact"/>
        <w:rPr>
          <w:sz w:val="20"/>
          <w:szCs w:val="20"/>
          <w:color w:val="auto"/>
        </w:rPr>
      </w:pPr>
    </w:p>
    <w:p>
      <w:pPr>
        <w:ind w:left="120" w:right="179"/>
        <w:spacing w:after="0" w:line="268" w:lineRule="auto"/>
        <w:rPr>
          <w:sz w:val="20"/>
          <w:szCs w:val="20"/>
          <w:color w:val="auto"/>
        </w:rPr>
      </w:pPr>
      <w:r>
        <w:rPr>
          <w:rFonts w:ascii="Times New Roman" w:cs="Times New Roman" w:eastAsia="Times New Roman" w:hAnsi="Times New Roman"/>
          <w:sz w:val="14"/>
          <w:szCs w:val="14"/>
          <w:color w:val="auto"/>
        </w:rPr>
        <w:t xml:space="preserve">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September 30, 2022, P10 has a global investor base of over 3,000 investors across 46 states, 54 countries and six continents, which includes some of the world’s largest pension funds, endowments, foundations, corporate pensions, and financial institutions. Visit </w:t>
      </w:r>
      <w:r>
        <w:rPr>
          <w:rFonts w:ascii="Times New Roman" w:cs="Times New Roman" w:eastAsia="Times New Roman" w:hAnsi="Times New Roman"/>
          <w:sz w:val="14"/>
          <w:szCs w:val="14"/>
          <w:u w:val="single" w:color="auto"/>
          <w:color w:val="auto"/>
        </w:rPr>
        <w:t>www.p10alts.com</w:t>
      </w:r>
      <w:r>
        <w:rPr>
          <w:rFonts w:ascii="Times New Roman" w:cs="Times New Roman" w:eastAsia="Times New Roman" w:hAnsi="Times New Roman"/>
          <w:sz w:val="14"/>
          <w:szCs w:val="14"/>
          <w:color w:val="auto"/>
        </w:rPr>
        <w:t>.</w:t>
      </w: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99" w:lineRule="exact"/>
        <w:rPr>
          <w:sz w:val="20"/>
          <w:szCs w:val="20"/>
          <w:color w:val="auto"/>
        </w:rPr>
      </w:pPr>
    </w:p>
    <w:p>
      <w:pPr>
        <w:ind w:left="120" w:right="139"/>
        <w:spacing w:after="0" w:line="259" w:lineRule="auto"/>
        <w:rPr>
          <w:sz w:val="20"/>
          <w:szCs w:val="20"/>
          <w:color w:val="auto"/>
        </w:rPr>
      </w:pPr>
      <w:r>
        <w:rPr>
          <w:rFonts w:ascii="Times New Roman" w:cs="Times New Roman" w:eastAsia="Times New Roman" w:hAnsi="Times New Roman"/>
          <w:sz w:val="14"/>
          <w:szCs w:val="14"/>
          <w:color w:val="auto"/>
        </w:rPr>
        <w:t>Some of the statements in this release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are subject to various risks, uncertainties, and assumptions. Forward-looking statements reflect management’s current plans, estimates and expectations and are inherently uncertain. All forward-looking statements are subject to known and unknown risks, uncertainties and other important factors that may cause actual results to be materially different, including risks relating to: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as well as assumptions relating to our operations, financial results, financial condition, business prospects, growth strategy;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2021, filed with the U.S. Securities and Exchange Commission (“SEC”) on March 21, 2022, and in our subsequent reports filed from time to time with the SEC. The forward-looking statements included in this release are made only as of the date hereof. We undertake no obligation to update or revise any forward-looking statement as a result of new information or future events, except as otherwise required by law.</w:t>
      </w:r>
    </w:p>
    <w:p>
      <w:pPr>
        <w:sectPr>
          <w:pgSz w:w="11900" w:h="16838" w:orient="portrait"/>
          <w:cols w:equalWidth="0" w:num="1">
            <w:col w:w="9019"/>
          </w:cols>
          <w:pgMar w:left="1440" w:top="243" w:right="1440" w:bottom="1440" w:gutter="0" w:footer="0" w:header="0"/>
        </w:sectPr>
      </w:pPr>
    </w:p>
    <w:bookmarkStart w:id="5" w:name="page6"/>
    <w:bookmarkEnd w:id="5"/>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Use of Non-GAAP Financial Measures by P10, Inc.</w:t>
      </w:r>
    </w:p>
    <w:p>
      <w:pPr>
        <w:spacing w:after="0" w:line="99" w:lineRule="exact"/>
        <w:rPr>
          <w:sz w:val="20"/>
          <w:szCs w:val="20"/>
          <w:color w:val="auto"/>
        </w:rPr>
      </w:pPr>
    </w:p>
    <w:p>
      <w:pPr>
        <w:ind w:left="120" w:right="139"/>
        <w:spacing w:after="0" w:line="260" w:lineRule="auto"/>
        <w:rPr>
          <w:sz w:val="20"/>
          <w:szCs w:val="20"/>
          <w:color w:val="auto"/>
        </w:rPr>
      </w:pPr>
      <w:r>
        <w:rPr>
          <w:rFonts w:ascii="Times New Roman" w:cs="Times New Roman" w:eastAsia="Times New Roman" w:hAnsi="Times New Roman"/>
          <w:sz w:val="14"/>
          <w:szCs w:val="14"/>
          <w:color w:val="auto"/>
        </w:rPr>
        <w:t>The non-GAAP financial measures contained in this press release (including, without limitation, Adjusted EBITDA, Adjusted Net Income and fee-paying assets under management)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is included in the presentation of the third quarter 2022 financials. The Company believes the presentation of these non-GAAP measures provide useful additional information to investors because it provides better comparability of ongoing operating performance to prior periods. It is reasonable to expect that one or more excluded items will occur in future periods, but the amounts recognized can vary significantly from period to period. Fee paying assets under management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Ownership Limitations</w:t>
      </w:r>
    </w:p>
    <w:p>
      <w:pPr>
        <w:spacing w:after="0" w:line="99" w:lineRule="exact"/>
        <w:rPr>
          <w:sz w:val="20"/>
          <w:szCs w:val="20"/>
          <w:color w:val="auto"/>
        </w:rPr>
      </w:pPr>
    </w:p>
    <w:p>
      <w:pPr>
        <w:ind w:left="120" w:right="379"/>
        <w:spacing w:after="0" w:line="275" w:lineRule="auto"/>
        <w:rPr>
          <w:sz w:val="20"/>
          <w:szCs w:val="20"/>
          <w:color w:val="auto"/>
        </w:rPr>
      </w:pPr>
      <w:r>
        <w:rPr>
          <w:rFonts w:ascii="Times New Roman" w:cs="Times New Roman" w:eastAsia="Times New Roman" w:hAnsi="Times New Roman"/>
          <w:sz w:val="14"/>
          <w:szCs w:val="14"/>
          <w:color w:val="auto"/>
        </w:rPr>
        <w:t>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P10 Press and Investor Contact:</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u w:val="single" w:color="auto"/>
          <w:color w:val="auto"/>
        </w:rPr>
        <w:t>info@p10alts.com</w:t>
      </w:r>
    </w:p>
    <w:p>
      <w:pPr>
        <w:sectPr>
          <w:pgSz w:w="11900" w:h="16838" w:orient="portrait"/>
          <w:cols w:equalWidth="0" w:num="1">
            <w:col w:w="9019"/>
          </w:cols>
          <w:pgMar w:left="1440" w:top="241" w:right="1440"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5753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20979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8995" cy="33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8995" cy="33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2022-11-10T05:56:55Z</dcterms:created>
  <dcterms:modified xsi:type="dcterms:W3CDTF">2022-11-10T05:56:55Z</dcterms:modified>
</cp:coreProperties>
</file>