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9"/>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KINDERHOOK PARTNERS, LP</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44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9"/>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vMerge w:val="restart"/>
          </w:tcPr>
          <w:p>
            <w:pPr>
              <w:spacing w:after="0"/>
              <w:rPr>
                <w:sz w:val="20"/>
                <w:szCs w:val="20"/>
                <w:color w:val="auto"/>
              </w:rPr>
            </w:pPr>
            <w:r>
              <w:rPr>
                <w:rFonts w:ascii="Arial" w:cs="Arial" w:eastAsia="Arial" w:hAnsi="Arial"/>
                <w:sz w:val="18"/>
                <w:szCs w:val="18"/>
                <w:color w:val="0000FF"/>
              </w:rPr>
              <w:t>ONE EXECUTIVE DRIVE</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7"/>
          </w:tcPr>
          <w:p>
            <w:pPr>
              <w:ind w:left="160"/>
              <w:spacing w:after="0"/>
              <w:rPr>
                <w:sz w:val="20"/>
                <w:szCs w:val="20"/>
                <w:color w:val="auto"/>
              </w:rPr>
            </w:pPr>
            <w:r>
              <w:rPr>
                <w:rFonts w:ascii="Arial" w:cs="Arial" w:eastAsia="Arial" w:hAnsi="Arial"/>
                <w:sz w:val="18"/>
                <w:szCs w:val="18"/>
                <w:color w:val="0000FF"/>
              </w:rPr>
              <w:t>12/01/2011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6"/>
            <w:vMerge w:val="continue"/>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restart"/>
          </w:tcPr>
          <w:p>
            <w:pPr>
              <w:spacing w:after="0"/>
              <w:rPr>
                <w:sz w:val="20"/>
                <w:szCs w:val="20"/>
                <w:color w:val="auto"/>
              </w:rPr>
            </w:pPr>
            <w:r>
              <w:rPr>
                <w:rFonts w:ascii="Arial" w:cs="Arial" w:eastAsia="Arial" w:hAnsi="Arial"/>
                <w:sz w:val="18"/>
                <w:szCs w:val="18"/>
                <w:color w:val="0000FF"/>
              </w:rPr>
              <w:t>SUITE 160</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5"/>
                <w:szCs w:val="5"/>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10"/>
            <w:vMerge w:val="continue"/>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3"/>
          </w:tcPr>
          <w:p>
            <w:pPr>
              <w:ind w:left="80"/>
              <w:spacing w:after="0" w:line="121" w:lineRule="exact"/>
              <w:rPr>
                <w:sz w:val="20"/>
                <w:szCs w:val="20"/>
                <w:color w:val="auto"/>
              </w:rPr>
            </w:pPr>
            <w:r>
              <w:rPr>
                <w:rFonts w:ascii="Arial" w:cs="Arial" w:eastAsia="Arial" w:hAnsi="Arial"/>
                <w:sz w:val="14"/>
                <w:szCs w:val="14"/>
                <w:color w:val="auto"/>
              </w:rPr>
              <w:t>Line)</w:t>
            </w: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FORT LEE</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NJ</w:t>
            </w:r>
          </w:p>
        </w:tc>
        <w:tc>
          <w:tcPr>
            <w:tcW w:w="1200" w:type="dxa"/>
            <w:vAlign w:val="bottom"/>
            <w:gridSpan w:val="2"/>
          </w:tcPr>
          <w:p>
            <w:pPr>
              <w:spacing w:after="0"/>
              <w:rPr>
                <w:sz w:val="20"/>
                <w:szCs w:val="20"/>
                <w:color w:val="auto"/>
              </w:rPr>
            </w:pPr>
            <w:r>
              <w:rPr>
                <w:rFonts w:ascii="Arial" w:cs="Arial" w:eastAsia="Arial" w:hAnsi="Arial"/>
                <w:sz w:val="18"/>
                <w:szCs w:val="18"/>
                <w:color w:val="0000FF"/>
              </w:rPr>
              <w:t>07024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60" w:type="dxa"/>
            <w:vAlign w:val="bottom"/>
            <w:tcBorders>
              <w:bottom w:val="single" w:sz="8" w:color="2C2C2C"/>
            </w:tcBorders>
            <w:gridSpan w:val="3"/>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22"/>
          </w:tcPr>
          <w:p>
            <w:pPr>
              <w:jc w:val="center"/>
              <w:ind w:right="5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00" w:type="dxa"/>
            <w:vAlign w:val="bottom"/>
          </w:tcPr>
          <w:p>
            <w:pPr>
              <w:spacing w:after="0"/>
              <w:rPr>
                <w:sz w:val="15"/>
                <w:szCs w:val="15"/>
                <w:color w:val="auto"/>
              </w:rPr>
            </w:pPr>
          </w:p>
        </w:tc>
        <w:tc>
          <w:tcPr>
            <w:tcW w:w="1500" w:type="dxa"/>
            <w:vAlign w:val="bottom"/>
            <w:gridSpan w:val="6"/>
          </w:tcPr>
          <w:p>
            <w:pPr>
              <w:ind w:left="3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00" w:type="dxa"/>
            <w:vAlign w:val="bottom"/>
            <w:gridSpan w:val="6"/>
          </w:tcPr>
          <w:p>
            <w:pPr>
              <w:ind w:left="380"/>
              <w:spacing w:after="0" w:line="135"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ind w:left="880"/>
              <w:spacing w:after="0"/>
              <w:rPr>
                <w:sz w:val="20"/>
                <w:szCs w:val="20"/>
                <w:color w:val="auto"/>
              </w:rPr>
            </w:pPr>
            <w:r>
              <w:rPr>
                <w:rFonts w:ascii="Arial" w:cs="Arial" w:eastAsia="Arial" w:hAnsi="Arial"/>
                <w:sz w:val="18"/>
                <w:szCs w:val="18"/>
                <w:color w:val="0000FF"/>
                <w:w w:val="99"/>
              </w:rPr>
              <w:t>12/01/2011</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6,351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0.65</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8,432,840</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21"/>
          </w:tcPr>
          <w:p>
            <w:pPr>
              <w:jc w:val="center"/>
              <w:ind w:left="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140" w:type="dxa"/>
            <w:vAlign w:val="bottom"/>
            <w:gridSpan w:val="17"/>
          </w:tcPr>
          <w:p>
            <w:pPr>
              <w:jc w:val="center"/>
              <w:ind w:left="11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10"/>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KINDERHOOK PARTNERS,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ONE EXECUTIVE DRIVE</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SUITE 160</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FORT LEE</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NJ</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07024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2"/>
          </w:tcPr>
          <w:p>
            <w:pPr>
              <w:spacing w:after="0"/>
              <w:rPr>
                <w:sz w:val="7"/>
                <w:szCs w:val="7"/>
                <w:color w:val="auto"/>
              </w:rPr>
            </w:pPr>
          </w:p>
        </w:tc>
        <w:tc>
          <w:tcPr>
            <w:tcW w:w="1160" w:type="dxa"/>
            <w:vAlign w:val="bottom"/>
            <w:tcBorders>
              <w:bottom w:val="single" w:sz="8" w:color="2C2C2C"/>
            </w:tcBorders>
            <w:gridSpan w:val="3"/>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86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KINDERHOOK GP LLC</w:t>
              </w:r>
            </w:hyperlink>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ONE EXECUTIVE DRIVE</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SUITE 160</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FORT LEE</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NJ</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07024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2"/>
          </w:tcPr>
          <w:p>
            <w:pPr>
              <w:spacing w:after="0"/>
              <w:rPr>
                <w:sz w:val="7"/>
                <w:szCs w:val="7"/>
                <w:color w:val="auto"/>
              </w:rPr>
            </w:pPr>
          </w:p>
        </w:tc>
        <w:tc>
          <w:tcPr>
            <w:tcW w:w="1160" w:type="dxa"/>
            <w:vAlign w:val="bottom"/>
            <w:tcBorders>
              <w:bottom w:val="single" w:sz="8" w:color="2C2C2C"/>
            </w:tcBorders>
            <w:gridSpan w:val="3"/>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86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spacing w:after="0" w:line="224" w:lineRule="exact"/>
              <w:rPr>
                <w:rFonts w:ascii="Arial" w:cs="Arial" w:eastAsia="Arial" w:hAnsi="Arial"/>
                <w:sz w:val="22"/>
                <w:szCs w:val="22"/>
                <w:color w:val="0000EE"/>
                <w:w w:val="96"/>
              </w:rPr>
            </w:pPr>
            <w:hyperlink r:id="rId15">
              <w:r>
                <w:rPr>
                  <w:rFonts w:ascii="Arial" w:cs="Arial" w:eastAsia="Arial" w:hAnsi="Arial"/>
                  <w:sz w:val="22"/>
                  <w:szCs w:val="22"/>
                  <w:color w:val="0000EE"/>
                  <w:w w:val="96"/>
                </w:rPr>
                <w:t>Shah Tushar</w:t>
              </w:r>
            </w:hyperlink>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ONE EXECUTIVE DRIVE</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8"/>
          <w:szCs w:val="18"/>
          <w:color w:val="0000FF"/>
        </w:rPr>
        <w:t>SUITE 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2774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277431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FORT LEE</w:t>
            </w:r>
          </w:p>
        </w:tc>
        <w:tc>
          <w:tcPr>
            <w:tcW w:w="1600" w:type="dxa"/>
            <w:vAlign w:val="bottom"/>
            <w:gridSpan w:val="2"/>
          </w:tcPr>
          <w:p>
            <w:pPr>
              <w:ind w:left="320"/>
              <w:spacing w:after="0"/>
              <w:rPr>
                <w:sz w:val="20"/>
                <w:szCs w:val="20"/>
                <w:color w:val="auto"/>
              </w:rPr>
            </w:pPr>
            <w:r>
              <w:rPr>
                <w:rFonts w:ascii="Arial" w:cs="Arial" w:eastAsia="Arial" w:hAnsi="Arial"/>
                <w:sz w:val="18"/>
                <w:szCs w:val="18"/>
                <w:color w:val="0000FF"/>
              </w:rPr>
              <w:t>NJ</w:t>
            </w:r>
          </w:p>
        </w:tc>
        <w:tc>
          <w:tcPr>
            <w:tcW w:w="1600" w:type="dxa"/>
            <w:vAlign w:val="bottom"/>
          </w:tcPr>
          <w:p>
            <w:pPr>
              <w:ind w:left="180"/>
              <w:spacing w:after="0"/>
              <w:rPr>
                <w:sz w:val="20"/>
                <w:szCs w:val="20"/>
                <w:color w:val="auto"/>
              </w:rPr>
            </w:pPr>
            <w:r>
              <w:rPr>
                <w:rFonts w:ascii="Arial" w:cs="Arial" w:eastAsia="Arial" w:hAnsi="Arial"/>
                <w:sz w:val="18"/>
                <w:szCs w:val="18"/>
                <w:color w:val="0000FF"/>
              </w:rPr>
              <w:t>07024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CLEARMAN STEPHEN J</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gridSpan w:val="2"/>
          </w:tcPr>
          <w:p>
            <w:pPr>
              <w:ind w:left="32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ONE EXECUTIVE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160</w:t>
            </w: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FORT LEE</w:t>
            </w:r>
          </w:p>
        </w:tc>
        <w:tc>
          <w:tcPr>
            <w:tcW w:w="1600" w:type="dxa"/>
            <w:vAlign w:val="bottom"/>
            <w:gridSpan w:val="2"/>
          </w:tcPr>
          <w:p>
            <w:pPr>
              <w:ind w:left="320"/>
              <w:spacing w:after="0"/>
              <w:rPr>
                <w:sz w:val="20"/>
                <w:szCs w:val="20"/>
                <w:color w:val="auto"/>
              </w:rPr>
            </w:pPr>
            <w:r>
              <w:rPr>
                <w:rFonts w:ascii="Arial" w:cs="Arial" w:eastAsia="Arial" w:hAnsi="Arial"/>
                <w:sz w:val="18"/>
                <w:szCs w:val="18"/>
                <w:color w:val="0000FF"/>
              </w:rPr>
              <w:t>NJ</w:t>
            </w:r>
          </w:p>
        </w:tc>
        <w:tc>
          <w:tcPr>
            <w:tcW w:w="1600" w:type="dxa"/>
            <w:vAlign w:val="bottom"/>
          </w:tcPr>
          <w:p>
            <w:pPr>
              <w:ind w:left="180"/>
              <w:spacing w:after="0"/>
              <w:rPr>
                <w:sz w:val="20"/>
                <w:szCs w:val="20"/>
                <w:color w:val="auto"/>
              </w:rPr>
            </w:pPr>
            <w:r>
              <w:rPr>
                <w:rFonts w:ascii="Arial" w:cs="Arial" w:eastAsia="Arial" w:hAnsi="Arial"/>
                <w:sz w:val="18"/>
                <w:szCs w:val="18"/>
                <w:color w:val="0000FF"/>
              </w:rPr>
              <w:t>07024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28"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Tushar Shah and Mr. Stephen J. Clearman are the co-managing members of the Kinderhook GP, LLC (the "General Partner") responsible for making investment decisions with respect to the Partnership and, as a result, Mr. Shah and Mr. Clearman may be deemed to control such entities. In addition, Mr. Shah and Mr. Clearman are responsible for making investment decisions with respect to Kinderhook Capital. Accordingly, Mr. Shah and Mr. Clearman may be deemed to have a beneficial interest in the shares of Common Stock by virtue of their indirect control of the Partnership's, the General Partner's and Kinderhook Capital's power to vote and/or dispose of the shares of Common Stock. Mr. Shah and Mr. Clearman disclaim beneficial ownership of the shares of Common Stock except to the extent of his respective pecuniary interest, if any, therein.</w:t>
      </w:r>
    </w:p>
    <w:p>
      <w:pPr>
        <w:spacing w:after="0" w:line="3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5"/>
              </w:rPr>
              <w:t>/s/ Stephen J. Clearman,</w:t>
            </w:r>
          </w:p>
        </w:tc>
        <w:tc>
          <w:tcPr>
            <w:tcW w:w="4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2120" w:type="dxa"/>
            <w:vAlign w:val="bottom"/>
            <w:gridSpan w:val="6"/>
          </w:tcPr>
          <w:p>
            <w:pPr>
              <w:spacing w:after="0" w:line="196" w:lineRule="exact"/>
              <w:rPr>
                <w:sz w:val="20"/>
                <w:szCs w:val="20"/>
                <w:color w:val="auto"/>
              </w:rPr>
            </w:pPr>
            <w:r>
              <w:rPr>
                <w:rFonts w:ascii="Arial" w:cs="Arial" w:eastAsia="Arial" w:hAnsi="Arial"/>
                <w:sz w:val="18"/>
                <w:szCs w:val="18"/>
                <w:color w:val="0000FF"/>
              </w:rPr>
              <w:t>Managing Member of</w:t>
            </w:r>
          </w:p>
        </w:tc>
        <w:tc>
          <w:tcPr>
            <w:tcW w:w="960" w:type="dxa"/>
            <w:vAlign w:val="bottom"/>
            <w:gridSpan w:val="2"/>
          </w:tcPr>
          <w:p>
            <w:pPr>
              <w:ind w:left="180"/>
              <w:spacing w:after="0" w:line="196" w:lineRule="exact"/>
              <w:rPr>
                <w:sz w:val="20"/>
                <w:szCs w:val="20"/>
                <w:color w:val="auto"/>
              </w:rPr>
            </w:pPr>
            <w:r>
              <w:rPr>
                <w:rFonts w:ascii="Arial" w:cs="Arial" w:eastAsia="Arial" w:hAnsi="Arial"/>
                <w:sz w:val="18"/>
                <w:szCs w:val="18"/>
                <w:color w:val="0000FF"/>
                <w:w w:val="84"/>
              </w:rPr>
              <w:t>12/05/2011</w:t>
            </w:r>
          </w:p>
        </w:tc>
      </w:tr>
      <w:tr>
        <w:trPr>
          <w:trHeight w:val="20"/>
        </w:trPr>
        <w:tc>
          <w:tcPr>
            <w:tcW w:w="11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96"/>
        </w:trPr>
        <w:tc>
          <w:tcPr>
            <w:tcW w:w="2120" w:type="dxa"/>
            <w:vAlign w:val="bottom"/>
            <w:gridSpan w:val="6"/>
          </w:tcPr>
          <w:p>
            <w:pPr>
              <w:spacing w:after="0" w:line="196" w:lineRule="exact"/>
              <w:rPr>
                <w:sz w:val="20"/>
                <w:szCs w:val="20"/>
                <w:color w:val="auto"/>
              </w:rPr>
            </w:pPr>
            <w:r>
              <w:rPr>
                <w:rFonts w:ascii="Arial" w:cs="Arial" w:eastAsia="Arial" w:hAnsi="Arial"/>
                <w:sz w:val="18"/>
                <w:szCs w:val="18"/>
                <w:color w:val="0000FF"/>
              </w:rPr>
              <w:t>Kinderhook Partners, L.P.</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0"/>
        </w:trPr>
        <w:tc>
          <w:tcPr>
            <w:tcW w:w="172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color w:val="0000FF"/>
                <w:w w:val="85"/>
              </w:rPr>
              <w:t>/s/ Stephen J. Clearman,</w:t>
            </w:r>
          </w:p>
        </w:tc>
        <w:tc>
          <w:tcPr>
            <w:tcW w:w="10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196"/>
        </w:trPr>
        <w:tc>
          <w:tcPr>
            <w:tcW w:w="2120" w:type="dxa"/>
            <w:vAlign w:val="bottom"/>
            <w:gridSpan w:val="6"/>
          </w:tcPr>
          <w:p>
            <w:pPr>
              <w:spacing w:after="0" w:line="196" w:lineRule="exact"/>
              <w:rPr>
                <w:sz w:val="20"/>
                <w:szCs w:val="20"/>
                <w:color w:val="auto"/>
              </w:rPr>
            </w:pPr>
            <w:r>
              <w:rPr>
                <w:rFonts w:ascii="Arial" w:cs="Arial" w:eastAsia="Arial" w:hAnsi="Arial"/>
                <w:sz w:val="18"/>
                <w:szCs w:val="18"/>
                <w:color w:val="0000FF"/>
              </w:rPr>
              <w:t>Managing Member of</w:t>
            </w:r>
          </w:p>
        </w:tc>
        <w:tc>
          <w:tcPr>
            <w:tcW w:w="960" w:type="dxa"/>
            <w:vAlign w:val="bottom"/>
            <w:gridSpan w:val="2"/>
          </w:tcPr>
          <w:p>
            <w:pPr>
              <w:ind w:left="180"/>
              <w:spacing w:after="0" w:line="196" w:lineRule="exact"/>
              <w:rPr>
                <w:sz w:val="20"/>
                <w:szCs w:val="20"/>
                <w:color w:val="auto"/>
              </w:rPr>
            </w:pPr>
            <w:r>
              <w:rPr>
                <w:rFonts w:ascii="Arial" w:cs="Arial" w:eastAsia="Arial" w:hAnsi="Arial"/>
                <w:sz w:val="18"/>
                <w:szCs w:val="18"/>
                <w:color w:val="0000FF"/>
                <w:w w:val="84"/>
              </w:rPr>
              <w:t>12/05/2011</w:t>
            </w:r>
          </w:p>
        </w:tc>
      </w:tr>
      <w:tr>
        <w:trPr>
          <w:trHeight w:val="196"/>
        </w:trPr>
        <w:tc>
          <w:tcPr>
            <w:tcW w:w="154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0000FF"/>
                <w:w w:val="90"/>
              </w:rPr>
              <w:t>Kinderhook GP, LLC</w:t>
            </w:r>
          </w:p>
        </w:tc>
        <w:tc>
          <w:tcPr>
            <w:tcW w:w="58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0000FF"/>
                <w:w w:val="84"/>
              </w:rPr>
              <w:t>/s/ Tushar Shah</w:t>
            </w:r>
          </w:p>
        </w:tc>
        <w:tc>
          <w:tcPr>
            <w:tcW w:w="1020" w:type="dxa"/>
            <w:vAlign w:val="bottom"/>
            <w:gridSpan w:val="5"/>
          </w:tcPr>
          <w:p>
            <w:pPr>
              <w:spacing w:after="0"/>
              <w:rPr>
                <w:sz w:val="21"/>
                <w:szCs w:val="21"/>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12/05/2011</w:t>
            </w:r>
          </w:p>
        </w:tc>
      </w:tr>
      <w:tr>
        <w:trPr>
          <w:trHeight w:val="20"/>
        </w:trPr>
        <w:tc>
          <w:tcPr>
            <w:tcW w:w="110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50"/>
        </w:trPr>
        <w:tc>
          <w:tcPr>
            <w:tcW w:w="2120" w:type="dxa"/>
            <w:vAlign w:val="bottom"/>
            <w:gridSpan w:val="6"/>
          </w:tcPr>
          <w:p>
            <w:pPr>
              <w:spacing w:after="0"/>
              <w:rPr>
                <w:sz w:val="20"/>
                <w:szCs w:val="20"/>
                <w:color w:val="auto"/>
              </w:rPr>
            </w:pPr>
            <w:r>
              <w:rPr>
                <w:rFonts w:ascii="Arial" w:cs="Arial" w:eastAsia="Arial" w:hAnsi="Arial"/>
                <w:sz w:val="18"/>
                <w:szCs w:val="18"/>
                <w:color w:val="0000FF"/>
              </w:rPr>
              <w:t>/s/ Stephen J. Clearman</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12/05/2011</w:t>
            </w:r>
          </w:p>
        </w:tc>
      </w:tr>
      <w:tr>
        <w:trPr>
          <w:trHeight w:val="20"/>
        </w:trPr>
        <w:tc>
          <w:tcPr>
            <w:tcW w:w="1660" w:type="dxa"/>
            <w:vAlign w:val="bottom"/>
            <w:gridSpan w:val="3"/>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6"/>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46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60" w:top="1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220338" TargetMode="External"/><Relationship Id="rId13" Type="http://schemas.openxmlformats.org/officeDocument/2006/relationships/hyperlink" Target="http://www.sec.gov/cgi-bin/browse-edgar?action=getcompany&amp;CIK=0001044435" TargetMode="External"/><Relationship Id="rId14" Type="http://schemas.openxmlformats.org/officeDocument/2006/relationships/hyperlink" Target="http://www.sec.gov/cgi-bin/browse-edgar?action=getcompany&amp;CIK=0001266402" TargetMode="External"/><Relationship Id="rId15" Type="http://schemas.openxmlformats.org/officeDocument/2006/relationships/hyperlink" Target="http://www.sec.gov/cgi-bin/browse-edgar?action=getcompany&amp;CIK=0001487632" TargetMode="External"/><Relationship Id="rId17" Type="http://schemas.openxmlformats.org/officeDocument/2006/relationships/hyperlink" Target="http://www.sec.gov/cgi-bin/browse-edgar?action=getcompany&amp;CIK=00010328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2019-12-17T07:08:46Z</dcterms:created>
  <dcterms:modified xsi:type="dcterms:W3CDTF">2019-12-17T07:08:46Z</dcterms:modified>
</cp:coreProperties>
</file>