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SCHEDULE 13G</w:t>
      </w: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9880" w:firstLine="8"/>
        <w:spacing w:after="0" w:line="224" w:lineRule="exact"/>
        <w:tabs>
          <w:tab w:leader="none" w:pos="2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8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1" w:name="page2"/>
    <w:bookmarkEnd w:id="1"/>
    <w:p>
      <w:pPr>
        <w:spacing w:after="0"/>
        <w:tabs>
          <w:tab w:leader="none" w:pos="62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00" w:hanging="441"/>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Grandeur Peak Global Advisors, LLC</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90-0732232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00" w:right="4960" w:hanging="441"/>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1680" w:hanging="376"/>
        <w:spacing w:after="0" w:line="207" w:lineRule="exact"/>
        <w:tabs>
          <w:tab w:leader="none" w:pos="16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00" w:hanging="396"/>
        <w:spacing w:after="0" w:line="207" w:lineRule="exact"/>
        <w:tabs>
          <w:tab w:leader="none" w:pos="17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1300" w:hanging="441"/>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44" w:lineRule="exact"/>
        <w:rPr>
          <w:rFonts w:ascii="Arial" w:cs="Arial" w:eastAsia="Arial" w:hAnsi="Arial"/>
          <w:sz w:val="18"/>
          <w:szCs w:val="18"/>
          <w:color w:val="auto"/>
        </w:rPr>
      </w:pPr>
    </w:p>
    <w:p>
      <w:pPr>
        <w:ind w:left="1300" w:hanging="441"/>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Utah</w:t>
      </w:r>
    </w:p>
    <w:p>
      <w:pPr>
        <w:spacing w:after="0" w:line="256" w:lineRule="exact"/>
        <w:rPr>
          <w:rFonts w:ascii="Arial" w:cs="Arial" w:eastAsia="Arial" w:hAnsi="Arial"/>
          <w:sz w:val="18"/>
          <w:szCs w:val="18"/>
          <w:color w:val="auto"/>
        </w:rPr>
      </w:pPr>
    </w:p>
    <w:p>
      <w:pPr>
        <w:ind w:left="3580" w:hanging="440"/>
        <w:spacing w:after="0"/>
        <w:tabs>
          <w:tab w:leader="none" w:pos="3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rFonts w:ascii="Arial" w:cs="Arial" w:eastAsia="Arial" w:hAnsi="Arial"/>
          <w:sz w:val="18"/>
          <w:szCs w:val="18"/>
          <w:color w:val="auto"/>
        </w:rPr>
      </w:pPr>
    </w:p>
    <w:p>
      <w:pPr>
        <w:ind w:left="3580"/>
        <w:spacing w:after="0"/>
        <w:rPr>
          <w:rFonts w:ascii="Arial" w:cs="Arial" w:eastAsia="Arial" w:hAnsi="Arial"/>
          <w:sz w:val="18"/>
          <w:szCs w:val="18"/>
          <w:color w:val="auto"/>
        </w:rPr>
      </w:pPr>
      <w:r>
        <w:rPr>
          <w:rFonts w:ascii="Arial" w:cs="Arial" w:eastAsia="Arial" w:hAnsi="Arial"/>
          <w:sz w:val="18"/>
          <w:szCs w:val="18"/>
          <w:b w:val="1"/>
          <w:bCs w:val="1"/>
          <w:color w:val="auto"/>
        </w:rPr>
        <w:t>1,468,231</w:t>
      </w:r>
    </w:p>
    <w:p>
      <w:pPr>
        <w:spacing w:after="0" w:line="40" w:lineRule="exact"/>
        <w:rPr>
          <w:rFonts w:ascii="Arial" w:cs="Arial" w:eastAsia="Arial" w:hAnsi="Arial"/>
          <w:sz w:val="18"/>
          <w:szCs w:val="18"/>
          <w:color w:val="auto"/>
        </w:rPr>
      </w:pPr>
    </w:p>
    <w:p>
      <w:pPr>
        <w:ind w:left="3580" w:hanging="440"/>
        <w:spacing w:after="0"/>
        <w:tabs>
          <w:tab w:leader="none" w:pos="3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-285115</wp:posOffset>
            </wp:positionV>
            <wp:extent cx="55892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892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-1279525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-1570990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21"/>
        </w:trPr>
        <w:tc>
          <w:tcPr>
            <w:tcW w:w="2360" w:type="dxa"/>
            <w:vAlign w:val="bottom"/>
          </w:tcPr>
          <w:p>
            <w:pPr>
              <w:jc w:val="center"/>
              <w:ind w:right="290"/>
              <w:spacing w:after="0"/>
              <w:rPr>
                <w:sz w:val="20"/>
                <w:szCs w:val="20"/>
                <w:color w:val="auto"/>
              </w:rPr>
            </w:pPr>
            <w:r>
              <w:rPr>
                <w:rFonts w:ascii="Arial" w:cs="Arial" w:eastAsia="Arial" w:hAnsi="Arial"/>
                <w:sz w:val="18"/>
                <w:szCs w:val="18"/>
                <w:color w:val="auto"/>
                <w:w w:val="98"/>
              </w:rPr>
              <w:t>BENEFICIALLY OWNED</w:t>
            </w:r>
          </w:p>
        </w:tc>
        <w:tc>
          <w:tcPr>
            <w:tcW w:w="88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8"/>
        </w:trPr>
        <w:tc>
          <w:tcPr>
            <w:tcW w:w="236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5"/>
              </w:rPr>
              <w:t>BY EACH REPORTING</w:t>
            </w:r>
          </w:p>
        </w:tc>
        <w:tc>
          <w:tcPr>
            <w:tcW w:w="8800" w:type="dxa"/>
            <w:vAlign w:val="bottom"/>
          </w:tcPr>
          <w:p>
            <w:pPr>
              <w:ind w:left="700"/>
              <w:spacing w:after="0" w:line="189" w:lineRule="exact"/>
              <w:rPr>
                <w:sz w:val="20"/>
                <w:szCs w:val="20"/>
                <w:color w:val="auto"/>
              </w:rPr>
            </w:pPr>
            <w:r>
              <w:rPr>
                <w:rFonts w:ascii="Arial" w:cs="Arial" w:eastAsia="Arial" w:hAnsi="Arial"/>
                <w:sz w:val="18"/>
                <w:szCs w:val="18"/>
                <w:color w:val="auto"/>
              </w:rPr>
              <w:t>7.    SOLE DISPOSITIVE POWER</w:t>
            </w:r>
          </w:p>
        </w:tc>
        <w:tc>
          <w:tcPr>
            <w:tcW w:w="0" w:type="dxa"/>
            <w:vAlign w:val="bottom"/>
          </w:tcPr>
          <w:p>
            <w:pPr>
              <w:spacing w:after="0"/>
              <w:rPr>
                <w:sz w:val="1"/>
                <w:szCs w:val="1"/>
                <w:color w:val="auto"/>
              </w:rPr>
            </w:pPr>
          </w:p>
        </w:tc>
      </w:tr>
      <w:tr>
        <w:trPr>
          <w:trHeight w:val="230"/>
        </w:trPr>
        <w:tc>
          <w:tcPr>
            <w:tcW w:w="2360" w:type="dxa"/>
            <w:vAlign w:val="bottom"/>
          </w:tcPr>
          <w:p>
            <w:pPr>
              <w:jc w:val="center"/>
              <w:ind w:right="290"/>
              <w:spacing w:after="0"/>
              <w:rPr>
                <w:sz w:val="20"/>
                <w:szCs w:val="20"/>
                <w:color w:val="auto"/>
              </w:rPr>
            </w:pPr>
            <w:r>
              <w:rPr>
                <w:rFonts w:ascii="Arial" w:cs="Arial" w:eastAsia="Arial" w:hAnsi="Arial"/>
                <w:sz w:val="18"/>
                <w:szCs w:val="18"/>
                <w:color w:val="auto"/>
                <w:w w:val="96"/>
              </w:rPr>
              <w:t>PERSON WITH</w:t>
            </w:r>
          </w:p>
        </w:tc>
        <w:tc>
          <w:tcPr>
            <w:tcW w:w="880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1,468,231</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8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0</wp:posOffset>
            </wp:positionV>
            <wp:extent cx="55892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9270" cy="17145"/>
                    </a:xfrm>
                    <a:prstGeom prst="rect">
                      <a:avLst/>
                    </a:prstGeom>
                    <a:noFill/>
                  </pic:spPr>
                </pic:pic>
              </a:graphicData>
            </a:graphic>
          </wp:anchor>
        </w:drawing>
      </w:r>
    </w:p>
    <w:p>
      <w:pPr>
        <w:ind w:left="3580" w:right="5120" w:hanging="440"/>
        <w:spacing w:after="0" w:line="516" w:lineRule="auto"/>
        <w:tabs>
          <w:tab w:leader="none" w:pos="3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1300" w:hanging="441"/>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1,468,231</w:t>
      </w:r>
    </w:p>
    <w:p>
      <w:pPr>
        <w:spacing w:after="0" w:line="40" w:lineRule="exact"/>
        <w:rPr>
          <w:rFonts w:ascii="Arial" w:cs="Arial" w:eastAsia="Arial" w:hAnsi="Arial"/>
          <w:sz w:val="18"/>
          <w:szCs w:val="18"/>
          <w:color w:val="auto"/>
        </w:rPr>
      </w:pPr>
    </w:p>
    <w:p>
      <w:pPr>
        <w:ind w:left="1300" w:right="3300" w:hanging="531"/>
        <w:spacing w:after="0" w:line="233"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ind w:left="1300" w:right="4880" w:hanging="525"/>
        <w:spacing w:after="0" w:line="38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3.59</w:t>
      </w:r>
      <w:r>
        <w:rPr>
          <w:rFonts w:ascii="Arial" w:cs="Arial" w:eastAsia="Arial" w:hAnsi="Arial"/>
          <w:sz w:val="18"/>
          <w:szCs w:val="18"/>
          <w:color w:val="auto"/>
        </w:rPr>
        <w:t>%</w:t>
      </w:r>
    </w:p>
    <w:p>
      <w:pPr>
        <w:ind w:left="1300" w:hanging="531"/>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tabs>
          <w:tab w:leader="none" w:pos="55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5 Pages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P10, Inc.</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4514 Cole Avenue , Suite 1600 , Dallas , Texas, 75205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Grandeur Peak Global Advisors, LLC</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18"/>
          <w:szCs w:val="18"/>
          <w:color w:val="auto"/>
        </w:rPr>
      </w:pPr>
    </w:p>
    <w:p>
      <w:pPr>
        <w:ind w:left="920" w:right="7820"/>
        <w:spacing w:after="0" w:line="260" w:lineRule="auto"/>
        <w:rPr>
          <w:rFonts w:ascii="Arial" w:cs="Arial" w:eastAsia="Arial" w:hAnsi="Arial"/>
          <w:sz w:val="18"/>
          <w:szCs w:val="18"/>
          <w:color w:val="auto"/>
        </w:rPr>
      </w:pPr>
      <w:r>
        <w:rPr>
          <w:rFonts w:ascii="Arial" w:cs="Arial" w:eastAsia="Arial" w:hAnsi="Arial"/>
          <w:sz w:val="18"/>
          <w:szCs w:val="18"/>
          <w:b w:val="1"/>
          <w:bCs w:val="1"/>
          <w:color w:val="auto"/>
        </w:rPr>
        <w:t>136 South Main Street, Suite 720 Salt Lake City, UT 84101</w:t>
      </w:r>
    </w:p>
    <w:p>
      <w:pPr>
        <w:spacing w:after="0" w:line="185"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Not Applicable</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Common</w:t>
      </w:r>
    </w:p>
    <w:p>
      <w:pPr>
        <w:spacing w:after="0" w:line="210" w:lineRule="exact"/>
        <w:rPr>
          <w:rFonts w:ascii="Arial" w:cs="Arial" w:eastAsia="Arial" w:hAnsi="Arial"/>
          <w:sz w:val="18"/>
          <w:szCs w:val="18"/>
          <w:color w:val="auto"/>
        </w:rPr>
      </w:pPr>
    </w:p>
    <w:p>
      <w:pPr>
        <w:ind w:left="920" w:hanging="453"/>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69376K106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 [X]  An investment adviser in accordance with §240.13d-1(b)(1)(ii)(E);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37" w:lineRule="exact"/>
        <w:rPr>
          <w:sz w:val="20"/>
          <w:szCs w:val="20"/>
          <w:color w:val="auto"/>
        </w:rPr>
      </w:pPr>
    </w:p>
    <w:p>
      <w:pPr>
        <w:ind w:left="1140" w:hanging="67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1,468,231</w:t>
      </w:r>
    </w:p>
    <w:p>
      <w:pPr>
        <w:spacing w:after="0" w:line="225" w:lineRule="exact"/>
        <w:rPr>
          <w:rFonts w:ascii="Arial" w:cs="Arial" w:eastAsia="Arial" w:hAnsi="Arial"/>
          <w:sz w:val="18"/>
          <w:szCs w:val="18"/>
          <w:color w:val="auto"/>
        </w:rPr>
      </w:pPr>
    </w:p>
    <w:p>
      <w:pPr>
        <w:ind w:left="1140" w:hanging="67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3.59</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140" w:hanging="673"/>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1"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1,468,231</w:t>
      </w:r>
    </w:p>
    <w:p>
      <w:pPr>
        <w:spacing w:after="0" w:line="229"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1"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1,468,231</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tabs>
          <w:tab w:leader="none" w:pos="5580" w:val="left"/>
          <w:tab w:leader="none" w:pos="99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69376K106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5 Pages</w:t>
      </w:r>
    </w:p>
    <w:p>
      <w:pPr>
        <w:spacing w:after="0" w:line="200" w:lineRule="exact"/>
        <w:rPr>
          <w:sz w:val="20"/>
          <w:szCs w:val="20"/>
          <w:color w:val="auto"/>
        </w:rPr>
      </w:pPr>
    </w:p>
    <w:p>
      <w:pPr>
        <w:spacing w:after="0" w:line="24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Amy 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Amy Hone / Deputy 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2023-02-13T05:24:04Z</dcterms:created>
  <dcterms:modified xsi:type="dcterms:W3CDTF">2023-02-13T05:24:04Z</dcterms:modified>
</cp:coreProperties>
</file>