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ind w:left="416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Date of Report (Date of earliest event reported): February 4,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000-30939</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(Commission File Number)</w:t>
      </w:r>
    </w:p>
    <w:p>
      <w:pPr>
        <w:spacing w:after="0" w:line="124"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6620" w:type="dxa"/>
            <w:vAlign w:val="bottom"/>
          </w:tcPr>
          <w:p>
            <w:pPr>
              <w:jc w:val="center"/>
              <w:ind w:right="3323"/>
              <w:spacing w:after="0"/>
              <w:rPr>
                <w:sz w:val="20"/>
                <w:szCs w:val="20"/>
                <w:color w:val="auto"/>
              </w:rPr>
            </w:pPr>
            <w:r>
              <w:rPr>
                <w:rFonts w:ascii="Arial" w:cs="Arial" w:eastAsia="Arial" w:hAnsi="Arial"/>
                <w:sz w:val="18"/>
                <w:szCs w:val="18"/>
                <w:b w:val="1"/>
                <w:bCs w:val="1"/>
                <w:color w:val="auto"/>
                <w:w w:val="88"/>
              </w:rPr>
              <w:t>Delaware</w:t>
            </w:r>
          </w:p>
        </w:tc>
        <w:tc>
          <w:tcPr>
            <w:tcW w:w="1340" w:type="dxa"/>
            <w:vAlign w:val="bottom"/>
          </w:tcPr>
          <w:p>
            <w:pPr>
              <w:jc w:val="right"/>
              <w:ind w:right="44"/>
              <w:spacing w:after="0"/>
              <w:rPr>
                <w:sz w:val="20"/>
                <w:szCs w:val="20"/>
                <w:color w:val="auto"/>
              </w:rPr>
            </w:pPr>
            <w:r>
              <w:rPr>
                <w:rFonts w:ascii="Arial" w:cs="Arial" w:eastAsia="Arial" w:hAnsi="Arial"/>
                <w:sz w:val="18"/>
                <w:szCs w:val="18"/>
                <w:b w:val="1"/>
                <w:bCs w:val="1"/>
                <w:color w:val="auto"/>
              </w:rPr>
              <w:t>74-2961657</w:t>
            </w:r>
          </w:p>
        </w:tc>
      </w:tr>
      <w:tr>
        <w:trPr>
          <w:trHeight w:val="149"/>
        </w:trPr>
        <w:tc>
          <w:tcPr>
            <w:tcW w:w="6620" w:type="dxa"/>
            <w:vAlign w:val="bottom"/>
          </w:tcPr>
          <w:p>
            <w:pPr>
              <w:jc w:val="center"/>
              <w:ind w:right="3323"/>
              <w:spacing w:after="0" w:line="149" w:lineRule="exact"/>
              <w:rPr>
                <w:sz w:val="20"/>
                <w:szCs w:val="20"/>
                <w:color w:val="auto"/>
              </w:rPr>
            </w:pPr>
            <w:r>
              <w:rPr>
                <w:rFonts w:ascii="Arial" w:cs="Arial" w:eastAsia="Arial" w:hAnsi="Arial"/>
                <w:sz w:val="14"/>
                <w:szCs w:val="14"/>
                <w:b w:val="1"/>
                <w:bCs w:val="1"/>
                <w:color w:val="auto"/>
                <w:w w:val="87"/>
              </w:rPr>
              <w:t>(State of Other Jurisdiction</w:t>
            </w:r>
          </w:p>
        </w:tc>
        <w:tc>
          <w:tcPr>
            <w:tcW w:w="134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620" w:type="dxa"/>
            <w:vAlign w:val="bottom"/>
          </w:tcPr>
          <w:p>
            <w:pPr>
              <w:jc w:val="center"/>
              <w:ind w:right="3343"/>
              <w:spacing w:after="0"/>
              <w:rPr>
                <w:sz w:val="20"/>
                <w:szCs w:val="20"/>
                <w:color w:val="auto"/>
              </w:rPr>
            </w:pPr>
            <w:r>
              <w:rPr>
                <w:rFonts w:ascii="Arial" w:cs="Arial" w:eastAsia="Arial" w:hAnsi="Arial"/>
                <w:sz w:val="14"/>
                <w:szCs w:val="14"/>
                <w:b w:val="1"/>
                <w:bCs w:val="1"/>
                <w:color w:val="auto"/>
                <w:w w:val="89"/>
              </w:rPr>
              <w:t>of Incorporation)</w:t>
            </w:r>
          </w:p>
        </w:tc>
        <w:tc>
          <w:tcPr>
            <w:tcW w:w="1340" w:type="dxa"/>
            <w:vAlign w:val="bottom"/>
          </w:tcPr>
          <w:p>
            <w:pPr>
              <w:jc w:val="center"/>
              <w:ind w:left="20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620" w:type="dxa"/>
            <w:vAlign w:val="bottom"/>
          </w:tcPr>
          <w:p>
            <w:pPr>
              <w:jc w:val="center"/>
              <w:ind w:right="3323"/>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1340" w:type="dxa"/>
            <w:vAlign w:val="bottom"/>
          </w:tcPr>
          <w:p>
            <w:pPr>
              <w:jc w:val="right"/>
              <w:ind w:right="244"/>
              <w:spacing w:after="0"/>
              <w:rPr>
                <w:sz w:val="20"/>
                <w:szCs w:val="20"/>
                <w:color w:val="auto"/>
              </w:rPr>
            </w:pPr>
            <w:r>
              <w:rPr>
                <w:rFonts w:ascii="Arial" w:cs="Arial" w:eastAsia="Arial" w:hAnsi="Arial"/>
                <w:sz w:val="18"/>
                <w:szCs w:val="18"/>
                <w:b w:val="1"/>
                <w:bCs w:val="1"/>
                <w:color w:val="auto"/>
              </w:rPr>
              <w:t>78758</w:t>
            </w:r>
          </w:p>
        </w:tc>
      </w:tr>
      <w:tr>
        <w:trPr>
          <w:trHeight w:val="174"/>
        </w:trPr>
        <w:tc>
          <w:tcPr>
            <w:tcW w:w="6620" w:type="dxa"/>
            <w:vAlign w:val="bottom"/>
          </w:tcPr>
          <w:p>
            <w:pPr>
              <w:jc w:val="center"/>
              <w:ind w:right="3323"/>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340" w:type="dxa"/>
            <w:vAlign w:val="bottom"/>
          </w:tcPr>
          <w:p>
            <w:pPr>
              <w:jc w:val="center"/>
              <w:ind w:left="204"/>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6620" w:type="dxa"/>
            <w:vAlign w:val="bottom"/>
          </w:tcPr>
          <w:p>
            <w:pPr>
              <w:jc w:val="center"/>
              <w:ind w:left="2203"/>
              <w:spacing w:after="0"/>
              <w:rPr>
                <w:sz w:val="20"/>
                <w:szCs w:val="20"/>
                <w:color w:val="auto"/>
              </w:rPr>
            </w:pPr>
            <w:r>
              <w:rPr>
                <w:rFonts w:ascii="Arial" w:cs="Arial" w:eastAsia="Arial" w:hAnsi="Arial"/>
                <w:sz w:val="18"/>
                <w:szCs w:val="18"/>
                <w:b w:val="1"/>
                <w:bCs w:val="1"/>
                <w:color w:val="auto"/>
                <w:w w:val="89"/>
              </w:rPr>
              <w:t>(512) 836-6464</w:t>
            </w:r>
          </w:p>
        </w:tc>
        <w:tc>
          <w:tcPr>
            <w:tcW w:w="1340" w:type="dxa"/>
            <w:vAlign w:val="bottom"/>
          </w:tcPr>
          <w:p>
            <w:pPr>
              <w:spacing w:after="0"/>
              <w:rPr>
                <w:sz w:val="24"/>
                <w:szCs w:val="24"/>
                <w:color w:val="auto"/>
              </w:rPr>
            </w:pPr>
          </w:p>
        </w:tc>
      </w:tr>
      <w:tr>
        <w:trPr>
          <w:trHeight w:val="174"/>
        </w:trPr>
        <w:tc>
          <w:tcPr>
            <w:tcW w:w="6620" w:type="dxa"/>
            <w:vAlign w:val="bottom"/>
          </w:tcPr>
          <w:p>
            <w:pPr>
              <w:jc w:val="center"/>
              <w:ind w:left="2203"/>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340" w:type="dxa"/>
            <w:vAlign w:val="bottom"/>
          </w:tcPr>
          <w:p>
            <w:pPr>
              <w:spacing w:after="0"/>
              <w:rPr>
                <w:sz w:val="15"/>
                <w:szCs w:val="15"/>
                <w:color w:val="auto"/>
              </w:rPr>
            </w:pPr>
          </w:p>
        </w:tc>
      </w:tr>
      <w:tr>
        <w:trPr>
          <w:trHeight w:val="339"/>
        </w:trPr>
        <w:tc>
          <w:tcPr>
            <w:tcW w:w="6620" w:type="dxa"/>
            <w:vAlign w:val="bottom"/>
          </w:tcPr>
          <w:p>
            <w:pPr>
              <w:jc w:val="center"/>
              <w:ind w:left="2203"/>
              <w:spacing w:after="0"/>
              <w:rPr>
                <w:sz w:val="20"/>
                <w:szCs w:val="20"/>
                <w:color w:val="auto"/>
              </w:rPr>
            </w:pPr>
            <w:r>
              <w:rPr>
                <w:rFonts w:ascii="Arial" w:cs="Arial" w:eastAsia="Arial" w:hAnsi="Arial"/>
                <w:sz w:val="18"/>
                <w:szCs w:val="18"/>
                <w:b w:val="1"/>
                <w:bCs w:val="1"/>
                <w:color w:val="auto"/>
                <w:w w:val="96"/>
              </w:rPr>
              <w:t>N/A</w:t>
            </w:r>
          </w:p>
        </w:tc>
        <w:tc>
          <w:tcPr>
            <w:tcW w:w="1340" w:type="dxa"/>
            <w:vAlign w:val="bottom"/>
          </w:tcPr>
          <w:p>
            <w:pPr>
              <w:spacing w:after="0"/>
              <w:rPr>
                <w:sz w:val="24"/>
                <w:szCs w:val="24"/>
                <w:color w:val="auto"/>
              </w:rPr>
            </w:pPr>
          </w:p>
        </w:tc>
      </w:tr>
      <w:tr>
        <w:trPr>
          <w:trHeight w:val="174"/>
        </w:trPr>
        <w:tc>
          <w:tcPr>
            <w:tcW w:w="6620" w:type="dxa"/>
            <w:vAlign w:val="bottom"/>
          </w:tcPr>
          <w:p>
            <w:pPr>
              <w:jc w:val="center"/>
              <w:ind w:left="2203"/>
              <w:spacing w:after="0"/>
              <w:rPr>
                <w:sz w:val="20"/>
                <w:szCs w:val="20"/>
                <w:color w:val="auto"/>
              </w:rPr>
            </w:pPr>
            <w:r>
              <w:rPr>
                <w:rFonts w:ascii="Arial" w:cs="Arial" w:eastAsia="Arial" w:hAnsi="Arial"/>
                <w:sz w:val="14"/>
                <w:szCs w:val="14"/>
                <w:b w:val="1"/>
                <w:bCs w:val="1"/>
                <w:color w:val="auto"/>
                <w:w w:val="88"/>
              </w:rPr>
              <w:t>(Former Name or Former Address, if Changed Since Last Report)</w:t>
            </w:r>
          </w:p>
        </w:tc>
        <w:tc>
          <w:tcPr>
            <w:tcW w:w="134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registration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60"/>
          </w:cols>
          <w:pgMar w:left="240" w:top="355"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 Entry into a Material Definitive Agreement.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Item 3.02 below.</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February 4, 2005, Active Power,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completed the private placement of 5,454,510 shares of the Company’s common stock, par value $0.001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at a price of $3.64 per share for an aggregate offering price of approximately $19.8 million, to certain institutional investors (the “</w:t>
      </w:r>
      <w:r>
        <w:rPr>
          <w:rFonts w:ascii="Arial" w:cs="Arial" w:eastAsia="Arial" w:hAnsi="Arial"/>
          <w:sz w:val="16"/>
          <w:szCs w:val="16"/>
          <w:b w:val="1"/>
          <w:bCs w:val="1"/>
          <w:i w:val="1"/>
          <w:iCs w:val="1"/>
          <w:color w:val="auto"/>
        </w:rPr>
        <w:t>Purchasers</w:t>
      </w:r>
      <w:r>
        <w:rPr>
          <w:rFonts w:ascii="Arial" w:cs="Arial" w:eastAsia="Arial" w:hAnsi="Arial"/>
          <w:sz w:val="16"/>
          <w:szCs w:val="16"/>
          <w:color w:val="auto"/>
        </w:rPr>
        <w:t>”). The Company also issued Additional Investment Rights to purchase an additional 1,636,353 shares of Common Stock to the Purchasers (the “</w:t>
      </w:r>
      <w:r>
        <w:rPr>
          <w:rFonts w:ascii="Arial" w:cs="Arial" w:eastAsia="Arial" w:hAnsi="Arial"/>
          <w:sz w:val="16"/>
          <w:szCs w:val="16"/>
          <w:b w:val="1"/>
          <w:bCs w:val="1"/>
          <w:i w:val="1"/>
          <w:iCs w:val="1"/>
          <w:color w:val="auto"/>
        </w:rPr>
        <w:t>Additional Investment Rights</w:t>
      </w:r>
      <w:r>
        <w:rPr>
          <w:rFonts w:ascii="Arial" w:cs="Arial" w:eastAsia="Arial" w:hAnsi="Arial"/>
          <w:sz w:val="16"/>
          <w:szCs w:val="16"/>
          <w:color w:val="auto"/>
        </w:rPr>
        <w:t>”), at an exercise price per share of $3.64. The Additional Investment Rights are exercisable until the earliest to occur of (1) the date that is three months following the effective date of the Company’s registration statement registering the resale of the shares of Common Stock sold to the Purchasers and the shares of Common Stock issuable upon exercise of the Additional Investment Rights, (2) immediately prior to the any merger or acquisition of the Company pursuant to which the Company is not the surviving entity, or (3) February 4, 2007. In connection with the transaction, the Company paid placement agent fees and expenses of approximately $1,122,108.</w:t>
      </w:r>
    </w:p>
    <w:p>
      <w:pPr>
        <w:spacing w:after="0" w:line="10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transaction was exempt from registration pursuant to Section 4(2) of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 Regulation D promulgated thereunder, as a transaction not involving a public offering, and in reliance on similar exemptions under applicable state laws. The Company believes that each of the Purchasers qualifies as an “accredited investor” (as defined by Rule 501(a) under the Securities Act).</w:t>
      </w:r>
    </w:p>
    <w:p>
      <w:pPr>
        <w:spacing w:after="0" w:line="9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part of the transaction, the Company agreed to register for resale under the Securities Act all of the shares of Common Stock issued in the offering, as well as shares of Common Stock issuable upon exercise of the Additional Investment Rights.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February 4, 2005, the Company issued a press release announcing the offering which is attached hereto as Exhibit 99.1. This exhibit is furnished, not filed, pursuant to Regulation FD.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 and Financial Statements.</w:t>
      </w:r>
    </w:p>
    <w:p>
      <w:pPr>
        <w:spacing w:after="0" w:line="77"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82" w:lineRule="exact"/>
        <w:rPr>
          <w:rFonts w:ascii="Arial" w:cs="Arial" w:eastAsia="Arial" w:hAnsi="Arial"/>
          <w:sz w:val="18"/>
          <w:szCs w:val="18"/>
          <w:b w:val="1"/>
          <w:bCs w:val="1"/>
          <w:color w:val="auto"/>
        </w:rPr>
      </w:pPr>
    </w:p>
    <w:p>
      <w:pPr>
        <w:jc w:val="both"/>
        <w:ind w:left="460" w:right="722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Exhibit 99.1 Press Release dated February 4, 2005 Exhibit 99.2 Form of Additional Investment Right</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spacing w:after="0"/>
        <w:tabs>
          <w:tab w:leader="none" w:pos="5480" w:val="left"/>
          <w:tab w:leader="none" w:pos="6040" w:val="left"/>
        </w:tabs>
        <w:rPr>
          <w:sz w:val="20"/>
          <w:szCs w:val="20"/>
          <w:color w:val="auto"/>
        </w:rPr>
      </w:pPr>
      <w:r>
        <w:rPr>
          <w:rFonts w:ascii="Arial" w:cs="Arial" w:eastAsia="Arial" w:hAnsi="Arial"/>
          <w:sz w:val="18"/>
          <w:szCs w:val="18"/>
          <w:color w:val="auto"/>
        </w:rPr>
        <w:t>Dated: February 10,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of the Board, President and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31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0"/>
          </w:cols>
          <w:pgMar w:left="240" w:top="274" w:right="11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Press Release of February 4, 2005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Closes $20 Million Private Placement of Common Stock</w:t>
      </w:r>
    </w:p>
    <w:p>
      <w:pPr>
        <w:spacing w:after="0" w:line="15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color w:val="auto"/>
        </w:rPr>
        <w:t xml:space="preserve">Austin, Texas (February 4, 2005) </w:t>
      </w:r>
      <w:r>
        <w:rPr>
          <w:rFonts w:ascii="Arial" w:cs="Arial" w:eastAsia="Arial" w:hAnsi="Arial"/>
          <w:sz w:val="16"/>
          <w:szCs w:val="16"/>
          <w:color w:val="auto"/>
        </w:rPr>
        <w:t>— Active Power, Inc. (NASDAQ: ACPW), a leading manufacturer of battery-free backup power products, today announced</w:t>
      </w:r>
      <w:r>
        <w:rPr>
          <w:rFonts w:ascii="Arial" w:cs="Arial" w:eastAsia="Arial" w:hAnsi="Arial"/>
          <w:sz w:val="16"/>
          <w:szCs w:val="16"/>
          <w:b w:val="1"/>
          <w:bCs w:val="1"/>
          <w:color w:val="auto"/>
        </w:rPr>
        <w:t xml:space="preserve"> </w:t>
      </w:r>
      <w:r>
        <w:rPr>
          <w:rFonts w:ascii="Arial" w:cs="Arial" w:eastAsia="Arial" w:hAnsi="Arial"/>
          <w:sz w:val="16"/>
          <w:szCs w:val="16"/>
          <w:color w:val="auto"/>
        </w:rPr>
        <w:t>that it has completed a private placement of approximately $20 million of common stock to institutional investors. The transaction involved the sale of 5,454,510 shares of common stock at a purchase price of approximately $3.64 per share. In addition, the company granted the investors a right to purchase, within a limited time period, up to an additional 1,636,353 shares at approximately $3.64 per share, or up to an additional $6 million. The discount from Active Power’s current stock price that was applied to the shares sold in the private placement is attributable to the transfer restrictions on the shares. Active Power intends to use the net proceeds from the placement for general corporate purposes, including support for continued company growth. RBC Capital Markets acted as exclusive placement agent for the offering.</w:t>
      </w:r>
    </w:p>
    <w:p>
      <w:pPr>
        <w:spacing w:after="0" w:line="106" w:lineRule="exact"/>
        <w:rPr>
          <w:sz w:val="20"/>
          <w:szCs w:val="20"/>
          <w:color w:val="auto"/>
        </w:rPr>
      </w:pPr>
    </w:p>
    <w:p>
      <w:pPr>
        <w:jc w:val="both"/>
        <w:ind w:right="200"/>
        <w:spacing w:after="0" w:line="267" w:lineRule="auto"/>
        <w:rPr>
          <w:sz w:val="20"/>
          <w:szCs w:val="20"/>
          <w:color w:val="auto"/>
        </w:rPr>
      </w:pPr>
      <w:r>
        <w:rPr>
          <w:rFonts w:ascii="Arial" w:cs="Arial" w:eastAsia="Arial" w:hAnsi="Arial"/>
          <w:sz w:val="18"/>
          <w:szCs w:val="18"/>
          <w:color w:val="auto"/>
        </w:rPr>
        <w:t>“This transaction will provide us with additional resources to pursue new markets,” said Joe Pinkerton, Chairman and CEO of Active Power. “In particular, the capital raised will allow us to expedite the commercialization of our new extended runtime product – CleanSource</w:t>
      </w:r>
      <w:r>
        <w:rPr>
          <w:rFonts w:ascii="Arial" w:cs="Arial" w:eastAsia="Arial" w:hAnsi="Arial"/>
          <w:sz w:val="18"/>
          <w:szCs w:val="18"/>
          <w:color w:val="auto"/>
          <w:vertAlign w:val="superscript"/>
        </w:rPr>
        <w:t>®</w:t>
      </w:r>
      <w:r>
        <w:rPr>
          <w:rFonts w:ascii="Arial" w:cs="Arial" w:eastAsia="Arial" w:hAnsi="Arial"/>
          <w:sz w:val="18"/>
          <w:szCs w:val="18"/>
          <w:color w:val="auto"/>
        </w:rPr>
        <w:t xml:space="preserve"> XR — which will target large opportunities within the telecom and midrange UPS markets.”</w:t>
      </w:r>
    </w:p>
    <w:p>
      <w:pPr>
        <w:spacing w:after="0" w:line="12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Neither the offer nor sale of the shares of Common Stock sold to the investors, or the additional shares covered by the investors’ additional investment rights, has been registered under the Securities Act of 1933. Accordingly, these securities may not be offered or sold in the United States, except pursuant to an effective registration statement or an applicable exemption from the registration requirements of the Securities Act. Active Power has agreed to file a registration statement covering resale of the shares of Common Stock sold to the investors and the shares issuable upon exercise of the investors’ additional investment rights by the investors. This press release shall not constitute an offer to sell or the solicitation of an offer to buy the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Active Power:</w:t>
      </w:r>
    </w:p>
    <w:p>
      <w:pPr>
        <w:spacing w:after="0" w:line="83"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Active Power, Inc. (www.activepower.com) designs, manufactures and markets battery-free power quality products that provide the consistent, reliable electric power required by today’s digital economy. An ISO 9001-registered company, Active Power is the first to commercialize a flywheel energy storage system that provides a highly reliable, low-cost and non-toxic replacement for lead-acid batteries used in conventional power quality installations.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8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This release may contain forward-looking statements, within the meaning of Section 27A of the Securities Act of 1933 and Section 21E of the Securities Act of 1934, that involve risks and uncertainties. The important factors that could cause actual results to differ materially include, but are not limited to, the potential for significant losses to continue; inability to accurately predict revenue and budget for expenses for future periods; fluctuations in revenue and operating results; overall market performance; decreases and/or delays in capital spending; limited product</w:t>
      </w:r>
    </w:p>
    <w:p>
      <w:pPr>
        <w:sectPr>
          <w:pgSz w:w="11900" w:h="16838" w:orient="portrait"/>
          <w:cols w:equalWidth="0" w:num="1">
            <w:col w:w="11420"/>
          </w:cols>
          <w:pgMar w:left="240" w:top="125" w:right="239" w:bottom="1440" w:gutter="0" w:footer="0" w:header="0"/>
        </w:sectPr>
      </w:pPr>
    </w:p>
    <w:bookmarkStart w:id="4" w:name="page5"/>
    <w:bookmarkEnd w:id="4"/>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lines; inability to expand our distribution channels; inability to manage new and existing product distribution relationships; our current dependence on our relationship with Caterpillar; delays in research and development; potential Sarbanes-Oxley 404 compliance issues; the acceptance of the new technology in our current and future products by the power quality market; product performance and quality issues; and other risks set forth in the Company’s most recent SEC filings.</w:t>
      </w:r>
    </w:p>
    <w:p>
      <w:pPr>
        <w:spacing w:after="0" w:line="130"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CleanSource, Active Power and our Active Power logo are registered trademarks of Active Power, Inc. </w:t>
      </w:r>
      <w:r>
        <w:rPr>
          <w:rFonts w:ascii="Arial" w:cs="Arial" w:eastAsia="Arial" w:hAnsi="Arial"/>
          <w:sz w:val="18"/>
          <w:szCs w:val="18"/>
          <w:color w:val="auto"/>
        </w:rPr>
        <w:t>All other trademarks are the properties of their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Active Power Contacts: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Michael Chibib, Investors, 512.744.9453, </w:t>
      </w:r>
      <w:r>
        <w:rPr>
          <w:rFonts w:ascii="Arial" w:cs="Arial" w:eastAsia="Arial" w:hAnsi="Arial"/>
          <w:sz w:val="18"/>
          <w:szCs w:val="18"/>
          <w:u w:val="single" w:color="auto"/>
          <w:color w:val="auto"/>
        </w:rPr>
        <w:t>mchibib@activepower.com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Derek Jones, Corporate Communications, 512.744.9210, </w:t>
      </w:r>
      <w:r>
        <w:rPr>
          <w:rFonts w:ascii="Arial" w:cs="Arial" w:eastAsia="Arial" w:hAnsi="Arial"/>
          <w:sz w:val="18"/>
          <w:szCs w:val="18"/>
          <w:u w:val="single" w:color="auto"/>
          <w:color w:val="auto"/>
        </w:rPr>
        <w:t>djones@activepower.com</w:t>
      </w:r>
    </w:p>
    <w:p>
      <w:pPr>
        <w:sectPr>
          <w:pgSz w:w="11900" w:h="16838" w:orient="portrait"/>
          <w:cols w:equalWidth="0" w:num="1">
            <w:col w:w="11300"/>
          </w:cols>
          <w:pgMar w:left="240" w:top="280" w:right="3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u w:val="single" w:color="auto"/>
          <w:color w:val="auto"/>
        </w:rPr>
        <w:t>Exhibit 99.2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Additional Investment Right</w:t>
      </w:r>
    </w:p>
    <w:p>
      <w:pPr>
        <w:spacing w:after="0" w:line="158" w:lineRule="exact"/>
        <w:rPr>
          <w:sz w:val="20"/>
          <w:szCs w:val="20"/>
          <w:color w:val="auto"/>
        </w:rPr>
      </w:pPr>
    </w:p>
    <w:p>
      <w:pPr>
        <w:ind w:left="10500"/>
        <w:spacing w:after="0"/>
        <w:rPr>
          <w:sz w:val="20"/>
          <w:szCs w:val="20"/>
          <w:color w:val="auto"/>
        </w:rPr>
      </w:pPr>
      <w:r>
        <w:rPr>
          <w:rFonts w:ascii="Arial" w:cs="Arial" w:eastAsia="Arial" w:hAnsi="Arial"/>
          <w:sz w:val="18"/>
          <w:szCs w:val="18"/>
          <w:b w:val="1"/>
          <w:bCs w:val="1"/>
          <w:color w:val="auto"/>
        </w:rPr>
        <w:t>EXHIBIT B</w:t>
      </w:r>
    </w:p>
    <w:p>
      <w:pPr>
        <w:spacing w:after="0" w:line="164"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NEITHER THIS SECURITY NOR THE SECURITIES INTO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THIS SECURITY AND THE SECURITIES ISSUABLE UPON EXERCISE OF THIS SECURITY MAY BE PLEDGED IN CONNECTION WITH A BONA FIDE MARGIN ACCOUNT OR OTHER LOAN SECURED BY SUCH SECURITIES.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20" w:type="dxa"/>
            <w:vAlign w:val="bottom"/>
          </w:tcPr>
          <w:p>
            <w:pPr>
              <w:spacing w:after="0"/>
              <w:rPr>
                <w:sz w:val="19"/>
                <w:szCs w:val="19"/>
                <w:color w:val="auto"/>
              </w:rPr>
            </w:pPr>
          </w:p>
        </w:tc>
        <w:tc>
          <w:tcPr>
            <w:tcW w:w="450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rPr>
              <w:t>ADDITIONAL INVESTMENT RIGHT</w:t>
            </w: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26"/>
        </w:trPr>
        <w:tc>
          <w:tcPr>
            <w:tcW w:w="3720" w:type="dxa"/>
            <w:vAlign w:val="bottom"/>
          </w:tcPr>
          <w:p>
            <w:pPr>
              <w:spacing w:after="0"/>
              <w:rPr>
                <w:sz w:val="24"/>
                <w:szCs w:val="24"/>
                <w:color w:val="auto"/>
              </w:rPr>
            </w:pPr>
          </w:p>
        </w:tc>
        <w:tc>
          <w:tcPr>
            <w:tcW w:w="1160" w:type="dxa"/>
            <w:vAlign w:val="bottom"/>
          </w:tcPr>
          <w:p>
            <w:pPr>
              <w:ind w:left="260"/>
              <w:spacing w:after="0"/>
              <w:rPr>
                <w:sz w:val="20"/>
                <w:szCs w:val="20"/>
                <w:color w:val="auto"/>
              </w:rPr>
            </w:pPr>
            <w:r>
              <w:rPr>
                <w:rFonts w:ascii="Arial" w:cs="Arial" w:eastAsia="Arial" w:hAnsi="Arial"/>
                <w:sz w:val="18"/>
                <w:szCs w:val="18"/>
                <w:color w:val="auto"/>
                <w:w w:val="86"/>
              </w:rPr>
              <w:t>To Purchase</w:t>
            </w:r>
          </w:p>
        </w:tc>
        <w:tc>
          <w:tcPr>
            <w:tcW w:w="540" w:type="dxa"/>
            <w:vAlign w:val="bottom"/>
            <w:tcBorders>
              <w:bottom w:val="single" w:sz="8" w:color="auto"/>
            </w:tcBorders>
          </w:tcPr>
          <w:p>
            <w:pPr>
              <w:spacing w:after="0"/>
              <w:rPr>
                <w:sz w:val="24"/>
                <w:szCs w:val="24"/>
                <w:color w:val="auto"/>
              </w:rPr>
            </w:pPr>
          </w:p>
        </w:tc>
        <w:tc>
          <w:tcPr>
            <w:tcW w:w="2800" w:type="dxa"/>
            <w:vAlign w:val="bottom"/>
            <w:gridSpan w:val="2"/>
          </w:tcPr>
          <w:p>
            <w:pPr>
              <w:ind w:left="40"/>
              <w:spacing w:after="0"/>
              <w:rPr>
                <w:sz w:val="20"/>
                <w:szCs w:val="20"/>
                <w:color w:val="auto"/>
              </w:rPr>
            </w:pPr>
            <w:r>
              <w:rPr>
                <w:rFonts w:ascii="Arial" w:cs="Arial" w:eastAsia="Arial" w:hAnsi="Arial"/>
                <w:sz w:val="18"/>
                <w:szCs w:val="18"/>
                <w:color w:val="auto"/>
              </w:rPr>
              <w:t>Shares of Common Stock of</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83"/>
        </w:trPr>
        <w:tc>
          <w:tcPr>
            <w:tcW w:w="3720" w:type="dxa"/>
            <w:vAlign w:val="bottom"/>
          </w:tcPr>
          <w:p>
            <w:pPr>
              <w:spacing w:after="0"/>
              <w:rPr>
                <w:sz w:val="24"/>
                <w:szCs w:val="24"/>
                <w:color w:val="auto"/>
              </w:rPr>
            </w:pPr>
          </w:p>
        </w:tc>
        <w:tc>
          <w:tcPr>
            <w:tcW w:w="450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99"/>
              </w:rPr>
              <w:t>ACTIVE POWER, INC.</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6"/>
        </w:trPr>
        <w:tc>
          <w:tcPr>
            <w:tcW w:w="8220" w:type="dxa"/>
            <w:vAlign w:val="bottom"/>
            <w:gridSpan w:val="5"/>
          </w:tcPr>
          <w:p>
            <w:pPr>
              <w:spacing w:after="0"/>
              <w:rPr>
                <w:sz w:val="20"/>
                <w:szCs w:val="20"/>
                <w:color w:val="auto"/>
              </w:rPr>
            </w:pPr>
            <w:r>
              <w:rPr>
                <w:rFonts w:ascii="Arial" w:cs="Arial" w:eastAsia="Arial" w:hAnsi="Arial"/>
                <w:sz w:val="18"/>
                <w:szCs w:val="18"/>
                <w:color w:val="auto"/>
                <w:w w:val="93"/>
              </w:rPr>
              <w:t>THIS ADDITIONAL INVESTMENT RIGHT (the “Additional Investment Right”) certifies that, for value received,</w:t>
            </w:r>
          </w:p>
        </w:tc>
        <w:tc>
          <w:tcPr>
            <w:tcW w:w="880" w:type="dxa"/>
            <w:vAlign w:val="bottom"/>
          </w:tcPr>
          <w:p>
            <w:pPr>
              <w:spacing w:after="0"/>
              <w:rPr>
                <w:sz w:val="24"/>
                <w:szCs w:val="24"/>
                <w:color w:val="auto"/>
              </w:rPr>
            </w:pPr>
          </w:p>
        </w:tc>
        <w:tc>
          <w:tcPr>
            <w:tcW w:w="2280" w:type="dxa"/>
            <w:vAlign w:val="bottom"/>
            <w:gridSpan w:val="3"/>
          </w:tcPr>
          <w:p>
            <w:pPr>
              <w:ind w:left="40"/>
              <w:spacing w:after="0"/>
              <w:rPr>
                <w:sz w:val="20"/>
                <w:szCs w:val="20"/>
                <w:color w:val="auto"/>
              </w:rPr>
            </w:pPr>
            <w:r>
              <w:rPr>
                <w:rFonts w:ascii="Arial" w:cs="Arial" w:eastAsia="Arial" w:hAnsi="Arial"/>
                <w:sz w:val="18"/>
                <w:szCs w:val="18"/>
                <w:color w:val="auto"/>
                <w:w w:val="91"/>
              </w:rPr>
              <w:t>(the “Holder”), is entitled, upon</w:t>
            </w:r>
          </w:p>
        </w:tc>
      </w:tr>
      <w:tr>
        <w:trPr>
          <w:trHeight w:val="20"/>
        </w:trPr>
        <w:tc>
          <w:tcPr>
            <w:tcW w:w="37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9"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the terms and subject to the limitations on exercise and the conditions hereinafter set forth, at any time on or date hereof (the “</w:t>
      </w:r>
      <w:r>
        <w:rPr>
          <w:rFonts w:ascii="Arial" w:cs="Arial" w:eastAsia="Arial" w:hAnsi="Arial"/>
          <w:sz w:val="16"/>
          <w:szCs w:val="16"/>
          <w:u w:val="single" w:color="auto"/>
          <w:color w:val="auto"/>
        </w:rPr>
        <w:t>Initial Exercise Date</w:t>
      </w:r>
      <w:r>
        <w:rPr>
          <w:rFonts w:ascii="Arial" w:cs="Arial" w:eastAsia="Arial" w:hAnsi="Arial"/>
          <w:sz w:val="16"/>
          <w:szCs w:val="16"/>
          <w:color w:val="auto"/>
        </w:rPr>
        <w:t>”) and on or prior to the earliest of (a) the three (3) month anniversary of the Effective Date, (b) the 24 month anniversary of the Closing Date, and (c) the date that is immediately prior to the consummation of a Fundamental Transaction (as defined in Section 3(d) below)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and the period from the Initial Exercise Date until the Termination Date shall be the “</w:t>
      </w:r>
      <w:r>
        <w:rPr>
          <w:rFonts w:ascii="Arial" w:cs="Arial" w:eastAsia="Arial" w:hAnsi="Arial"/>
          <w:sz w:val="16"/>
          <w:szCs w:val="16"/>
          <w:u w:val="single" w:color="auto"/>
          <w:color w:val="auto"/>
        </w:rPr>
        <w:t>Exercise Period</w:t>
      </w:r>
      <w:r>
        <w:rPr>
          <w:rFonts w:ascii="Arial" w:cs="Arial" w:eastAsia="Arial" w:hAnsi="Arial"/>
          <w:sz w:val="16"/>
          <w:szCs w:val="16"/>
          <w:color w:val="auto"/>
        </w:rPr>
        <w:t>”) but not thereafter, to subscribe for and purchase from Active Power, Inc., a Delaware</w:t>
      </w:r>
    </w:p>
    <w:p>
      <w:pPr>
        <w:spacing w:after="0" w:line="3" w:lineRule="exact"/>
        <w:rPr>
          <w:sz w:val="20"/>
          <w:szCs w:val="20"/>
          <w:color w:val="auto"/>
        </w:rPr>
      </w:pPr>
    </w:p>
    <w:p>
      <w:pPr>
        <w:spacing w:after="0"/>
        <w:tabs>
          <w:tab w:leader="none" w:pos="3120" w:val="left"/>
        </w:tabs>
        <w:rPr>
          <w:sz w:val="20"/>
          <w:szCs w:val="20"/>
          <w:color w:val="auto"/>
        </w:rPr>
      </w:pPr>
      <w:r>
        <w:rPr>
          <w:rFonts w:ascii="Arial" w:cs="Arial" w:eastAsia="Arial" w:hAnsi="Arial"/>
          <w:sz w:val="18"/>
          <w:szCs w:val="18"/>
          <w:color w:val="auto"/>
        </w:rPr>
        <w:t>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up to</w:t>
      </w:r>
      <w:r>
        <w:rPr>
          <w:sz w:val="20"/>
          <w:szCs w:val="20"/>
          <w:color w:val="auto"/>
        </w:rPr>
        <w:tab/>
      </w:r>
      <w:r>
        <w:rPr>
          <w:rFonts w:ascii="Arial" w:cs="Arial" w:eastAsia="Arial" w:hAnsi="Arial"/>
          <w:sz w:val="15"/>
          <w:szCs w:val="15"/>
          <w:color w:val="auto"/>
        </w:rPr>
        <w:t>shares (the “</w:t>
      </w:r>
      <w:r>
        <w:rPr>
          <w:rFonts w:ascii="Arial" w:cs="Arial" w:eastAsia="Arial" w:hAnsi="Arial"/>
          <w:sz w:val="15"/>
          <w:szCs w:val="15"/>
          <w:u w:val="single" w:color="auto"/>
          <w:color w:val="auto"/>
        </w:rPr>
        <w:t>Additional Investment Right Shares</w:t>
      </w:r>
      <w:r>
        <w:rPr>
          <w:rFonts w:ascii="Arial" w:cs="Arial" w:eastAsia="Arial" w:hAnsi="Arial"/>
          <w:sz w:val="15"/>
          <w:szCs w:val="15"/>
          <w:color w:val="auto"/>
        </w:rPr>
        <w:t>”) of Common Stock, par value $0.001 per share,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1626870</wp:posOffset>
            </wp:positionH>
            <wp:positionV relativeFrom="paragraph">
              <wp:posOffset>-17780</wp:posOffset>
            </wp:positionV>
            <wp:extent cx="3346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53"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Common Stock</w:t>
      </w:r>
      <w:r>
        <w:rPr>
          <w:rFonts w:ascii="Arial" w:cs="Arial" w:eastAsia="Arial" w:hAnsi="Arial"/>
          <w:sz w:val="18"/>
          <w:szCs w:val="18"/>
          <w:color w:val="auto"/>
        </w:rPr>
        <w:t>”). Unless the Termination Date occurs due to the consummation of a Fundamental Transaction, the Exercise Period shall be extended for the number of Trading Days during such period in which (x) trading in the Common Stock is suspended by any Trading Market, or (y) following the Effective Date, the Registration Statement is not effective or the prospectus included in the Registration Statement may not be used by the Purchasers for the resale of the Additional Investment Right Shares. The purchase price of one share of Common Stock under this Additional Investment Right shall be equal to the Exercise Price, as defined in Section 2(b).</w:t>
      </w:r>
    </w:p>
    <w:p>
      <w:pPr>
        <w:sectPr>
          <w:pgSz w:w="11900" w:h="16838" w:orient="portrait"/>
          <w:cols w:equalWidth="0" w:num="1">
            <w:col w:w="11420"/>
          </w:cols>
          <w:pgMar w:left="240" w:top="125" w:right="239" w:bottom="1440" w:gutter="0" w:footer="0" w:header="0"/>
        </w:sectPr>
      </w:pPr>
    </w:p>
    <w:bookmarkStart w:id="6" w:name="page7"/>
    <w:bookmarkEnd w:id="6"/>
    <w:p>
      <w:pPr>
        <w:ind w:right="160" w:firstLine="438"/>
        <w:spacing w:after="0" w:line="332"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Definitions</w:t>
      </w:r>
      <w:r>
        <w:rPr>
          <w:rFonts w:ascii="Arial" w:cs="Arial" w:eastAsia="Arial" w:hAnsi="Arial"/>
          <w:sz w:val="16"/>
          <w:szCs w:val="16"/>
          <w:color w:val="auto"/>
        </w:rPr>
        <w:t>. Capitalized terms used and not otherwise defined herein shall have the meanings set forth in that certain Securities Purchase Agreement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dated February 3, 2005, among the Company and the purchasers signatory thereto.</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Exercise.</w:t>
      </w:r>
    </w:p>
    <w:p>
      <w:pPr>
        <w:spacing w:after="0" w:line="77" w:lineRule="exact"/>
        <w:rPr>
          <w:sz w:val="20"/>
          <w:szCs w:val="20"/>
          <w:color w:val="auto"/>
        </w:rPr>
      </w:pPr>
    </w:p>
    <w:p>
      <w:pPr>
        <w:ind w:right="200" w:firstLine="443"/>
        <w:spacing w:after="0" w:line="253" w:lineRule="auto"/>
        <w:tabs>
          <w:tab w:leader="none" w:pos="618"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Exercise of the Additional Investment Right</w:t>
      </w:r>
      <w:r>
        <w:rPr>
          <w:rFonts w:ascii="Arial" w:cs="Arial" w:eastAsia="Arial" w:hAnsi="Arial"/>
          <w:sz w:val="18"/>
          <w:szCs w:val="18"/>
          <w:color w:val="auto"/>
        </w:rPr>
        <w:t xml:space="preserve">. Exercise of the purchase rights represented by this Additional Investment Right may be made, in whole or in part, at any time or times on or after the Initial Exercise Date and on or before the Termination Date by delivery to the Company of a duly executed facsimile copy of the Notice of Exercise Form annexed hereto (or such other office or agency of the Company as it may designate by notice in writing to the registered Holder at the address of such Holder appearing on the books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within 5 Trading Days of the date said Notice of Exercise is delivered to the Company, the Holder shall have surrendered this Additional Investment Right to the Company and the Company shall have received payment of the aggregate Exercise Price of the shares thereby purchased by wire transfer or cashier’s check drawn on a United States bank.</w:t>
      </w:r>
    </w:p>
    <w:p>
      <w:pPr>
        <w:spacing w:after="0" w:line="46" w:lineRule="exact"/>
        <w:rPr>
          <w:rFonts w:ascii="Arial" w:cs="Arial" w:eastAsia="Arial" w:hAnsi="Arial"/>
          <w:sz w:val="18"/>
          <w:szCs w:val="18"/>
          <w:color w:val="auto"/>
        </w:rPr>
      </w:pPr>
    </w:p>
    <w:p>
      <w:pPr>
        <w:ind w:right="200" w:firstLine="443"/>
        <w:spacing w:after="0" w:line="275"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exercise price of the Common Stock under this Additional Investment Right shall be </w:t>
      </w:r>
      <w:r>
        <w:rPr>
          <w:rFonts w:ascii="Arial" w:cs="Arial" w:eastAsia="Arial" w:hAnsi="Arial"/>
          <w:sz w:val="18"/>
          <w:szCs w:val="18"/>
          <w:b w:val="1"/>
          <w:bCs w:val="1"/>
          <w:color w:val="auto"/>
        </w:rPr>
        <w:t>$3.64</w:t>
      </w:r>
      <w:r>
        <w:rPr>
          <w:rFonts w:ascii="Arial" w:cs="Arial" w:eastAsia="Arial" w:hAnsi="Arial"/>
          <w:sz w:val="18"/>
          <w:szCs w:val="18"/>
          <w:color w:val="auto"/>
        </w:rPr>
        <w:t>, subject to adjustment hereunder (the “</w:t>
      </w: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31" w:lineRule="exact"/>
        <w:rPr>
          <w:rFonts w:ascii="Arial" w:cs="Arial" w:eastAsia="Arial" w:hAnsi="Arial"/>
          <w:sz w:val="18"/>
          <w:szCs w:val="18"/>
          <w:color w:val="auto"/>
        </w:rPr>
      </w:pPr>
    </w:p>
    <w:p>
      <w:pPr>
        <w:ind w:right="220" w:firstLine="443"/>
        <w:spacing w:after="0" w:line="256" w:lineRule="auto"/>
        <w:tabs>
          <w:tab w:leader="none" w:pos="618"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If at any time after one year from the date of issuance of this Additional Investment Right there is no effective Registration Statement registering the resale of the Additional Investment Right Shares by the Holder, then this Additional Investment Right may also be exercised at such time by means of a “cashless exercise” in which the Holder shall be entitled to receive a certificate for the number of Additional Investment Right Shares equal to the quotient obtained by dividing [(A-B) (X)] by (A), where:</w:t>
      </w:r>
    </w:p>
    <w:p>
      <w:pPr>
        <w:spacing w:after="0" w:line="48" w:lineRule="exact"/>
        <w:rPr>
          <w:rFonts w:ascii="Arial" w:cs="Arial" w:eastAsia="Arial" w:hAnsi="Arial"/>
          <w:sz w:val="18"/>
          <w:szCs w:val="18"/>
          <w:color w:val="auto"/>
        </w:rPr>
      </w:pPr>
    </w:p>
    <w:p>
      <w:pPr>
        <w:ind w:left="1020" w:hanging="567"/>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 the VWAP on the Trading Day immediately preceding the date of such election;</w:t>
      </w:r>
    </w:p>
    <w:p>
      <w:pPr>
        <w:spacing w:after="0" w:line="76" w:lineRule="exact"/>
        <w:rPr>
          <w:rFonts w:ascii="Arial" w:cs="Arial" w:eastAsia="Arial" w:hAnsi="Arial"/>
          <w:sz w:val="18"/>
          <w:szCs w:val="18"/>
          <w:color w:val="auto"/>
        </w:rPr>
      </w:pPr>
    </w:p>
    <w:p>
      <w:pPr>
        <w:ind w:left="1020" w:hanging="567"/>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 the Exercise Price of this Additional Investment Right, as adjusted; and</w:t>
      </w:r>
    </w:p>
    <w:p>
      <w:pPr>
        <w:spacing w:after="0" w:line="77" w:lineRule="exact"/>
        <w:rPr>
          <w:sz w:val="20"/>
          <w:szCs w:val="20"/>
          <w:color w:val="auto"/>
        </w:rPr>
      </w:pPr>
    </w:p>
    <w:p>
      <w:pPr>
        <w:ind w:left="1020" w:hanging="567"/>
        <w:spacing w:after="0" w:line="268" w:lineRule="auto"/>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 the number of Additional Investment Right Shares issuable upon exercise of this Additional Investment Right in accordance with the terms of this Additional Investment Right by means of a cash exercise rather than a cashless exercise.</w:t>
      </w:r>
    </w:p>
    <w:p>
      <w:pPr>
        <w:spacing w:after="0" w:line="118" w:lineRule="exact"/>
        <w:rPr>
          <w:rFonts w:ascii="Arial" w:cs="Arial" w:eastAsia="Arial" w:hAnsi="Arial"/>
          <w:sz w:val="18"/>
          <w:szCs w:val="18"/>
          <w:color w:val="auto"/>
        </w:rPr>
      </w:pPr>
    </w:p>
    <w:p>
      <w:pPr>
        <w:ind w:left="640" w:hanging="197"/>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Exercise Limitations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right="260" w:firstLine="421"/>
        <w:spacing w:after="0" w:line="268" w:lineRule="auto"/>
        <w:tabs>
          <w:tab w:leader="none" w:pos="1016" w:val="left"/>
        </w:tabs>
        <w:numPr>
          <w:ilvl w:val="2"/>
          <w:numId w:val="5"/>
        </w:numPr>
        <w:rPr>
          <w:rFonts w:ascii="Arial" w:cs="Arial" w:eastAsia="Arial" w:hAnsi="Arial"/>
          <w:sz w:val="18"/>
          <w:szCs w:val="18"/>
          <w:color w:val="auto"/>
        </w:rPr>
      </w:pPr>
      <w:r>
        <w:rPr>
          <w:rFonts w:ascii="Arial" w:cs="Arial" w:eastAsia="Arial" w:hAnsi="Arial"/>
          <w:sz w:val="18"/>
          <w:szCs w:val="18"/>
          <w:u w:val="single" w:color="auto"/>
          <w:color w:val="auto"/>
        </w:rPr>
        <w:t>Holder’s Restrictions</w:t>
      </w:r>
      <w:r>
        <w:rPr>
          <w:rFonts w:ascii="Arial" w:cs="Arial" w:eastAsia="Arial" w:hAnsi="Arial"/>
          <w:sz w:val="18"/>
          <w:szCs w:val="18"/>
          <w:color w:val="auto"/>
        </w:rPr>
        <w:t>. The Holder shall not have the right to exercise any portion of this Additional Investment Right, pursuant to Section 2(c) or otherwise, to the extent that after giving effect to such</w:t>
      </w:r>
    </w:p>
    <w:p>
      <w:pPr>
        <w:sectPr>
          <w:pgSz w:w="11900" w:h="16838" w:orient="portrait"/>
          <w:cols w:equalWidth="0" w:num="1">
            <w:col w:w="10940"/>
          </w:cols>
          <w:pgMar w:left="700" w:top="280" w:right="259" w:bottom="1440" w:gutter="0" w:footer="0" w:header="0"/>
        </w:sectPr>
      </w:pPr>
    </w:p>
    <w:bookmarkStart w:id="7" w:name="page8"/>
    <w:bookmarkEnd w:id="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issuance after exercise, the Holder (together with the Holder’s affiliates), as set forth on the applicable Notice of Exercise, would beneficially own in excess of 4.99% of the number of shares of the Common Stock outstanding immediately after giving effect to such issuance. For purposes of the foregoing sentence, the number of shares of Common Stock beneficially owned by the Holder and its affiliates shall include the number of shares of Common Stock issuable upon exercise of this Additional Investment Right with respect to which the determination of such sentence is being made, but shall exclude the number of shares of Common Stock which would be issuable upon (A) exercise of the remaining, nonexercised portion of this Additional Investment Right beneficially owned by the Holder or any of its affiliates and (B) exercise or conversion of the unexercised or nonconverted portion of any other securities of the Company (including, without limitation, any other securities issuable pursuant to the Purchase Agreement or Additional Investment Rights) subject to a limitation on conversion or exercise analogous to the limitation contained herein beneficially owned by the Holder or any of its affiliates. Except as set forth in the preceding sentence, for purposes of this Section 2(d), beneficial ownership shall be calculated in accordance with Section 13(d) of the Exchange Act, it being acknowledged by Holder that the Company is not representing to Holder that such calculation is in compliance with Section 13(d) of the Exchange Act and Holder is solely responsible for any schedules required to be filed in accordance therewith. To the extent that the limitation contained in this Section 2(d) applies, the determination of whether this Additional Investment Right is exercisable (in relation to other securities owned by the Holder) and of which a portion of this Additional Investment Right is exercisable shall be in the sole discretion of such Holder, and the submission of a Notice of Exercise shall be deemed to be such Holder’s determination of whether this Additional Investment Right is exercisable (in relation to other securities owned by such Holder) and of which portion of this Additional Investment Right is exercisable, in each case subject to such aggregate percentage limitation, and the Company shall have no obligation to verify or confirm the accuracy of such determination. For purposes of this Section 2(d), in determining the number of outstanding shares of Common Stock, the Holder may rely on the number of outstanding shares of Common Stock as reflected in (x) the Company’s most recent Form 10-Q or Form 10-K, as the case may be, (y) a more recent public announcement by the Company or (z) any other notice by the Company or the Company’s Transfer Agent setting forth the number of shares of Common Stock outstanding as of the most recent practicable date. Upon the written request of the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w:t>
      </w:r>
    </w:p>
    <w:p>
      <w:pPr>
        <w:sectPr>
          <w:pgSz w:w="11900" w:h="16838" w:orient="portrait"/>
          <w:cols w:equalWidth="0" w:num="1">
            <w:col w:w="10460"/>
          </w:cols>
          <w:pgMar w:left="1160" w:top="280" w:right="279" w:bottom="1440" w:gutter="0" w:footer="0" w:header="0"/>
        </w:sectPr>
      </w:pPr>
    </w:p>
    <w:bookmarkStart w:id="8" w:name="page9"/>
    <w:bookmarkEnd w:id="8"/>
    <w:p>
      <w:pPr>
        <w:ind w:left="17" w:right="8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including this Additional Investment Right, by the Holder or its affiliates since the date as of which such number of outstanding shares of Common Stock was reported. The provisions of this Section 2(d) may be waived by the Holder upon, at the election of the Holder, not less than 61 days’ prior notice to the Company, and the provisions of this Section 2(d) shall continue to apply until such 61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(or such later date, as determined by the Holder, as may be specified in such notice of waiver).</w:t>
      </w:r>
    </w:p>
    <w:p>
      <w:pPr>
        <w:spacing w:after="0" w:line="62" w:lineRule="exact"/>
        <w:rPr>
          <w:sz w:val="20"/>
          <w:szCs w:val="20"/>
          <w:color w:val="auto"/>
        </w:rPr>
      </w:pPr>
    </w:p>
    <w:p>
      <w:pPr>
        <w:ind w:left="17" w:firstLine="421"/>
        <w:spacing w:after="0" w:line="286" w:lineRule="auto"/>
        <w:tabs>
          <w:tab w:leader="none" w:pos="623"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Trading Market Restrictions</w:t>
      </w:r>
      <w:r>
        <w:rPr>
          <w:rFonts w:ascii="Arial" w:cs="Arial" w:eastAsia="Arial" w:hAnsi="Arial"/>
          <w:sz w:val="16"/>
          <w:szCs w:val="16"/>
          <w:color w:val="auto"/>
        </w:rPr>
        <w:t>. If the Company has not obtained Shareholder Approval (as defined below) if required, then the Company may not issue upon exercise of this Additional Investment Right in the aggregate, in excess of 19.999% of the number of shares of Common Stock outstanding on the Trading Day immediately preceding the Closing Date, less any shares of Common Stock issued pursuant to the Purchase Agreement or upon prior exercise of this or any other Additional Investment Right issued pursuant to the Purchase Agreement (such number of shares, the “</w:t>
      </w:r>
      <w:r>
        <w:rPr>
          <w:rFonts w:ascii="Arial" w:cs="Arial" w:eastAsia="Arial" w:hAnsi="Arial"/>
          <w:sz w:val="16"/>
          <w:szCs w:val="16"/>
          <w:u w:val="single" w:color="auto"/>
          <w:color w:val="auto"/>
        </w:rPr>
        <w:t>Issuable Maximum</w:t>
      </w:r>
      <w:r>
        <w:rPr>
          <w:rFonts w:ascii="Arial" w:cs="Arial" w:eastAsia="Arial" w:hAnsi="Arial"/>
          <w:sz w:val="16"/>
          <w:szCs w:val="16"/>
          <w:color w:val="auto"/>
        </w:rPr>
        <w:t>”). If on any attempted exercise of this Additional Investment Right, the issuance of Additional Investment Right Shares would exceed the Issuable Maximum and the Company shall not have previously obtained the vote of shareholders (the “</w:t>
      </w:r>
      <w:r>
        <w:rPr>
          <w:rFonts w:ascii="Arial" w:cs="Arial" w:eastAsia="Arial" w:hAnsi="Arial"/>
          <w:sz w:val="16"/>
          <w:szCs w:val="16"/>
          <w:u w:val="single" w:color="auto"/>
          <w:color w:val="auto"/>
        </w:rPr>
        <w:t>Shareholder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Approval</w:t>
      </w:r>
      <w:r>
        <w:rPr>
          <w:rFonts w:ascii="Arial" w:cs="Arial" w:eastAsia="Arial" w:hAnsi="Arial"/>
          <w:sz w:val="16"/>
          <w:szCs w:val="16"/>
          <w:color w:val="auto"/>
        </w:rPr>
        <w:t>”), if any, as may be required by the applicable rules and regulations of the Trading Market (or any successor entity) to approve the issuance of shares of Common Stock in excess of the Issuable Maximum pursuant to the terms hereof, then the Company shall issue to the Holder requesting an Additional Investment Right exercise such number of Additional Investment Right Shares as may be issued below the Issuable Maximum and, with respect to the remainder of the aggregate number of Additional Investment Right Shares, this Additional Investment Right shall not be exercisable until and unless Shareholder Approval has been obtained.</w:t>
      </w:r>
    </w:p>
    <w:p>
      <w:pPr>
        <w:spacing w:after="0" w:line="32" w:lineRule="exact"/>
        <w:rPr>
          <w:rFonts w:ascii="Arial" w:cs="Arial" w:eastAsia="Arial" w:hAnsi="Arial"/>
          <w:sz w:val="16"/>
          <w:szCs w:val="16"/>
          <w:color w:val="auto"/>
        </w:rPr>
      </w:pPr>
    </w:p>
    <w:p>
      <w:pPr>
        <w:ind w:left="177" w:hanging="177"/>
        <w:spacing w:after="0"/>
        <w:tabs>
          <w:tab w:leader="none" w:pos="177"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7" w:right="20" w:firstLine="421"/>
        <w:spacing w:after="0" w:line="255" w:lineRule="auto"/>
        <w:tabs>
          <w:tab w:leader="none" w:pos="574"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Authorization of Additional Investment Right Shares</w:t>
      </w:r>
      <w:r>
        <w:rPr>
          <w:rFonts w:ascii="Arial" w:cs="Arial" w:eastAsia="Arial" w:hAnsi="Arial"/>
          <w:sz w:val="18"/>
          <w:szCs w:val="18"/>
          <w:color w:val="auto"/>
        </w:rPr>
        <w:t>. The Company covenants that all Additional Investment Right Shares which may be issued upon the exercise of the purchase rights represented by this Additional Investment Right will, upon exercise of the purchase rights represented by this Additional Investment Right, be duly authorized, validly issued, fully paid and nonassessable and free from all taxes, liens and charges in respect of the issue thereof (other than taxes in respect of any transfer occurring contemporaneously with such issue and transfer restrictions imposed pursuant to the Transaction Documents).</w:t>
      </w:r>
    </w:p>
    <w:p>
      <w:pPr>
        <w:spacing w:after="0" w:line="48" w:lineRule="exact"/>
        <w:rPr>
          <w:rFonts w:ascii="Arial" w:cs="Arial" w:eastAsia="Arial" w:hAnsi="Arial"/>
          <w:sz w:val="18"/>
          <w:szCs w:val="18"/>
          <w:color w:val="auto"/>
        </w:rPr>
      </w:pPr>
    </w:p>
    <w:p>
      <w:pPr>
        <w:ind w:left="17" w:right="680" w:firstLine="421"/>
        <w:spacing w:after="0" w:line="332" w:lineRule="auto"/>
        <w:tabs>
          <w:tab w:leader="none" w:pos="623"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Delivery of Certificates Upon Exercise</w:t>
      </w:r>
      <w:r>
        <w:rPr>
          <w:rFonts w:ascii="Arial" w:cs="Arial" w:eastAsia="Arial" w:hAnsi="Arial"/>
          <w:sz w:val="16"/>
          <w:szCs w:val="16"/>
          <w:color w:val="auto"/>
        </w:rPr>
        <w:t>. Certificates for shares purchased hereunder shall be transmitted by the transfer agent of the Company to the Holder by crediting the account of the Holder’s prime broker with the Depository Trust Company through its Deposit</w:t>
      </w:r>
    </w:p>
    <w:p>
      <w:pPr>
        <w:sectPr>
          <w:pgSz w:w="11900" w:h="16838" w:orient="portrait"/>
          <w:cols w:equalWidth="0" w:num="1">
            <w:col w:w="10517"/>
          </w:cols>
          <w:pgMar w:left="1143" w:top="280" w:right="239" w:bottom="1440" w:gutter="0" w:footer="0" w:header="0"/>
        </w:sectPr>
      </w:pPr>
    </w:p>
    <w:bookmarkStart w:id="9" w:name="page10"/>
    <w:bookmarkEnd w:id="9"/>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Withdrawal Agent Commission (“</w:t>
      </w:r>
      <w:r>
        <w:rPr>
          <w:rFonts w:ascii="Arial" w:cs="Arial" w:eastAsia="Arial" w:hAnsi="Arial"/>
          <w:sz w:val="16"/>
          <w:szCs w:val="16"/>
          <w:u w:val="single" w:color="auto"/>
          <w:color w:val="auto"/>
        </w:rPr>
        <w:t>DWAC</w:t>
      </w:r>
      <w:r>
        <w:rPr>
          <w:rFonts w:ascii="Arial" w:cs="Arial" w:eastAsia="Arial" w:hAnsi="Arial"/>
          <w:sz w:val="16"/>
          <w:szCs w:val="16"/>
          <w:color w:val="auto"/>
        </w:rPr>
        <w:t>”) system if the Company is a participant in such system, and otherwise by physical delivery to the address specified by the Holder in the Notice of Exercise within 3 Trading Days from the delivery to the Company of the Notice of Exercise Form, surrender of this Additional Investment Right and payment of the aggregate Exercise Price as set forth above (“</w:t>
      </w:r>
      <w:r>
        <w:rPr>
          <w:rFonts w:ascii="Arial" w:cs="Arial" w:eastAsia="Arial" w:hAnsi="Arial"/>
          <w:sz w:val="16"/>
          <w:szCs w:val="16"/>
          <w:u w:val="single" w:color="auto"/>
          <w:color w:val="auto"/>
        </w:rPr>
        <w:t>Additional Investment Right Share Delivery</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This Additional Investment Right shall be deemed to have been exercised on the date the Exercise Price is received by the Company. The Additional Investment Right Shares shall be deemed to have been issued, and Holder or any other person so designated to be named therein shall be deemed to have become a holder of record of such shares for all purposes, as of the date the Additional Investment Right has been exercised by payment to the Company of the Exercise Price and all taxes required to be paid by the Holder, if any, pursuant to Section 2(e)(vii) prior to the issuance of such shares, have been paid.</w:t>
      </w:r>
    </w:p>
    <w:p>
      <w:pPr>
        <w:spacing w:after="0" w:line="24" w:lineRule="exact"/>
        <w:rPr>
          <w:sz w:val="20"/>
          <w:szCs w:val="20"/>
          <w:color w:val="auto"/>
        </w:rPr>
      </w:pPr>
    </w:p>
    <w:p>
      <w:pPr>
        <w:ind w:right="200" w:firstLine="421"/>
        <w:spacing w:after="0" w:line="298" w:lineRule="auto"/>
        <w:tabs>
          <w:tab w:leader="none" w:pos="654"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Delivery of New Additional Investment Rights Upon Exercise</w:t>
      </w:r>
      <w:r>
        <w:rPr>
          <w:rFonts w:ascii="Arial" w:cs="Arial" w:eastAsia="Arial" w:hAnsi="Arial"/>
          <w:sz w:val="16"/>
          <w:szCs w:val="16"/>
          <w:color w:val="auto"/>
        </w:rPr>
        <w:t>. If this Additional Investment Right shall have been exercised in part, the Company shall, at the time of delivery of the certificate or certificates representing Additional Investment Right Shares, deliver to Holder a new Additional Investment Right evidencing the rights of Holder to purchase the unpurchased Additional Investment Right Shares called for by this Additional Investment Right, which new Additional Investment Right shall in all other respects be identical with this Additional Investment Right.</w:t>
      </w:r>
    </w:p>
    <w:p>
      <w:pPr>
        <w:spacing w:after="0" w:line="18" w:lineRule="exact"/>
        <w:rPr>
          <w:rFonts w:ascii="Arial" w:cs="Arial" w:eastAsia="Arial" w:hAnsi="Arial"/>
          <w:sz w:val="16"/>
          <w:szCs w:val="16"/>
          <w:color w:val="auto"/>
        </w:rPr>
      </w:pPr>
    </w:p>
    <w:p>
      <w:pPr>
        <w:ind w:right="200" w:firstLine="421"/>
        <w:spacing w:after="0" w:line="259" w:lineRule="auto"/>
        <w:tabs>
          <w:tab w:leader="none" w:pos="633"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Rescission Rights</w:t>
      </w:r>
      <w:r>
        <w:rPr>
          <w:rFonts w:ascii="Arial" w:cs="Arial" w:eastAsia="Arial" w:hAnsi="Arial"/>
          <w:sz w:val="18"/>
          <w:szCs w:val="18"/>
          <w:color w:val="auto"/>
        </w:rPr>
        <w:t>. If the Company fails to cause its transfer agent to transmit to the Holder a certificate or certificates representing the Additional Investment Right Shares pursuant to this Section 2(e)(iv) by the Additional Investment Right Share Delivery Date, then the Holder will have the right to rescind such exercise.</w:t>
      </w:r>
    </w:p>
    <w:p>
      <w:pPr>
        <w:spacing w:after="0" w:line="45" w:lineRule="exact"/>
        <w:rPr>
          <w:rFonts w:ascii="Arial" w:cs="Arial" w:eastAsia="Arial" w:hAnsi="Arial"/>
          <w:sz w:val="18"/>
          <w:szCs w:val="18"/>
          <w:color w:val="auto"/>
        </w:rPr>
      </w:pPr>
    </w:p>
    <w:p>
      <w:pPr>
        <w:ind w:firstLine="421"/>
        <w:spacing w:after="0" w:line="289" w:lineRule="auto"/>
        <w:tabs>
          <w:tab w:leader="none" w:pos="584"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Certificates Upon Exercise</w:t>
      </w:r>
      <w:r>
        <w:rPr>
          <w:rFonts w:ascii="Arial" w:cs="Arial" w:eastAsia="Arial" w:hAnsi="Arial"/>
          <w:sz w:val="16"/>
          <w:szCs w:val="16"/>
          <w:color w:val="auto"/>
        </w:rPr>
        <w:t>. In addition to any other rights available to the Holder, if the Company fails to cause its transfer agent to transmit to the Holder a certificate or certificates representing the Additional Investment Right Shares pursuant to an exercise on or before the Additional Investment Right Share Delivery Date, and if after such date the Holder is required by its broker to purchase (in an open market transaction or otherwise) shares of Common Stock to deliver in satisfaction of a sale by the Holder of the Additional Investment Right Shares which the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(1) pay in cash to the Holder the amount by which (x) the Holder’s total purchase price (including brokerage commissions, if any) for the shares of Common Stock so purchased exceeds (y) the amount obtained by multiplying (A) the number of Additional Investment Right Shares that the Company was required to deliver to the Holder in connection with the</w:t>
      </w:r>
    </w:p>
    <w:p>
      <w:pPr>
        <w:sectPr>
          <w:pgSz w:w="11900" w:h="16838" w:orient="portrait"/>
          <w:cols w:equalWidth="0" w:num="1">
            <w:col w:w="10500"/>
          </w:cols>
          <w:pgMar w:left="1160" w:top="280" w:right="239" w:bottom="1440" w:gutter="0" w:footer="0" w:header="0"/>
        </w:sectPr>
      </w:pPr>
    </w:p>
    <w:bookmarkStart w:id="10" w:name="page11"/>
    <w:bookmarkEnd w:id="1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exercise at issue times (B) the price at which the sell order giving rise to such purchase obligation was executed, and (2) at the option of the Holder, either reinstate the portion of the Additional Investment Right and equivalent number of Additional Investment Right Shares for which such exercise was not honored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(1) of the immediately preceding sentence the Company shall be required to pay the Holder $1,000. The Holder shall provide the Company written notice indicating the amounts payable to the Holder in respect of the Buy-In, together with applicable confirmations and other evidence reasonably requested by the Company. Nothing herein shall limit a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Additional Investment Right as required pursuant to the terms hereof.</w:t>
      </w:r>
    </w:p>
    <w:p>
      <w:pPr>
        <w:spacing w:after="0" w:line="33" w:lineRule="exact"/>
        <w:rPr>
          <w:sz w:val="20"/>
          <w:szCs w:val="20"/>
          <w:color w:val="auto"/>
        </w:rPr>
      </w:pPr>
    </w:p>
    <w:p>
      <w:pPr>
        <w:ind w:right="160" w:firstLine="421"/>
        <w:spacing w:after="0" w:line="306" w:lineRule="auto"/>
        <w:tabs>
          <w:tab w:leader="none" w:pos="644"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No Fractional Shares or Scrip</w:t>
      </w:r>
      <w:r>
        <w:rPr>
          <w:rFonts w:ascii="Arial" w:cs="Arial" w:eastAsia="Arial" w:hAnsi="Arial"/>
          <w:sz w:val="16"/>
          <w:szCs w:val="16"/>
          <w:color w:val="auto"/>
        </w:rPr>
        <w:t>. No fractional shares or scrip representing fractional shares shall be issued upon the exercise of this Additional Investment Right. As to any fraction of a share which Holder would otherwise be entitled to purchase upon such exercise, the Company shall pay a cash adjustment in respect of such final fraction in an amount equal to such fraction multiplied by the Exercise Price.</w:t>
      </w:r>
    </w:p>
    <w:p>
      <w:pPr>
        <w:spacing w:after="0" w:line="12" w:lineRule="exact"/>
        <w:rPr>
          <w:rFonts w:ascii="Arial" w:cs="Arial" w:eastAsia="Arial" w:hAnsi="Arial"/>
          <w:sz w:val="16"/>
          <w:szCs w:val="16"/>
          <w:color w:val="auto"/>
        </w:rPr>
      </w:pPr>
    </w:p>
    <w:p>
      <w:pPr>
        <w:ind w:right="60" w:firstLine="421"/>
        <w:spacing w:after="0" w:line="314" w:lineRule="auto"/>
        <w:tabs>
          <w:tab w:leader="none" w:pos="693" w:val="left"/>
        </w:tabs>
        <w:numPr>
          <w:ilvl w:val="0"/>
          <w:numId w:val="9"/>
        </w:numPr>
        <w:rPr>
          <w:rFonts w:ascii="Arial" w:cs="Arial" w:eastAsia="Arial" w:hAnsi="Arial"/>
          <w:sz w:val="15"/>
          <w:szCs w:val="15"/>
          <w:color w:val="auto"/>
        </w:rPr>
      </w:pPr>
      <w:r>
        <w:rPr>
          <w:rFonts w:ascii="Arial" w:cs="Arial" w:eastAsia="Arial" w:hAnsi="Arial"/>
          <w:sz w:val="15"/>
          <w:szCs w:val="15"/>
          <w:u w:val="single" w:color="auto"/>
          <w:color w:val="auto"/>
        </w:rPr>
        <w:t>Charges, Taxes and Expenses</w:t>
      </w:r>
      <w:r>
        <w:rPr>
          <w:rFonts w:ascii="Arial" w:cs="Arial" w:eastAsia="Arial" w:hAnsi="Arial"/>
          <w:sz w:val="15"/>
          <w:szCs w:val="15"/>
          <w:color w:val="auto"/>
        </w:rPr>
        <w:t xml:space="preserve">. Issuance of certificates for Additional Investment Right Shares shall be made without charge to the Holder for any issue or transfer tax or other incidental expense in respect of the issuance of such certificate, all of which taxes and expenses shall be paid by the Company, and such certificates shall be issued in the name of the Holder or in such name or names as may be directed by the Holder;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the event certificates for Additional Investment Right Shares are to be issued in a name other than the name of the Holder, this Additional Investment Right when surrendered for exercise shall be accompanied by the Assignment Form attached hereto duly executed by the Holder; and the Company may require, as a condition thereto, the payment of a sum sufficient to reimburse it for any transfer tax incidental thereto.</w:t>
      </w:r>
    </w:p>
    <w:p>
      <w:pPr>
        <w:spacing w:after="0" w:line="10" w:lineRule="exact"/>
        <w:rPr>
          <w:rFonts w:ascii="Arial" w:cs="Arial" w:eastAsia="Arial" w:hAnsi="Arial"/>
          <w:sz w:val="15"/>
          <w:szCs w:val="15"/>
          <w:color w:val="auto"/>
        </w:rPr>
      </w:pPr>
    </w:p>
    <w:p>
      <w:pPr>
        <w:ind w:right="140" w:firstLine="421"/>
        <w:spacing w:after="0" w:line="268" w:lineRule="auto"/>
        <w:tabs>
          <w:tab w:leader="none" w:pos="74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Additional Investment Right, pursuant to the terms hereof.</w:t>
      </w:r>
    </w:p>
    <w:p>
      <w:pPr>
        <w:sectPr>
          <w:pgSz w:w="11900" w:h="16838" w:orient="portrait"/>
          <w:cols w:equalWidth="0" w:num="1">
            <w:col w:w="10500"/>
          </w:cols>
          <w:pgMar w:left="116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Certain Adjustments</w:t>
      </w:r>
      <w:r>
        <w:rPr>
          <w:rFonts w:ascii="Arial" w:cs="Arial" w:eastAsia="Arial" w:hAnsi="Arial"/>
          <w:sz w:val="18"/>
          <w:szCs w:val="18"/>
          <w:color w:val="auto"/>
        </w:rPr>
        <w:t>.</w:t>
      </w:r>
    </w:p>
    <w:p>
      <w:pPr>
        <w:spacing w:after="0" w:line="77" w:lineRule="exact"/>
        <w:rPr>
          <w:sz w:val="20"/>
          <w:szCs w:val="20"/>
          <w:color w:val="auto"/>
        </w:rPr>
      </w:pPr>
    </w:p>
    <w:p>
      <w:pPr>
        <w:ind w:left="-440" w:right="60" w:firstLine="443"/>
        <w:spacing w:after="0" w:line="286" w:lineRule="auto"/>
        <w:tabs>
          <w:tab w:leader="none" w:pos="178"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while this Additional Investment Right is outstanding: (A) pays a stock dividend or otherwise make a distribution or distributions on shares of its Common Stock or any other equity or equity equivalent securities payable in shares of Common Stock (which, for avoidance of doubt, shall not include any shares of Common Stock issued by the Company pursuant to this Additional Investment Right), (B) subdivides outstanding shares of Common Stock into a larger number of shares, (C) combines (including by way of reverse stock split) outstanding shares of Common Stock into a smaller number of shares, or (D)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before such event and of which the denominator shall be the number of shares of Common Stock outstanding after such event and the number of shares issuable upon exercise of this Additional Investment Right shall be proportionately adjusted.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32" w:lineRule="exact"/>
        <w:rPr>
          <w:rFonts w:ascii="Arial" w:cs="Arial" w:eastAsia="Arial" w:hAnsi="Arial"/>
          <w:sz w:val="16"/>
          <w:szCs w:val="16"/>
          <w:color w:val="auto"/>
        </w:rPr>
      </w:pPr>
    </w:p>
    <w:p>
      <w:pPr>
        <w:ind w:left="200" w:hanging="197"/>
        <w:spacing w:after="0"/>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76" w:lineRule="exact"/>
        <w:rPr>
          <w:rFonts w:ascii="Arial" w:cs="Arial" w:eastAsia="Arial" w:hAnsi="Arial"/>
          <w:sz w:val="18"/>
          <w:szCs w:val="18"/>
          <w:color w:val="auto"/>
        </w:rPr>
      </w:pPr>
    </w:p>
    <w:p>
      <w:pPr>
        <w:ind w:left="-440" w:firstLine="443"/>
        <w:spacing w:after="0" w:line="288" w:lineRule="auto"/>
        <w:tabs>
          <w:tab w:leader="none" w:pos="178"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Pro Rata Distributions</w:t>
      </w:r>
      <w:r>
        <w:rPr>
          <w:rFonts w:ascii="Arial" w:cs="Arial" w:eastAsia="Arial" w:hAnsi="Arial"/>
          <w:sz w:val="16"/>
          <w:szCs w:val="16"/>
          <w:color w:val="auto"/>
        </w:rPr>
        <w:t>. If the Company, at any time prior to the Termination Date, shall distribute to all holders of Common Stock (and not to Holders of the Additional Investment Rights) evidences of its indebtedness or assets or rights or warrants to subscribe for or purchase any security other than the Common Stock, then in each such case the Exercise Price shall be adjusted by multiplying the Exercise Price in effect immediately prior to the record date fixed for determination of stockholders entitled to receive such distribution by a fraction of which the denominator shall be the VWAP determined as of the record date mentioned above, and of which the numerator shall be such VWAP on such record date less the then per share fair market value at such record date of the portion of such assets or evidence of indebtedness so distributed applicable to one outstanding share of the Common Stock as determined by the Board of Directors in good faith. In either case the adjustments shall be described in a statement provided to the Holders of the portion of assets or evidences of indebtedness so distributed or such subscription rights applicable to one share of Common Stock. Such adjustment shall be made whenever any such distribution is made and shall become effective immediately after the record date mentioned above.</w:t>
      </w:r>
    </w:p>
    <w:p>
      <w:pPr>
        <w:spacing w:after="0" w:line="25" w:lineRule="exact"/>
        <w:rPr>
          <w:rFonts w:ascii="Arial" w:cs="Arial" w:eastAsia="Arial" w:hAnsi="Arial"/>
          <w:sz w:val="16"/>
          <w:szCs w:val="16"/>
          <w:color w:val="auto"/>
        </w:rPr>
      </w:pPr>
    </w:p>
    <w:p>
      <w:pPr>
        <w:jc w:val="both"/>
        <w:ind w:left="-440" w:right="80" w:firstLine="443"/>
        <w:spacing w:after="0" w:line="298" w:lineRule="auto"/>
        <w:tabs>
          <w:tab w:leader="none" w:pos="188"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shall be deemed to have occurred upon (A) a merger, consolidation or reorganization approved by the Company’s stockholders, unless securities representing more than fifty percent (50%) of the total combined voting power of the voting securities of the successor corporation are immediately thereafter beneficially owned, directly or indirectly and in substantially the same proportion, by the persons who beneficially owned the Company’s outstanding voting securities immediately prior to such transaction, (B) any tender offer or exchange</w:t>
      </w:r>
    </w:p>
    <w:p>
      <w:pPr>
        <w:sectPr>
          <w:pgSz w:w="11900" w:h="16838" w:orient="portrait"/>
          <w:cols w:equalWidth="0" w:num="1">
            <w:col w:w="10520"/>
          </w:cols>
          <w:pgMar w:left="1140" w:top="280" w:right="239" w:bottom="1440" w:gutter="0" w:footer="0" w:header="0"/>
        </w:sectPr>
      </w:pPr>
    </w:p>
    <w:bookmarkStart w:id="12" w:name="page13"/>
    <w:bookmarkEnd w:id="12"/>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offer (whether by the Company or another Person) is completed pursuant to which holders of Common Stock are permitted to tender or exchange their shares for other securities, cash or property, or (C) the Company effecting any reclassification of the Common Stock or any compulsory share exchange pursuant to which the Common Stock is effectively converted into or exchanged for other securities (other than a reclassification into shares of capital stock of the Company which is governed by Section 3(a)(D) above), cash or property. In the event that this Additional Investment Right has not been exercised in full prior to the consummation of a Fundamental Transaction, the Additional Investment Right shall terminate; provided, however, that the Holder may deliver an election to exercise this Additional Investment Right, in whole or in part, immediately prior to but in any event contingent upon the consummation of the Fundamental Transaction.</w:t>
      </w:r>
    </w:p>
    <w:p>
      <w:pPr>
        <w:spacing w:after="0" w:line="24" w:lineRule="exact"/>
        <w:rPr>
          <w:sz w:val="20"/>
          <w:szCs w:val="20"/>
          <w:color w:val="auto"/>
        </w:rPr>
      </w:pPr>
    </w:p>
    <w:p>
      <w:pPr>
        <w:ind w:right="320" w:firstLine="443"/>
        <w:spacing w:after="0" w:line="268" w:lineRule="auto"/>
        <w:tabs>
          <w:tab w:leader="none" w:pos="618"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Exempt Issuance</w:t>
      </w:r>
      <w:r>
        <w:rPr>
          <w:rFonts w:ascii="Arial" w:cs="Arial" w:eastAsia="Arial" w:hAnsi="Arial"/>
          <w:sz w:val="18"/>
          <w:szCs w:val="18"/>
          <w:color w:val="auto"/>
        </w:rPr>
        <w:t>. Notwithstanding the foregoing, no adjustments, Alternate Consideration nor notices shall be made, paid or issued under this Section 3 in respect of an Exempt Issuance</w:t>
      </w:r>
    </w:p>
    <w:p>
      <w:pPr>
        <w:spacing w:after="0" w:line="37" w:lineRule="exact"/>
        <w:rPr>
          <w:rFonts w:ascii="Arial" w:cs="Arial" w:eastAsia="Arial" w:hAnsi="Arial"/>
          <w:sz w:val="18"/>
          <w:szCs w:val="18"/>
          <w:color w:val="auto"/>
        </w:rPr>
      </w:pPr>
    </w:p>
    <w:p>
      <w:pPr>
        <w:ind w:firstLine="443"/>
        <w:spacing w:after="0" w:line="255" w:lineRule="auto"/>
        <w:tabs>
          <w:tab w:leader="none" w:pos="599"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3 shall be made to the nearest cent or the nearest 1/100th of a share, as the case may be. The number of shares of Common Stock outstanding at any given time shall not include shares of Common Stock owned or held by or for the account of the Company, and the description of any such shares of Common Stock shall be considered on issue or sale of Common Stock. For purposes of this Section 3, the number of shares of Common Stock deemed to be issued and outstanding as of a given date shall be the sum of the number of shares of Common Stock (excluding treasury shares, if any) issued and outstanding.</w:t>
      </w:r>
    </w:p>
    <w:p>
      <w:pPr>
        <w:spacing w:after="0" w:line="48" w:lineRule="exact"/>
        <w:rPr>
          <w:rFonts w:ascii="Arial" w:cs="Arial" w:eastAsia="Arial" w:hAnsi="Arial"/>
          <w:sz w:val="18"/>
          <w:szCs w:val="18"/>
          <w:color w:val="auto"/>
        </w:rPr>
      </w:pPr>
    </w:p>
    <w:p>
      <w:pPr>
        <w:ind w:right="180" w:firstLine="443"/>
        <w:spacing w:after="0" w:line="332" w:lineRule="auto"/>
        <w:tabs>
          <w:tab w:leader="none" w:pos="628"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Voluntary Adjustment By Company</w:t>
      </w:r>
      <w:r>
        <w:rPr>
          <w:rFonts w:ascii="Arial" w:cs="Arial" w:eastAsia="Arial" w:hAnsi="Arial"/>
          <w:sz w:val="16"/>
          <w:szCs w:val="16"/>
          <w:color w:val="auto"/>
        </w:rPr>
        <w:t>. The Company may at any time during the term of this Additional Investment Right reduce the then current Exercise Price to any amount and for any period of time deemed appropriate by the Board of Directors of the Company.</w:t>
      </w:r>
    </w:p>
    <w:p>
      <w:pPr>
        <w:spacing w:after="0" w:line="71" w:lineRule="exact"/>
        <w:rPr>
          <w:rFonts w:ascii="Arial" w:cs="Arial" w:eastAsia="Arial" w:hAnsi="Arial"/>
          <w:sz w:val="16"/>
          <w:szCs w:val="16"/>
          <w:color w:val="auto"/>
        </w:rPr>
      </w:pPr>
    </w:p>
    <w:p>
      <w:pPr>
        <w:ind w:left="640" w:hanging="197"/>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Notice to Holders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right="120" w:firstLine="421"/>
        <w:spacing w:after="0" w:line="347" w:lineRule="auto"/>
        <w:tabs>
          <w:tab w:leader="none" w:pos="1016" w:val="left"/>
        </w:tabs>
        <w:numPr>
          <w:ilvl w:val="1"/>
          <w:numId w:val="11"/>
        </w:numPr>
        <w:rPr>
          <w:rFonts w:ascii="Arial" w:cs="Arial" w:eastAsia="Arial" w:hAnsi="Arial"/>
          <w:sz w:val="15"/>
          <w:szCs w:val="15"/>
          <w:color w:val="auto"/>
        </w:rPr>
      </w:pPr>
      <w:r>
        <w:rPr>
          <w:rFonts w:ascii="Arial" w:cs="Arial" w:eastAsia="Arial" w:hAnsi="Arial"/>
          <w:sz w:val="15"/>
          <w:szCs w:val="15"/>
          <w:u w:val="single" w:color="auto"/>
          <w:color w:val="auto"/>
        </w:rPr>
        <w:t>Adjustment to Exercise Price</w:t>
      </w:r>
      <w:r>
        <w:rPr>
          <w:rFonts w:ascii="Arial" w:cs="Arial" w:eastAsia="Arial" w:hAnsi="Arial"/>
          <w:sz w:val="15"/>
          <w:szCs w:val="15"/>
          <w:color w:val="auto"/>
        </w:rPr>
        <w:t>. Whenever the Exercise Price is adjusted pursuant to this Section 3, the Company shall promptly mail to each Holder a notice setting forth the Exercise Price after such adjustment and setting forth a brief statement of the facts requiring such adjustment.</w:t>
      </w:r>
    </w:p>
    <w:p>
      <w:pPr>
        <w:ind w:left="460" w:firstLine="421"/>
        <w:spacing w:after="0" w:line="255" w:lineRule="auto"/>
        <w:tabs>
          <w:tab w:leader="none" w:pos="1065"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Notice to Allow Exercise by Holder</w:t>
      </w:r>
      <w:r>
        <w:rPr>
          <w:rFonts w:ascii="Arial" w:cs="Arial" w:eastAsia="Arial" w:hAnsi="Arial"/>
          <w:sz w:val="18"/>
          <w:szCs w:val="18"/>
          <w:color w:val="auto"/>
        </w:rPr>
        <w:t>. If (A) the Company shall declare a dividend (or any other distribution)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Fundamental Transaction or any other reclassification of the Common Stock, consolidation or merger to which</w:t>
      </w:r>
    </w:p>
    <w:p>
      <w:pPr>
        <w:sectPr>
          <w:pgSz w:w="11900" w:h="16838" w:orient="portrait"/>
          <w:cols w:equalWidth="0" w:num="1">
            <w:col w:w="10920"/>
          </w:cols>
          <w:pgMar w:left="700" w:top="280" w:right="279" w:bottom="1440" w:gutter="0" w:footer="0" w:header="0"/>
        </w:sectPr>
      </w:pPr>
    </w:p>
    <w:bookmarkStart w:id="13" w:name="page14"/>
    <w:bookmarkEnd w:id="13"/>
    <w:p>
      <w:pPr>
        <w:ind w:left="17" w:right="60"/>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Company is a party, any sale or transfer of all or substantially all of the assets of the Company, or any compulsory share exchange whereby the Common Stock is converted into other securities, cash or property; (E) the Company shall authorize the voluntary or involuntary dissolution, liquidation or winding up of the affairs of the Company; then, in each case, the Company shall cause to be mailed to the Holder at its last address as it shall appear upon the Additional Investment Right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w:t>
      </w:r>
      <w:r>
        <w:rPr>
          <w:rFonts w:ascii="Arial" w:cs="Arial" w:eastAsia="Arial" w:hAnsi="Arial"/>
          <w:sz w:val="15"/>
          <w:szCs w:val="15"/>
          <w:u w:val="single" w:color="auto"/>
          <w:color w:val="auto"/>
        </w:rPr>
        <w:t>provided</w:t>
      </w:r>
      <w:r>
        <w:rPr>
          <w:rFonts w:ascii="Arial" w:cs="Arial" w:eastAsia="Arial" w:hAnsi="Arial"/>
          <w:sz w:val="15"/>
          <w:szCs w:val="15"/>
          <w:color w:val="auto"/>
        </w:rPr>
        <w:t>, that the failure to mail such notice or any defect therein or in the mailing thereof shall not affect the validity of the corporate action required to be specified in such notice. The Holder is entitled to exercise this Additional Investment Right during the 20-day period commencing the date of such notice to the effective date of the event triggering such notice</w:t>
      </w:r>
    </w:p>
    <w:p>
      <w:pPr>
        <w:spacing w:after="0" w:line="103" w:lineRule="exact"/>
        <w:rPr>
          <w:sz w:val="20"/>
          <w:szCs w:val="20"/>
          <w:color w:val="auto"/>
        </w:rPr>
      </w:pPr>
    </w:p>
    <w:p>
      <w:pPr>
        <w:ind w:left="17"/>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 of this Additional Investment Right</w:t>
      </w:r>
      <w:r>
        <w:rPr>
          <w:rFonts w:ascii="Arial" w:cs="Arial" w:eastAsia="Arial" w:hAnsi="Arial"/>
          <w:sz w:val="18"/>
          <w:szCs w:val="18"/>
          <w:color w:val="auto"/>
        </w:rPr>
        <w:t>.</w:t>
      </w:r>
    </w:p>
    <w:p>
      <w:pPr>
        <w:spacing w:after="0" w:line="77" w:lineRule="exact"/>
        <w:rPr>
          <w:sz w:val="20"/>
          <w:szCs w:val="20"/>
          <w:color w:val="auto"/>
        </w:rPr>
      </w:pPr>
    </w:p>
    <w:p>
      <w:pPr>
        <w:ind w:left="-443" w:firstLine="443"/>
        <w:spacing w:after="0" w:line="288" w:lineRule="auto"/>
        <w:tabs>
          <w:tab w:leader="none" w:pos="176"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Subject to compliance with any applicable securities laws and the conditions set forth in Sections 5(a) and 4(e) hereof and to the provisions of Section 4.1 of the Purchase Agreement, this Additional Investment Right and all rights hereunder are transferable, in whole or in part, upon surrender of this Additional Investment Right at the principal office of the Company, together with a written assignment of this Additional Investment Right substantially in the form attached hereto duly executed by the Holder or its agent or attorney and funds sufficient to pay any transfer taxes payable upon the making of such transfer. Upon such surrender and, if required, such payment, the Company shall execute and deliver a new Additional Investment Right or Additional Investment Rights in the name of the assignee or assignees and in the denomination or denominations specified in such instrument of assignment, and shall issue to the assignor a new Additional Investment Right evidencing the portion of this Additional Investment Right not so assigned, and this Additional Investment Right shall promptly be cancelled. An Additional Investment Right, if properly assigned, may be exercised by a new holder for the purchase of Additional Investment Right Shares without having a new Additional Investment Right issued.</w:t>
      </w:r>
    </w:p>
    <w:p>
      <w:pPr>
        <w:spacing w:after="0" w:line="25" w:lineRule="exact"/>
        <w:rPr>
          <w:rFonts w:ascii="Arial" w:cs="Arial" w:eastAsia="Arial" w:hAnsi="Arial"/>
          <w:sz w:val="16"/>
          <w:szCs w:val="16"/>
          <w:color w:val="auto"/>
        </w:rPr>
      </w:pPr>
    </w:p>
    <w:p>
      <w:pPr>
        <w:ind w:left="-443" w:right="80" w:firstLine="443"/>
        <w:spacing w:after="0" w:line="268" w:lineRule="auto"/>
        <w:tabs>
          <w:tab w:leader="none" w:pos="186"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New Additional Investment Rights</w:t>
      </w:r>
      <w:r>
        <w:rPr>
          <w:rFonts w:ascii="Arial" w:cs="Arial" w:eastAsia="Arial" w:hAnsi="Arial"/>
          <w:sz w:val="18"/>
          <w:szCs w:val="18"/>
          <w:color w:val="auto"/>
        </w:rPr>
        <w:t>. This Additional Investment Right may be divided or combined with other Additional Investment Rights upon presentation hereof at the aforesaid office of the Company, together with a written notice specifying</w:t>
      </w:r>
    </w:p>
    <w:p>
      <w:pPr>
        <w:sectPr>
          <w:pgSz w:w="11900" w:h="16838" w:orient="portrait"/>
          <w:cols w:equalWidth="0" w:num="1">
            <w:col w:w="10497"/>
          </w:cols>
          <w:pgMar w:left="1143" w:top="280" w:right="259" w:bottom="1440" w:gutter="0" w:footer="0" w:header="0"/>
        </w:sectPr>
      </w:pPr>
    </w:p>
    <w:bookmarkStart w:id="14" w:name="page15"/>
    <w:bookmarkEnd w:id="14"/>
    <w:p>
      <w:pPr>
        <w:ind w:right="3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names and denominations in which new Additional Investment Rights are to be issued, signed by the Holder or its agent or attorney. Subject to compliance with Section 4(a), as to any transfer which may be involved in such division or combination, the Company shall execute and deliver a new Additional Investment Right or Additional Investment Rights in exchange for the Additional Investment Right or Additional Investment Rights to be divided or combined in accordance with such notice.</w:t>
      </w:r>
    </w:p>
    <w:p>
      <w:pPr>
        <w:spacing w:after="0" w:line="49" w:lineRule="exact"/>
        <w:rPr>
          <w:sz w:val="20"/>
          <w:szCs w:val="20"/>
          <w:color w:val="auto"/>
        </w:rPr>
      </w:pPr>
    </w:p>
    <w:p>
      <w:pPr>
        <w:ind w:right="300" w:firstLine="443"/>
        <w:spacing w:after="0" w:line="298" w:lineRule="auto"/>
        <w:tabs>
          <w:tab w:leader="none" w:pos="618"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Additional Investment Right Register</w:t>
      </w:r>
      <w:r>
        <w:rPr>
          <w:rFonts w:ascii="Arial" w:cs="Arial" w:eastAsia="Arial" w:hAnsi="Arial"/>
          <w:sz w:val="16"/>
          <w:szCs w:val="16"/>
          <w:color w:val="auto"/>
        </w:rPr>
        <w:t>. The Company shall register this Additional Investment Right, upon records to be maintained by the Company for that purpose (the “</w:t>
      </w:r>
      <w:r>
        <w:rPr>
          <w:rFonts w:ascii="Arial" w:cs="Arial" w:eastAsia="Arial" w:hAnsi="Arial"/>
          <w:sz w:val="16"/>
          <w:szCs w:val="16"/>
          <w:u w:val="single" w:color="auto"/>
          <w:color w:val="auto"/>
        </w:rPr>
        <w:t>Additional Investment Right Register</w:t>
      </w:r>
      <w:r>
        <w:rPr>
          <w:rFonts w:ascii="Arial" w:cs="Arial" w:eastAsia="Arial" w:hAnsi="Arial"/>
          <w:sz w:val="16"/>
          <w:szCs w:val="16"/>
          <w:color w:val="auto"/>
        </w:rPr>
        <w:t>”), in the name of the record Holder hereof from time to time. The Company may deem and treat the registered Holder of this Additional Investment Right as the absolute owner hereof for the purpose of any exercise hereof or any distribution to the Holder, and for all other purposes, absent actual notice to the contrary.</w:t>
      </w:r>
    </w:p>
    <w:p>
      <w:pPr>
        <w:spacing w:after="0" w:line="18" w:lineRule="exact"/>
        <w:rPr>
          <w:rFonts w:ascii="Arial" w:cs="Arial" w:eastAsia="Arial" w:hAnsi="Arial"/>
          <w:sz w:val="16"/>
          <w:szCs w:val="16"/>
          <w:color w:val="auto"/>
        </w:rPr>
      </w:pPr>
    </w:p>
    <w:p>
      <w:pPr>
        <w:ind w:right="20" w:firstLine="443"/>
        <w:spacing w:after="0" w:line="289" w:lineRule="auto"/>
        <w:tabs>
          <w:tab w:leader="none" w:pos="628"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Transfer Restrictions</w:t>
      </w:r>
      <w:r>
        <w:rPr>
          <w:rFonts w:ascii="Arial" w:cs="Arial" w:eastAsia="Arial" w:hAnsi="Arial"/>
          <w:sz w:val="16"/>
          <w:szCs w:val="16"/>
          <w:color w:val="auto"/>
        </w:rPr>
        <w:t>. If, at the time of the surrender of this Additional Investment Right in connection with any transfer of this Additional Investment Right, the transfer of this Additional Investment Right shall not be registered pursuant to an effective registration statement under the Securities Act and under applicable state securities or blue sky laws, the Company may require, as a condition of allowing such transfer (i) that the Holder or transferee of this Additional Investment Right, as the case may be, furnish to the Company a written opinion of counsel (which opinion shall be in form, substance and scope customary for opinions of counsel in comparable transactions) to the effect that such transfer may be made without registration under the Securities Act and under applicable state securities or blue sky laws, (ii) that the holder or transferee execute and deliver to the Company an investment letter in form and substance acceptable to the Company and (iii) that the transferee be an “accredited investor” as defined in Rule 501(a)(1), (a)(2), (a)(3), (a)(7), or (a)(8) promulgated under the Securities Act or a qualified institutional buyer as defined in Rule 144A(a) under the Securities Act.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77" w:lineRule="exact"/>
        <w:rPr>
          <w:sz w:val="20"/>
          <w:szCs w:val="20"/>
          <w:color w:val="auto"/>
        </w:rPr>
      </w:pPr>
    </w:p>
    <w:p>
      <w:pPr>
        <w:ind w:right="160" w:firstLine="443"/>
        <w:spacing w:after="0" w:line="298" w:lineRule="auto"/>
        <w:tabs>
          <w:tab w:leader="none" w:pos="618"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Title to the Additional Investment Right</w:t>
      </w:r>
      <w:r>
        <w:rPr>
          <w:rFonts w:ascii="Arial" w:cs="Arial" w:eastAsia="Arial" w:hAnsi="Arial"/>
          <w:sz w:val="16"/>
          <w:szCs w:val="16"/>
          <w:color w:val="auto"/>
        </w:rPr>
        <w:t>. Prior to the Termination Date and subject to compliance with applicable laws and Section 4 of this Additional Investment Right, this Additional Investment Right and all rights hereunder are transferable, in whole or in part, at the office or agency of the Company by the Holder in person or by duly authorized attorney, upon surrender of this Additional Investment Right together with the Assignment Form annexed hereto properly endorsed. The transferee shall sign an investment letter in form and substance reasonably satisfactory to the Company.</w:t>
      </w:r>
    </w:p>
    <w:p>
      <w:pPr>
        <w:spacing w:after="0" w:line="18" w:lineRule="exact"/>
        <w:rPr>
          <w:rFonts w:ascii="Arial" w:cs="Arial" w:eastAsia="Arial" w:hAnsi="Arial"/>
          <w:sz w:val="16"/>
          <w:szCs w:val="16"/>
          <w:color w:val="auto"/>
        </w:rPr>
      </w:pPr>
    </w:p>
    <w:p>
      <w:pPr>
        <w:ind w:firstLine="443"/>
        <w:spacing w:after="0" w:line="298" w:lineRule="auto"/>
        <w:tabs>
          <w:tab w:leader="none" w:pos="628"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No Rights as Shareholder Until Exercise</w:t>
      </w:r>
      <w:r>
        <w:rPr>
          <w:rFonts w:ascii="Arial" w:cs="Arial" w:eastAsia="Arial" w:hAnsi="Arial"/>
          <w:sz w:val="16"/>
          <w:szCs w:val="16"/>
          <w:color w:val="auto"/>
        </w:rPr>
        <w:t>. This Additional Investment Right does not entitle the Holder to any voting rights or other rights as a shareholder of the Company prior to the exercise hereof. Upon the surrender of this Additional Investment Right and the payment of the aggregate Exercise Price (or by means of a cashless exercise), the Additional Investment Right Shares so purchased shall be and be deemed to be issued to such Holder as the record owner of such shares as of the close of business on the later of the date of such surrender or payment.</w:t>
      </w:r>
    </w:p>
    <w:p>
      <w:pPr>
        <w:sectPr>
          <w:pgSz w:w="11900" w:h="16838" w:orient="portrait"/>
          <w:cols w:equalWidth="0" w:num="1">
            <w:col w:w="10940"/>
          </w:cols>
          <w:pgMar w:left="700" w:top="280" w:right="259" w:bottom="1440" w:gutter="0" w:footer="0" w:header="0"/>
        </w:sectPr>
      </w:pPr>
    </w:p>
    <w:bookmarkStart w:id="15" w:name="page16"/>
    <w:bookmarkEnd w:id="15"/>
    <w:p>
      <w:pPr>
        <w:ind w:left="-443" w:firstLine="443"/>
        <w:spacing w:after="0" w:line="291" w:lineRule="auto"/>
        <w:tabs>
          <w:tab w:leader="none" w:pos="176"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Loss, Theft, Destruction or Mutilation of Additional Investment Right</w:t>
      </w:r>
      <w:r>
        <w:rPr>
          <w:rFonts w:ascii="Arial" w:cs="Arial" w:eastAsia="Arial" w:hAnsi="Arial"/>
          <w:sz w:val="16"/>
          <w:szCs w:val="16"/>
          <w:color w:val="auto"/>
        </w:rPr>
        <w:t>. The Company covenants that upon receipt by the Company of evidence reasonably satisfactory to it of the loss, theft, destruction or mutilation of this Additional Investment Right or any stock certificate relating to the Additional Investment Right Shares, and in case of loss, theft or destruction, of indemnity or security reasonably satisfactory to it (which, in the case of the Additional Investment Right, shall not include the posting of any bond), and upon surrender and cancellation of such Additional Investment Right or stock certificate, if mutilated, the Company will make and deliver a new Additional Investment Right or stock certificate of like tenor and dated as of such cancellation, in lieu of such Additional Investment Right or stock certificate.</w:t>
      </w:r>
    </w:p>
    <w:p>
      <w:pPr>
        <w:spacing w:after="0" w:line="25" w:lineRule="exact"/>
        <w:rPr>
          <w:rFonts w:ascii="Arial" w:cs="Arial" w:eastAsia="Arial" w:hAnsi="Arial"/>
          <w:sz w:val="16"/>
          <w:szCs w:val="16"/>
          <w:color w:val="auto"/>
        </w:rPr>
      </w:pPr>
    </w:p>
    <w:p>
      <w:pPr>
        <w:ind w:left="-443" w:right="60" w:firstLine="443"/>
        <w:spacing w:after="0" w:line="259" w:lineRule="auto"/>
        <w:tabs>
          <w:tab w:leader="none" w:pos="186"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Saturdays, Sundays, Holidays, etc</w:t>
      </w:r>
      <w:r>
        <w:rPr>
          <w:rFonts w:ascii="Arial" w:cs="Arial" w:eastAsia="Arial" w:hAnsi="Arial"/>
          <w:sz w:val="18"/>
          <w:szCs w:val="18"/>
          <w:color w:val="auto"/>
        </w:rPr>
        <w:t>. If the last or appointed day for the taking of any action or the expiration of any right required or granted herein shall be a Saturday, Sunday or a legal holiday, then such action may be taken or such right may be exercised on the next succeeding day not a Saturday, Sunday or legal holiday.</w:t>
      </w:r>
    </w:p>
    <w:p>
      <w:pPr>
        <w:spacing w:after="0" w:line="126" w:lineRule="exact"/>
        <w:rPr>
          <w:rFonts w:ascii="Arial" w:cs="Arial" w:eastAsia="Arial" w:hAnsi="Arial"/>
          <w:sz w:val="18"/>
          <w:szCs w:val="18"/>
          <w:color w:val="auto"/>
        </w:rPr>
      </w:pPr>
    </w:p>
    <w:p>
      <w:pPr>
        <w:ind w:left="177" w:hanging="177"/>
        <w:spacing w:after="0"/>
        <w:tabs>
          <w:tab w:leader="none" w:pos="177"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77" w:lineRule="exact"/>
        <w:rPr>
          <w:sz w:val="20"/>
          <w:szCs w:val="20"/>
          <w:color w:val="auto"/>
        </w:rPr>
      </w:pPr>
    </w:p>
    <w:p>
      <w:pPr>
        <w:ind w:left="17" w:right="20" w:firstLine="420"/>
        <w:spacing w:after="0" w:line="290" w:lineRule="auto"/>
        <w:rPr>
          <w:sz w:val="20"/>
          <w:szCs w:val="20"/>
          <w:color w:val="auto"/>
        </w:rPr>
      </w:pPr>
      <w:r>
        <w:rPr>
          <w:rFonts w:ascii="Arial" w:cs="Arial" w:eastAsia="Arial" w:hAnsi="Arial"/>
          <w:sz w:val="16"/>
          <w:szCs w:val="16"/>
          <w:color w:val="auto"/>
        </w:rPr>
        <w:t>The Company covenants that during the period the Additional Investment Right is outstanding, it will reserve from its authorized and unissued Common Stock a sufficient number of shares to provide for the issuance of the Additional Investment Right Shares upon the exercise of any purchase rights under this Additional Investment Right. The Company further covenants that its issuance of this Additional Investment Right shall constitute full authority to its officers who are charged with the duty of executing stock certificates to execute and issue the necessary certificates for the Additional Investment Right Shares upon the exercise of the purchase rights under this Additional Investment Right. The Company will take all such reasonable action as may be necessary to assure that such Additional Investment Right Shares may be issued as provided herein without violation of any applicable law or regulation, or of any requirements of the Trading Market upon which the Common Stock may be listed.</w:t>
      </w:r>
    </w:p>
    <w:p>
      <w:pPr>
        <w:spacing w:after="0" w:line="24" w:lineRule="exact"/>
        <w:rPr>
          <w:sz w:val="20"/>
          <w:szCs w:val="20"/>
          <w:color w:val="auto"/>
        </w:rPr>
      </w:pPr>
    </w:p>
    <w:p>
      <w:pPr>
        <w:ind w:left="17" w:right="80" w:firstLine="420"/>
        <w:spacing w:after="0" w:line="253" w:lineRule="auto"/>
        <w:rPr>
          <w:sz w:val="20"/>
          <w:szCs w:val="20"/>
          <w:color w:val="auto"/>
        </w:rPr>
      </w:pPr>
      <w:r>
        <w:rPr>
          <w:rFonts w:ascii="Arial" w:cs="Arial" w:eastAsia="Arial" w:hAnsi="Arial"/>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Additional Investment Right, but will at all times in good faith assist in the carrying out of all such terms and in the taking of all such actions as may be necessary or appropriate to protect the rights of Holder as set forth in this Additional Investment Right against impairment. Without limiting the generality of the foregoing, the Company will (a) not increase the par value of any Additional Investment Right Shares above the amount payable therefor upon such exercise immediately prior to such increase in par value, (b) take all such action as may be necessary or appropriate in order that the Company may validly and</w:t>
      </w:r>
    </w:p>
    <w:p>
      <w:pPr>
        <w:sectPr>
          <w:pgSz w:w="11900" w:h="16838" w:orient="portrait"/>
          <w:cols w:equalWidth="0" w:num="1">
            <w:col w:w="10497"/>
          </w:cols>
          <w:pgMar w:left="1143" w:top="280" w:right="259" w:bottom="1440" w:gutter="0" w:footer="0" w:header="0"/>
        </w:sectPr>
      </w:pPr>
    </w:p>
    <w:bookmarkStart w:id="16" w:name="page17"/>
    <w:bookmarkEnd w:id="16"/>
    <w:p>
      <w:pPr>
        <w:ind w:left="17" w:right="2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legally issue fully paid and nonassessable Additional Investment Right Shares upon the exercise of this Additional Investment Right, and (c) use commercially reasonable efforts to obtain all such authorizations, exemptions or consents from any public regulatory body having jurisdiction thereof as may be necessary to enable the Company to perform its obligations under this Additional Investment Right.</w:t>
      </w:r>
    </w:p>
    <w:p>
      <w:pPr>
        <w:spacing w:after="0" w:line="12" w:lineRule="exact"/>
        <w:rPr>
          <w:sz w:val="20"/>
          <w:szCs w:val="20"/>
          <w:color w:val="auto"/>
        </w:rPr>
      </w:pPr>
    </w:p>
    <w:p>
      <w:pPr>
        <w:ind w:left="17" w:firstLine="420"/>
        <w:spacing w:after="0" w:line="306" w:lineRule="auto"/>
        <w:rPr>
          <w:sz w:val="20"/>
          <w:szCs w:val="20"/>
          <w:color w:val="auto"/>
        </w:rPr>
      </w:pPr>
      <w:r>
        <w:rPr>
          <w:rFonts w:ascii="Arial" w:cs="Arial" w:eastAsia="Arial" w:hAnsi="Arial"/>
          <w:sz w:val="16"/>
          <w:szCs w:val="16"/>
          <w:color w:val="auto"/>
        </w:rPr>
        <w:t>Before taking any action which would result in an adjustment in the number of Additional Investment Right Shares for which this Additional Investment Right is exercisable or in the Exercise Price, the Company shall obtain all such authorizations or exemptions thereof, or consents thereto, as may be necessary from any public regulatory body or bodies having jurisdiction thereof.</w:t>
      </w:r>
    </w:p>
    <w:p>
      <w:pPr>
        <w:spacing w:after="0" w:line="12" w:lineRule="exact"/>
        <w:rPr>
          <w:sz w:val="20"/>
          <w:szCs w:val="20"/>
          <w:color w:val="auto"/>
        </w:rPr>
      </w:pPr>
    </w:p>
    <w:p>
      <w:pPr>
        <w:ind w:left="-443" w:right="480" w:firstLine="443"/>
        <w:spacing w:after="0" w:line="268" w:lineRule="auto"/>
        <w:tabs>
          <w:tab w:leader="none" w:pos="156"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All questions concerning the construction, validity, enforcement and interpretation of this Additional Investment Right shall be determined in accordance with the provisions of the Purchase Agreement.</w:t>
      </w:r>
    </w:p>
    <w:p>
      <w:pPr>
        <w:spacing w:after="0" w:line="37" w:lineRule="exact"/>
        <w:rPr>
          <w:rFonts w:ascii="Arial" w:cs="Arial" w:eastAsia="Arial" w:hAnsi="Arial"/>
          <w:sz w:val="18"/>
          <w:szCs w:val="18"/>
          <w:color w:val="auto"/>
        </w:rPr>
      </w:pPr>
    </w:p>
    <w:p>
      <w:pPr>
        <w:ind w:left="-443" w:right="340" w:firstLine="443"/>
        <w:spacing w:after="0" w:line="325" w:lineRule="auto"/>
        <w:tabs>
          <w:tab w:leader="none" w:pos="186"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The Holder acknowledges that the Additional Investment Right Shares acquired upon the exercise of this Additional Investment Right will have restrictions and/or conditions upon resale imposed by state and federal securities laws and the Registration Rights Agreement.</w:t>
      </w:r>
    </w:p>
    <w:p>
      <w:pPr>
        <w:spacing w:after="0" w:line="1" w:lineRule="exact"/>
        <w:rPr>
          <w:rFonts w:ascii="Arial" w:cs="Arial" w:eastAsia="Arial" w:hAnsi="Arial"/>
          <w:sz w:val="16"/>
          <w:szCs w:val="16"/>
          <w:color w:val="auto"/>
        </w:rPr>
      </w:pPr>
    </w:p>
    <w:p>
      <w:pPr>
        <w:ind w:left="-443" w:right="240" w:firstLine="443"/>
        <w:spacing w:after="0" w:line="291" w:lineRule="auto"/>
        <w:tabs>
          <w:tab w:leader="none" w:pos="186"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Nonwaiver and Expenses</w:t>
      </w:r>
      <w:r>
        <w:rPr>
          <w:rFonts w:ascii="Arial" w:cs="Arial" w:eastAsia="Arial" w:hAnsi="Arial"/>
          <w:sz w:val="16"/>
          <w:szCs w:val="16"/>
          <w:color w:val="auto"/>
        </w:rPr>
        <w:t>. No course of dealing or any delay or failure to exercise any right hereunder on the part of Holder shall operate as a waiver of such right or otherwise prejudice Holder’s rights, powers or remedies, notwithstanding the fact that all rights hereunder terminate on the Termination Date. If the Company willfully and knowingly fails to comply with any provision of this Additional Investment Right, which results in any material damages to the Holder, the Company shall pay to Holder such amounts as shall be sufficient to cover any costs and expenses including, but not limited to, reasonable attorneys’ fees, including those of appellate proceedings, incurred by Holder in collecting any amounts due pursuant hereto or in otherwise enforcing any of its rights, powers or remedies hereunder.</w:t>
      </w:r>
    </w:p>
    <w:p>
      <w:pPr>
        <w:spacing w:after="0" w:line="25" w:lineRule="exact"/>
        <w:rPr>
          <w:rFonts w:ascii="Arial" w:cs="Arial" w:eastAsia="Arial" w:hAnsi="Arial"/>
          <w:sz w:val="16"/>
          <w:szCs w:val="16"/>
          <w:color w:val="auto"/>
        </w:rPr>
      </w:pPr>
    </w:p>
    <w:p>
      <w:pPr>
        <w:ind w:left="-443" w:right="100" w:firstLine="443"/>
        <w:spacing w:after="0" w:line="268" w:lineRule="auto"/>
        <w:tabs>
          <w:tab w:leader="none" w:pos="147"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37" w:lineRule="exact"/>
        <w:rPr>
          <w:rFonts w:ascii="Arial" w:cs="Arial" w:eastAsia="Arial" w:hAnsi="Arial"/>
          <w:sz w:val="18"/>
          <w:szCs w:val="18"/>
          <w:color w:val="auto"/>
        </w:rPr>
      </w:pPr>
    </w:p>
    <w:p>
      <w:pPr>
        <w:ind w:left="-443" w:right="100" w:firstLine="443"/>
        <w:spacing w:after="0" w:line="256" w:lineRule="auto"/>
        <w:tabs>
          <w:tab w:leader="none" w:pos="147"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 provision hereof, in the absence of any affirmative action by Holder to exercise this Additional Investment Right or purchase Additional Investment Right Shares, and no enumeration herein of the rights or privileges of Holder, shall give rise to any liability of Holder for the purchase price of any Common Stock or as a stockholder of the Company, whether such liability is asserted by the Company or by creditors of the Company.</w:t>
      </w:r>
    </w:p>
    <w:p>
      <w:pPr>
        <w:spacing w:after="0" w:line="48" w:lineRule="exact"/>
        <w:rPr>
          <w:rFonts w:ascii="Arial" w:cs="Arial" w:eastAsia="Arial" w:hAnsi="Arial"/>
          <w:sz w:val="18"/>
          <w:szCs w:val="18"/>
          <w:color w:val="auto"/>
        </w:rPr>
      </w:pPr>
    </w:p>
    <w:p>
      <w:pPr>
        <w:jc w:val="both"/>
        <w:ind w:left="-443" w:right="40" w:firstLine="443"/>
        <w:spacing w:after="0" w:line="256" w:lineRule="auto"/>
        <w:tabs>
          <w:tab w:leader="none" w:pos="186"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Holder, in addition to being entitled to exercise all rights granted by law, including recovery of damages, will be entitled to specific performance of its rights under this Additional Investment Right. The Company agrees that monetary damages would not be adequate compensation for any loss incurred by reason of a breach by it of the provisions of this Additional Investment Right and hereby agrees to waive the defense in any action for specific performance that a remedy at law would be adequate.</w:t>
      </w:r>
    </w:p>
    <w:p>
      <w:pPr>
        <w:sectPr>
          <w:pgSz w:w="11900" w:h="16838" w:orient="portrait"/>
          <w:cols w:equalWidth="0" w:num="1">
            <w:col w:w="10457"/>
          </w:cols>
          <w:pgMar w:left="1143" w:top="280" w:right="299" w:bottom="1440" w:gutter="0" w:footer="0" w:header="0"/>
        </w:sectPr>
      </w:pPr>
    </w:p>
    <w:bookmarkStart w:id="17" w:name="page18"/>
    <w:bookmarkEnd w:id="17"/>
    <w:p>
      <w:pPr>
        <w:ind w:firstLine="443"/>
        <w:spacing w:after="0" w:line="256" w:lineRule="auto"/>
        <w:tabs>
          <w:tab w:leader="none" w:pos="589"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Successors and Assigns</w:t>
      </w:r>
      <w:r>
        <w:rPr>
          <w:rFonts w:ascii="Arial" w:cs="Arial" w:eastAsia="Arial" w:hAnsi="Arial"/>
          <w:sz w:val="18"/>
          <w:szCs w:val="18"/>
          <w:color w:val="auto"/>
        </w:rPr>
        <w:t>. Subject to applicable securities laws, this Additional Investment Right and the rights and obligations evidenced hereby shall inure to the benefit of and be binding upon the successors of the Company and the successors and permitted assigns of Holder. The provisions of this Additional Investment Right are intended to be for the benefit of all Holders from time to time of this Additional Investment Right and shall be enforceable by any such Holder or holder of Additional Investment Right Shares.</w:t>
      </w:r>
    </w:p>
    <w:p>
      <w:pPr>
        <w:spacing w:after="0" w:line="48" w:lineRule="exact"/>
        <w:rPr>
          <w:rFonts w:ascii="Arial" w:cs="Arial" w:eastAsia="Arial" w:hAnsi="Arial"/>
          <w:sz w:val="18"/>
          <w:szCs w:val="18"/>
          <w:color w:val="auto"/>
        </w:rPr>
      </w:pPr>
    </w:p>
    <w:p>
      <w:pPr>
        <w:ind w:right="360" w:firstLine="443"/>
        <w:spacing w:after="0" w:line="268" w:lineRule="auto"/>
        <w:tabs>
          <w:tab w:leader="none" w:pos="677"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Additional Investment Right may be modified or amended or the provisions hereof waived with the written consent of the Company and the Holder.</w:t>
      </w:r>
    </w:p>
    <w:p>
      <w:pPr>
        <w:spacing w:after="0" w:line="37" w:lineRule="exact"/>
        <w:rPr>
          <w:rFonts w:ascii="Arial" w:cs="Arial" w:eastAsia="Arial" w:hAnsi="Arial"/>
          <w:sz w:val="18"/>
          <w:szCs w:val="18"/>
          <w:color w:val="auto"/>
        </w:rPr>
      </w:pPr>
    </w:p>
    <w:p>
      <w:pPr>
        <w:ind w:right="80" w:firstLine="443"/>
        <w:spacing w:after="0" w:line="256" w:lineRule="auto"/>
        <w:tabs>
          <w:tab w:leader="none" w:pos="62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Wherever possible, each provision of this Additional Investment Right shall be interpreted in such manner as to be effective and valid under applicable law, but if any provision of this Additional Investment Right shall be prohibited by or invalid under applicable law, such provision shall be ineffective to the extent of such prohibition or invalidity, without invalidating the remainder of such provisions or the remaining provisions of this Additional Investment Right.</w:t>
      </w:r>
    </w:p>
    <w:p>
      <w:pPr>
        <w:spacing w:after="0" w:line="48" w:lineRule="exact"/>
        <w:rPr>
          <w:rFonts w:ascii="Arial" w:cs="Arial" w:eastAsia="Arial" w:hAnsi="Arial"/>
          <w:sz w:val="18"/>
          <w:szCs w:val="18"/>
          <w:color w:val="auto"/>
        </w:rPr>
      </w:pPr>
    </w:p>
    <w:p>
      <w:pPr>
        <w:ind w:right="380" w:firstLine="443"/>
        <w:spacing w:after="0" w:line="268" w:lineRule="auto"/>
        <w:tabs>
          <w:tab w:leader="none" w:pos="62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this Additional Investment Right are for the convenience of reference only and shall not, for any purpose, be deemed a part of this Additional Investment Right.</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920"/>
          </w:cols>
          <w:pgMar w:left="700" w:top="280" w:right="279" w:bottom="1440" w:gutter="0" w:footer="0" w:header="0"/>
        </w:sectPr>
      </w:pPr>
    </w:p>
    <w:bookmarkStart w:id="18" w:name="page19"/>
    <w:bookmarkEnd w:id="18"/>
    <w:p>
      <w:pPr>
        <w:ind w:right="920" w:firstLine="456"/>
        <w:spacing w:after="0" w:line="41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Company has caused this Additional Investment Right to be executed by its officer thereunto duly authorized. Dated: February 4, 2005</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Joseph F. Pinkerton, III, Chairman of the Board, President</w:t>
      </w:r>
    </w:p>
    <w:p>
      <w:pPr>
        <w:spacing w:after="0" w:line="5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320"/>
          </w:cols>
          <w:pgMar w:left="240" w:top="280"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8"/>
        </w:trPr>
        <w:tc>
          <w:tcPr>
            <w:tcW w:w="4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340" w:type="dxa"/>
            <w:vAlign w:val="bottom"/>
          </w:tcPr>
          <w:p>
            <w:pPr>
              <w:ind w:left="40"/>
              <w:spacing w:after="0"/>
              <w:rPr>
                <w:sz w:val="20"/>
                <w:szCs w:val="20"/>
                <w:color w:val="auto"/>
              </w:rPr>
            </w:pPr>
            <w:r>
              <w:rPr>
                <w:rFonts w:ascii="Arial" w:cs="Arial" w:eastAsia="Arial" w:hAnsi="Arial"/>
                <w:sz w:val="18"/>
                <w:szCs w:val="18"/>
                <w:b w:val="1"/>
                <w:bCs w:val="1"/>
                <w:color w:val="auto"/>
              </w:rPr>
              <w:t>NOTICE OF EXERCISE</w:t>
            </w:r>
          </w:p>
        </w:tc>
      </w:tr>
      <w:tr>
        <w:trPr>
          <w:trHeight w:val="365"/>
        </w:trPr>
        <w:tc>
          <w:tcPr>
            <w:tcW w:w="4200" w:type="dxa"/>
            <w:vAlign w:val="bottom"/>
          </w:tcPr>
          <w:p>
            <w:pPr>
              <w:spacing w:after="0"/>
              <w:rPr>
                <w:sz w:val="20"/>
                <w:szCs w:val="20"/>
                <w:color w:val="auto"/>
              </w:rPr>
            </w:pPr>
            <w:r>
              <w:rPr>
                <w:rFonts w:ascii="Arial" w:cs="Arial" w:eastAsia="Arial" w:hAnsi="Arial"/>
                <w:sz w:val="18"/>
                <w:szCs w:val="18"/>
                <w:color w:val="auto"/>
              </w:rPr>
              <w:t>TO:  ACTIVE POWER, INC.</w:t>
            </w:r>
          </w:p>
        </w:tc>
        <w:tc>
          <w:tcPr>
            <w:tcW w:w="520" w:type="dxa"/>
            <w:vAlign w:val="bottom"/>
          </w:tcPr>
          <w:p>
            <w:pPr>
              <w:spacing w:after="0"/>
              <w:rPr>
                <w:sz w:val="24"/>
                <w:szCs w:val="24"/>
                <w:color w:val="auto"/>
              </w:rPr>
            </w:pPr>
          </w:p>
        </w:tc>
        <w:tc>
          <w:tcPr>
            <w:tcW w:w="6340" w:type="dxa"/>
            <w:vAlign w:val="bottom"/>
          </w:tcPr>
          <w:p>
            <w:pPr>
              <w:spacing w:after="0"/>
              <w:rPr>
                <w:sz w:val="24"/>
                <w:szCs w:val="24"/>
                <w:color w:val="auto"/>
              </w:rPr>
            </w:pPr>
          </w:p>
        </w:tc>
      </w:tr>
      <w:tr>
        <w:trPr>
          <w:trHeight w:val="245"/>
        </w:trPr>
        <w:tc>
          <w:tcPr>
            <w:tcW w:w="4200" w:type="dxa"/>
            <w:vAlign w:val="bottom"/>
          </w:tcPr>
          <w:p>
            <w:pPr>
              <w:ind w:left="920"/>
              <w:spacing w:after="0"/>
              <w:rPr>
                <w:sz w:val="20"/>
                <w:szCs w:val="20"/>
                <w:color w:val="auto"/>
              </w:rPr>
            </w:pPr>
            <w:r>
              <w:rPr>
                <w:rFonts w:ascii="Arial" w:cs="Arial" w:eastAsia="Arial" w:hAnsi="Arial"/>
                <w:sz w:val="18"/>
                <w:szCs w:val="18"/>
                <w:color w:val="auto"/>
                <w:w w:val="87"/>
              </w:rPr>
              <w:t>(1) The undersigned hereby elects to purchase</w:t>
            </w:r>
          </w:p>
        </w:tc>
        <w:tc>
          <w:tcPr>
            <w:tcW w:w="520" w:type="dxa"/>
            <w:vAlign w:val="bottom"/>
            <w:tcBorders>
              <w:bottom w:val="single" w:sz="8" w:color="auto"/>
            </w:tcBorders>
          </w:tcPr>
          <w:p>
            <w:pPr>
              <w:spacing w:after="0"/>
              <w:rPr>
                <w:sz w:val="21"/>
                <w:szCs w:val="21"/>
                <w:color w:val="auto"/>
              </w:rPr>
            </w:pPr>
          </w:p>
        </w:tc>
        <w:tc>
          <w:tcPr>
            <w:tcW w:w="6340" w:type="dxa"/>
            <w:vAlign w:val="bottom"/>
          </w:tcPr>
          <w:p>
            <w:pPr>
              <w:ind w:left="60"/>
              <w:spacing w:after="0"/>
              <w:rPr>
                <w:sz w:val="20"/>
                <w:szCs w:val="20"/>
                <w:color w:val="auto"/>
              </w:rPr>
            </w:pPr>
            <w:r>
              <w:rPr>
                <w:rFonts w:ascii="Arial" w:cs="Arial" w:eastAsia="Arial" w:hAnsi="Arial"/>
                <w:sz w:val="18"/>
                <w:szCs w:val="18"/>
                <w:color w:val="auto"/>
                <w:w w:val="87"/>
              </w:rPr>
              <w:t>Additional Investment Right Shares of the Company pursuant to the terms of the attached</w:t>
            </w: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260"/>
        <w:spacing w:after="0" w:line="268" w:lineRule="auto"/>
        <w:rPr>
          <w:sz w:val="20"/>
          <w:szCs w:val="20"/>
          <w:color w:val="auto"/>
        </w:rPr>
      </w:pPr>
      <w:r>
        <w:rPr>
          <w:rFonts w:ascii="Arial" w:cs="Arial" w:eastAsia="Arial" w:hAnsi="Arial"/>
          <w:sz w:val="18"/>
          <w:szCs w:val="18"/>
          <w:color w:val="auto"/>
        </w:rPr>
        <w:t>Additional Investment Right (only if exercised in full), and tenders herewith payment of the exercise price in full, together with all applicable transfer taxes, if any.</w:t>
      </w:r>
    </w:p>
    <w:p>
      <w:pPr>
        <w:spacing w:after="0" w:line="118" w:lineRule="exact"/>
        <w:rPr>
          <w:sz w:val="20"/>
          <w:szCs w:val="20"/>
          <w:color w:val="auto"/>
        </w:rPr>
      </w:pPr>
    </w:p>
    <w:p>
      <w:pPr>
        <w:ind w:left="1500" w:right="6380" w:hanging="579"/>
        <w:spacing w:after="0" w:line="369" w:lineRule="auto"/>
        <w:tabs>
          <w:tab w:leader="none" w:pos="1178" w:val="left"/>
        </w:tabs>
        <w:numPr>
          <w:ilvl w:val="0"/>
          <w:numId w:val="18"/>
        </w:numPr>
        <w:rPr>
          <w:rFonts w:ascii="Arial" w:cs="Arial" w:eastAsia="Arial" w:hAnsi="Arial"/>
          <w:sz w:val="16"/>
          <w:szCs w:val="16"/>
          <w:color w:val="auto"/>
        </w:rPr>
      </w:pPr>
      <w:r>
        <w:rPr>
          <w:rFonts w:ascii="Arial" w:cs="Arial" w:eastAsia="Arial" w:hAnsi="Arial"/>
          <w:sz w:val="16"/>
          <w:szCs w:val="16"/>
          <w:color w:val="auto"/>
        </w:rPr>
        <w:t>Payment shall take the form of (check applicable box): [ ] in lawful money of the United States; or</w:t>
      </w:r>
    </w:p>
    <w:p>
      <w:pPr>
        <w:spacing w:after="0" w:line="1" w:lineRule="exact"/>
        <w:rPr>
          <w:sz w:val="20"/>
          <w:szCs w:val="20"/>
          <w:color w:val="auto"/>
        </w:rPr>
      </w:pPr>
    </w:p>
    <w:p>
      <w:pPr>
        <w:ind w:left="1500" w:right="120" w:hanging="8"/>
        <w:spacing w:after="0" w:line="306" w:lineRule="auto"/>
        <w:tabs>
          <w:tab w:leader="none" w:pos="1734" w:val="left"/>
        </w:tabs>
        <w:numPr>
          <w:ilvl w:val="1"/>
          <w:numId w:val="19"/>
        </w:numPr>
        <w:rPr>
          <w:rFonts w:ascii="Arial" w:cs="Arial" w:eastAsia="Arial" w:hAnsi="Arial"/>
          <w:sz w:val="16"/>
          <w:szCs w:val="16"/>
          <w:color w:val="auto"/>
        </w:rPr>
      </w:pPr>
      <w:r>
        <w:rPr>
          <w:rFonts w:ascii="Arial" w:cs="Arial" w:eastAsia="Arial" w:hAnsi="Arial"/>
          <w:sz w:val="16"/>
          <w:szCs w:val="16"/>
          <w:color w:val="auto"/>
        </w:rPr>
        <w:t>] only if permitted by subsection 2(c), the cancellation of such number of Additional Investment Right Shares as is necessary, in accordance with the formula set forth in subsection 2(c), to exercise this Additional Investment Right with respect to the maximum number of Additional Investment Right Shares purchasable pursuant to the cashless exercise procedure set forth in subsection 2(c).</w:t>
      </w:r>
    </w:p>
    <w:p>
      <w:pPr>
        <w:spacing w:after="0" w:line="93" w:lineRule="exact"/>
        <w:rPr>
          <w:rFonts w:ascii="Arial" w:cs="Arial" w:eastAsia="Arial" w:hAnsi="Arial"/>
          <w:sz w:val="16"/>
          <w:szCs w:val="16"/>
          <w:color w:val="auto"/>
        </w:rPr>
      </w:pPr>
    </w:p>
    <w:p>
      <w:pPr>
        <w:ind w:right="360" w:firstLine="921"/>
        <w:spacing w:after="0" w:line="268" w:lineRule="auto"/>
        <w:tabs>
          <w:tab w:leader="none" w:pos="1162"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said Additional Investment Right Shares in the name of the undersigned or in such other name as is specified below:</w:t>
      </w:r>
    </w:p>
    <w:p>
      <w:pPr>
        <w:spacing w:after="0" w:line="3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_________________________________________</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Additional Investment Right Shares shall be delivered to the following:</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_________________________________________</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_________________________________________</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_________________________________________</w:t>
      </w:r>
    </w:p>
    <w:p>
      <w:pPr>
        <w:spacing w:after="0" w:line="158" w:lineRule="exact"/>
        <w:rPr>
          <w:sz w:val="20"/>
          <w:szCs w:val="20"/>
          <w:color w:val="auto"/>
        </w:rPr>
      </w:pPr>
    </w:p>
    <w:p>
      <w:pPr>
        <w:ind w:left="720" w:hanging="256"/>
        <w:spacing w:after="0"/>
        <w:tabs>
          <w:tab w:leader="none" w:pos="720" w:val="left"/>
        </w:tabs>
        <w:numPr>
          <w:ilvl w:val="0"/>
          <w:numId w:val="20"/>
        </w:numPr>
        <w:rPr>
          <w:rFonts w:ascii="Arial" w:cs="Arial" w:eastAsia="Arial" w:hAnsi="Arial"/>
          <w:sz w:val="15"/>
          <w:szCs w:val="15"/>
          <w:color w:val="auto"/>
        </w:rPr>
      </w:pPr>
      <w:r>
        <w:rPr>
          <w:rFonts w:ascii="Arial" w:cs="Arial" w:eastAsia="Arial" w:hAnsi="Arial"/>
          <w:sz w:val="15"/>
          <w:szCs w:val="15"/>
          <w:u w:val="single" w:color="auto"/>
          <w:color w:val="auto"/>
        </w:rPr>
        <w:t>Accredited Investor</w:t>
      </w:r>
      <w:r>
        <w:rPr>
          <w:rFonts w:ascii="Arial" w:cs="Arial" w:eastAsia="Arial" w:hAnsi="Arial"/>
          <w:sz w:val="15"/>
          <w:szCs w:val="15"/>
          <w:color w:val="auto"/>
        </w:rPr>
        <w:t>. The undersigned is an “accredited investor” as defined in Regulation D promulgated under the Securities Act of 1933, as amended.</w:t>
      </w:r>
    </w:p>
    <w:p>
      <w:pPr>
        <w:spacing w:after="0" w:line="19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[SIGNATURE OF HOLDER]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_______________________________________________________________________________________________________________________</w:t>
      </w:r>
    </w:p>
    <w:p>
      <w:pPr>
        <w:sectPr>
          <w:pgSz w:w="11900" w:h="16838" w:orient="portrait"/>
          <w:cols w:equalWidth="0" w:num="1">
            <w:col w:w="11400"/>
          </w:cols>
          <w:pgMar w:left="240" w:top="274" w:right="259" w:bottom="1440" w:gutter="0" w:footer="0" w:header="0"/>
        </w:sectPr>
      </w:pPr>
    </w:p>
    <w:bookmarkStart w:id="20" w:name="page21"/>
    <w:bookmarkEnd w:id="20"/>
    <w:p>
      <w:pPr>
        <w:ind w:left="4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ASSIGNMENT FORM</w:t>
      </w:r>
    </w:p>
    <w:p>
      <w:pPr>
        <w:spacing w:after="0" w:line="164"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(To assign the foregoing Additional Investment Right, execute</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this form and supply required information.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 not use this form to exercise the Additional Investment Right.)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VALUE RECEIVED, the foregoing Additional Investment Right and all rights evidenced thereby are hereby assigned 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________________________________________________________________________________whose address is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___________________________________________________________________________________________________________.</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___________________________________________________________________________________________________________</w:t>
      </w:r>
    </w:p>
    <w:p>
      <w:pPr>
        <w:spacing w:after="0" w:line="135"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3820" w:type="dxa"/>
            <w:vAlign w:val="bottom"/>
          </w:tcPr>
          <w:p>
            <w:pPr>
              <w:jc w:val="right"/>
              <w:spacing w:after="0"/>
              <w:rPr>
                <w:sz w:val="20"/>
                <w:szCs w:val="20"/>
                <w:color w:val="auto"/>
              </w:rPr>
            </w:pPr>
            <w:r>
              <w:rPr>
                <w:rFonts w:ascii="Arial" w:cs="Arial" w:eastAsia="Arial" w:hAnsi="Arial"/>
                <w:sz w:val="18"/>
                <w:szCs w:val="18"/>
                <w:color w:val="auto"/>
              </w:rPr>
              <w:t>Dated:</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3"/>
        </w:trPr>
        <w:tc>
          <w:tcPr>
            <w:tcW w:w="1620" w:type="dxa"/>
            <w:vAlign w:val="bottom"/>
          </w:tcPr>
          <w:p>
            <w:pPr>
              <w:spacing w:after="0"/>
              <w:rPr>
                <w:sz w:val="20"/>
                <w:szCs w:val="20"/>
                <w:color w:val="auto"/>
              </w:rPr>
            </w:pPr>
            <w:r>
              <w:rPr>
                <w:rFonts w:ascii="Arial" w:cs="Arial" w:eastAsia="Arial" w:hAnsi="Arial"/>
                <w:sz w:val="18"/>
                <w:szCs w:val="18"/>
                <w:color w:val="auto"/>
              </w:rPr>
              <w:t>Holder’s Signature:</w:t>
            </w:r>
          </w:p>
        </w:tc>
        <w:tc>
          <w:tcPr>
            <w:tcW w:w="3820" w:type="dxa"/>
            <w:vAlign w:val="bottom"/>
          </w:tcPr>
          <w:p>
            <w:pPr>
              <w:jc w:val="right"/>
              <w:ind w:right="172"/>
              <w:spacing w:after="0"/>
              <w:rPr>
                <w:sz w:val="20"/>
                <w:szCs w:val="20"/>
                <w:color w:val="auto"/>
              </w:rPr>
            </w:pPr>
            <w:r>
              <w:rPr>
                <w:rFonts w:ascii="Arial" w:cs="Arial" w:eastAsia="Arial" w:hAnsi="Arial"/>
                <w:sz w:val="18"/>
                <w:szCs w:val="18"/>
                <w:color w:val="auto"/>
                <w:w w:val="93"/>
              </w:rPr>
              <w:t>______________________________________</w:t>
            </w:r>
          </w:p>
        </w:tc>
        <w:tc>
          <w:tcPr>
            <w:tcW w:w="10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Holder’s Address:</w:t>
            </w:r>
          </w:p>
        </w:tc>
        <w:tc>
          <w:tcPr>
            <w:tcW w:w="3820" w:type="dxa"/>
            <w:vAlign w:val="bottom"/>
          </w:tcPr>
          <w:p>
            <w:pPr>
              <w:jc w:val="right"/>
              <w:ind w:right="172"/>
              <w:spacing w:after="0"/>
              <w:rPr>
                <w:sz w:val="20"/>
                <w:szCs w:val="20"/>
                <w:color w:val="auto"/>
              </w:rPr>
            </w:pPr>
            <w:r>
              <w:rPr>
                <w:rFonts w:ascii="Arial" w:cs="Arial" w:eastAsia="Arial" w:hAnsi="Arial"/>
                <w:sz w:val="18"/>
                <w:szCs w:val="18"/>
                <w:color w:val="auto"/>
                <w:w w:val="93"/>
              </w:rPr>
              <w:t>______________________________________</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20" w:type="dxa"/>
            <w:vAlign w:val="bottom"/>
            <w:vMerge w:val="restart"/>
          </w:tcPr>
          <w:p>
            <w:pPr>
              <w:spacing w:after="0"/>
              <w:rPr>
                <w:sz w:val="20"/>
                <w:szCs w:val="20"/>
                <w:color w:val="auto"/>
              </w:rPr>
            </w:pPr>
            <w:r>
              <w:rPr>
                <w:rFonts w:ascii="Arial" w:cs="Arial" w:eastAsia="Arial" w:hAnsi="Arial"/>
                <w:sz w:val="18"/>
                <w:szCs w:val="18"/>
                <w:color w:val="auto"/>
              </w:rPr>
              <w:t>Holder’s e-mail:</w:t>
            </w:r>
          </w:p>
        </w:tc>
        <w:tc>
          <w:tcPr>
            <w:tcW w:w="3820" w:type="dxa"/>
            <w:vAlign w:val="bottom"/>
          </w:tcPr>
          <w:p>
            <w:pPr>
              <w:jc w:val="right"/>
              <w:ind w:right="172"/>
              <w:spacing w:after="0"/>
              <w:rPr>
                <w:sz w:val="20"/>
                <w:szCs w:val="20"/>
                <w:color w:val="auto"/>
              </w:rPr>
            </w:pPr>
            <w:r>
              <w:rPr>
                <w:rFonts w:ascii="Arial" w:cs="Arial" w:eastAsia="Arial" w:hAnsi="Arial"/>
                <w:sz w:val="18"/>
                <w:szCs w:val="18"/>
                <w:color w:val="auto"/>
                <w:w w:val="93"/>
              </w:rPr>
              <w:t>______________________________________</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620" w:type="dxa"/>
            <w:vAlign w:val="bottom"/>
            <w:vMerge w:val="continue"/>
          </w:tcPr>
          <w:p>
            <w:pPr>
              <w:spacing w:after="0"/>
              <w:rPr>
                <w:sz w:val="18"/>
                <w:szCs w:val="18"/>
                <w:color w:val="auto"/>
              </w:rPr>
            </w:pPr>
          </w:p>
        </w:tc>
        <w:tc>
          <w:tcPr>
            <w:tcW w:w="3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20" w:type="dxa"/>
            <w:vAlign w:val="bottom"/>
          </w:tcPr>
          <w:p>
            <w:pPr>
              <w:spacing w:after="0"/>
              <w:rPr>
                <w:sz w:val="20"/>
                <w:szCs w:val="20"/>
                <w:color w:val="auto"/>
              </w:rPr>
            </w:pPr>
            <w:r>
              <w:rPr>
                <w:rFonts w:ascii="Arial" w:cs="Arial" w:eastAsia="Arial" w:hAnsi="Arial"/>
                <w:sz w:val="18"/>
                <w:szCs w:val="18"/>
                <w:color w:val="auto"/>
              </w:rPr>
              <w:t>Holder’s Fax:</w:t>
            </w:r>
          </w:p>
        </w:tc>
        <w:tc>
          <w:tcPr>
            <w:tcW w:w="3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-1078865</wp:posOffset>
            </wp:positionV>
            <wp:extent cx="3346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 _______________________________________________________________________</w:t>
      </w:r>
    </w:p>
    <w:p>
      <w:pPr>
        <w:spacing w:after="0" w:line="15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NOTE: The signature to this Assignment Form must correspond with the name as it appears on the face of the Additional Investment Right, without alteration or enlargement or any change whatsoever, and must be guaranteed by a bank or trust company. Officers of corporations and those acting in a fiduciary or other representative capacity should file proper evidence of authority to assign the foregoing Additional Investment Right.</w:t>
      </w:r>
    </w:p>
    <w:sectPr>
      <w:pgSz w:w="11900" w:h="16838" w:orient="portrait"/>
      <w:cols w:equalWidth="0" w:num="1">
        <w:col w:w="11300"/>
      </w:cols>
      <w:pgMar w:left="240" w:top="27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lowerLetter"/>
      <w:start w:val="3"/>
    </w:lvl>
  </w:abstractNum>
  <w:abstractNum w:abstractNumId="2">
    <w:nsid w:val="1190CDE7"/>
    <w:multiLevelType w:val="hybridMultilevel"/>
    <w:lvl w:ilvl="0">
      <w:lvlJc w:val="left"/>
      <w:lvlText w:val="%1)"/>
      <w:numFmt w:val="lowerLetter"/>
      <w:start w:val="1"/>
    </w:lvl>
    <w:lvl w:ilvl="1">
      <w:lvlJc w:val="left"/>
      <w:lvlText w:val="(%2)"/>
      <w:numFmt w:val="upperLetter"/>
      <w:start w:val="1"/>
    </w:lvl>
  </w:abstractNum>
  <w:abstractNum w:abstractNumId="3">
    <w:nsid w:val="66EF438D"/>
    <w:multiLevelType w:val="hybridMultilevel"/>
    <w:lvl w:ilvl="0">
      <w:lvlJc w:val="left"/>
      <w:lvlText w:val="%1"/>
      <w:numFmt w:val="lowerLetter"/>
      <w:start w:val="1"/>
    </w:lvl>
    <w:lvl w:ilvl="1">
      <w:lvlJc w:val="left"/>
      <w:lvlText w:val="(%2)"/>
      <w:numFmt w:val="upperLetter"/>
      <w:start w:val="24"/>
    </w:lvl>
    <w:lvl w:ilvl="2">
      <w:lvlJc w:val="left"/>
      <w:lvlText w:val="%3"/>
      <w:numFmt w:val="lowerRoman"/>
      <w:start w:val="1"/>
    </w:lvl>
  </w:abstractNum>
  <w:abstractNum w:abstractNumId="4">
    <w:nsid w:val="140E0F76"/>
    <w:multiLevelType w:val="hybridMultilevel"/>
    <w:lvl w:ilvl="0">
      <w:lvlJc w:val="left"/>
      <w:lvlText w:val="%1)"/>
      <w:numFmt w:val="lowerLetter"/>
      <w:start w:val="4"/>
    </w:lvl>
    <w:lvl w:ilvl="1">
      <w:lvlJc w:val="left"/>
      <w:lvlText w:val="%2"/>
      <w:numFmt w:val="upperLetter"/>
      <w:start w:val="1"/>
    </w:lvl>
    <w:lvl w:ilvl="2">
      <w:lvlJc w:val="left"/>
      <w:lvlText w:val="%3."/>
      <w:numFmt w:val="lowerRoman"/>
      <w:start w:val="1"/>
    </w:lvl>
  </w:abstractNum>
  <w:abstractNum w:abstractNumId="5">
    <w:nsid w:val="3352255A"/>
    <w:multiLevelType w:val="hybridMultilevel"/>
    <w:lvl w:ilvl="0">
      <w:lvlJc w:val="left"/>
      <w:lvlText w:val="%1"/>
      <w:numFmt w:val="lowerLetter"/>
      <w:start w:val="1"/>
    </w:lvl>
    <w:lvl w:ilvl="1">
      <w:lvlJc w:val="left"/>
      <w:lvlText w:val="%2."/>
      <w:numFmt w:val="lowerRoman"/>
      <w:start w:val="2"/>
    </w:lvl>
  </w:abstractNum>
  <w:abstractNum w:abstractNumId="6">
    <w:nsid w:val="109CF92E"/>
    <w:multiLevelType w:val="hybridMultilevel"/>
    <w:lvl w:ilvl="0">
      <w:lvlJc w:val="left"/>
      <w:lvlText w:val="%1)"/>
      <w:numFmt w:val="lowerLetter"/>
      <w:start w:val="5"/>
    </w:lvl>
    <w:lvl w:ilvl="1">
      <w:lvlJc w:val="left"/>
      <w:lvlText w:val="%2."/>
      <w:numFmt w:val="lowerRoman"/>
      <w:start w:val="1"/>
    </w:lvl>
  </w:abstractNum>
  <w:abstractNum w:abstractNumId="7">
    <w:nsid w:val="DED7263"/>
    <w:multiLevelType w:val="hybridMultilevel"/>
    <w:lvl w:ilvl="0">
      <w:lvlJc w:val="left"/>
      <w:lvlText w:val="%1."/>
      <w:numFmt w:val="lowerRoman"/>
      <w:start w:val="3"/>
    </w:lvl>
  </w:abstractNum>
  <w:abstractNum w:abstractNumId="8">
    <w:nsid w:val="7FDCC233"/>
    <w:multiLevelType w:val="hybridMultilevel"/>
    <w:lvl w:ilvl="0">
      <w:lvlJc w:val="left"/>
      <w:lvlText w:val="%1."/>
      <w:numFmt w:val="lowerRoman"/>
      <w:start w:val="6"/>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1)"/>
      <w:numFmt w:val="lowerLetter"/>
      <w:start w:val="5"/>
    </w:lvl>
    <w:lvl w:ilvl="1">
      <w:lvlJc w:val="left"/>
      <w:lvlText w:val="%2."/>
      <w:numFmt w:val="lowerRoman"/>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Letter"/>
      <w:start w:val="3"/>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3"/>
    </w:lvl>
  </w:abstractNum>
  <w:abstractNum w:abstractNumId="15">
    <w:nsid w:val="431BD7B7"/>
    <w:multiLevelType w:val="hybridMultilevel"/>
    <w:lvl w:ilvl="0">
      <w:lvlJc w:val="left"/>
      <w:lvlText w:val="%1)"/>
      <w:numFmt w:val="lowerLetter"/>
      <w:start w:val="6"/>
    </w:lvl>
  </w:abstractNum>
  <w:abstractNum w:abstractNumId="16">
    <w:nsid w:val="3F2DBA31"/>
    <w:multiLevelType w:val="hybridMultilevel"/>
    <w:lvl w:ilvl="0">
      <w:lvlJc w:val="left"/>
      <w:lvlText w:val="%1)"/>
      <w:numFmt w:val="lowerLetter"/>
      <w:start w:val="12"/>
    </w:lvl>
  </w:abstractNum>
  <w:abstractNum w:abstractNumId="17">
    <w:nsid w:val="7C83E458"/>
    <w:multiLevelType w:val="hybridMultilevel"/>
    <w:lvl w:ilvl="0">
      <w:lvlJc w:val="left"/>
      <w:lvlText w:val="(%1)"/>
      <w:numFmt w:val="decimal"/>
      <w:start w:val="2"/>
    </w:lvl>
  </w:abstractNum>
  <w:abstractNum w:abstractNumId="18">
    <w:nsid w:val="257130A3"/>
    <w:multiLevelType w:val="hybridMultilevel"/>
    <w:lvl w:ilvl="0">
      <w:lvlJc w:val="left"/>
      <w:lvlText w:val="(%1)"/>
      <w:numFmt w:val="decimal"/>
      <w:start w:val="2"/>
    </w:lvl>
    <w:lvl w:ilvl="1">
      <w:lvlJc w:val="left"/>
      <w:lvlText w:val="["/>
      <w:numFmt w:val="bullet"/>
      <w:start w:val="1"/>
    </w:lvl>
  </w:abstractNum>
  <w:abstractNum w:abstractNumId="19">
    <w:nsid w:val="62BBD95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2019-12-14T18:17:00Z</dcterms:created>
  <dcterms:modified xsi:type="dcterms:W3CDTF">2019-12-14T18:17:00Z</dcterms:modified>
</cp:coreProperties>
</file>