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1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2120"/>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ind w:left="254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P10,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Courier New" w:cs="Courier New" w:eastAsia="Courier New" w:hAnsi="Courier New"/>
          <w:sz w:val="18"/>
          <w:szCs w:val="18"/>
          <w:color w:val="auto"/>
        </w:rPr>
        <w:t>Class A Common Stock, par value $0.001 per share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69376K106</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December 30, 2022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right="8339" w:firstLine="8"/>
        <w:spacing w:after="0" w:line="536"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09" w:lineRule="exact"/>
        <w:rPr>
          <w:sz w:val="24"/>
          <w:szCs w:val="24"/>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jc w:val="both"/>
        <w:ind w:right="18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9</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tcPr>
          <w:p>
            <w:pPr>
              <w:spacing w:after="0"/>
              <w:rPr>
                <w:sz w:val="17"/>
                <w:szCs w:val="17"/>
                <w:color w:val="auto"/>
              </w:rPr>
            </w:pP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CUSIP No. 69376K106</w:t>
            </w:r>
          </w:p>
        </w:tc>
        <w:tc>
          <w:tcPr>
            <w:tcW w:w="12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2"/>
              </w:rPr>
              <w:t>13G</w:t>
            </w:r>
          </w:p>
        </w:tc>
      </w:tr>
      <w:tr>
        <w:trPr>
          <w:trHeight w:val="203"/>
        </w:trPr>
        <w:tc>
          <w:tcPr>
            <w:tcW w:w="332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w:t>
            </w:r>
          </w:p>
        </w:tc>
        <w:tc>
          <w:tcPr>
            <w:tcW w:w="1220" w:type="dxa"/>
            <w:vAlign w:val="bottom"/>
          </w:tcPr>
          <w:p>
            <w:pPr>
              <w:spacing w:after="0"/>
              <w:rPr>
                <w:sz w:val="17"/>
                <w:szCs w:val="17"/>
                <w:color w:val="auto"/>
              </w:rPr>
            </w:pP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hanging="527"/>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sz w:val="24"/>
          <w:szCs w:val="24"/>
          <w:color w:val="auto"/>
        </w:rPr>
      </w:pPr>
    </w:p>
    <w:p>
      <w:pPr>
        <w:ind w:left="1160"/>
        <w:spacing w:after="0"/>
        <w:tabs>
          <w:tab w:leader="none" w:pos="2100" w:val="left"/>
        </w:tabs>
        <w:rPr>
          <w:sz w:val="20"/>
          <w:szCs w:val="20"/>
          <w:color w:val="auto"/>
        </w:rPr>
      </w:pPr>
      <w:r>
        <w:rPr>
          <w:rFonts w:ascii="Courier New" w:cs="Courier New" w:eastAsia="Courier New" w:hAnsi="Courier New"/>
          <w:sz w:val="18"/>
          <w:szCs w:val="18"/>
          <w:color w:val="auto"/>
        </w:rPr>
        <w:t>Goldman</w:t>
        <w:tab/>
        <w:t>Sachs Asset Management</w:t>
      </w:r>
    </w:p>
    <w:p>
      <w:pPr>
        <w:spacing w:after="0" w:line="4" w:lineRule="exact"/>
        <w:rPr>
          <w:sz w:val="24"/>
          <w:szCs w:val="24"/>
          <w:color w:val="auto"/>
        </w:rPr>
      </w:pPr>
    </w:p>
    <w:p>
      <w:pPr>
        <w:ind w:left="1160" w:right="2559"/>
        <w:spacing w:after="0" w:line="268" w:lineRule="auto"/>
        <w:rPr>
          <w:sz w:val="20"/>
          <w:szCs w:val="20"/>
          <w:color w:val="auto"/>
        </w:rPr>
      </w:pPr>
      <w:r>
        <w:rPr>
          <w:rFonts w:ascii="Courier New" w:cs="Courier New" w:eastAsia="Courier New" w:hAnsi="Courier New"/>
          <w:sz w:val="16"/>
          <w:szCs w:val="16"/>
          <w:color w:val="auto"/>
        </w:rPr>
        <w:t>(Goldman Sachs Asset Management, L.P., together with GS Investment Strategies, LLC, "Goldman Sachs Asset Management")</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ind w:left="6740"/>
        <w:spacing w:after="0" w:line="238" w:lineRule="auto"/>
        <w:rPr>
          <w:sz w:val="20"/>
          <w:szCs w:val="20"/>
          <w:color w:val="auto"/>
        </w:rPr>
      </w:pPr>
      <w:r>
        <w:rPr>
          <w:rFonts w:ascii="Courier New" w:cs="Courier New" w:eastAsia="Courier New" w:hAnsi="Courier New"/>
          <w:sz w:val="18"/>
          <w:szCs w:val="18"/>
          <w:color w:val="auto"/>
        </w:rPr>
        <w:t>(b) [_]</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38" w:orient="portrait"/>
          <w:cols w:equalWidth="0" w:num="1">
            <w:col w:w="10139"/>
          </w:cols>
          <w:pgMar w:left="320" w:top="852" w:right="1440" w:bottom="57"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8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824,555</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8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With:</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887,620</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179" w:hanging="1047"/>
        <w:spacing w:after="0" w:line="708" w:lineRule="auto"/>
        <w:tabs>
          <w:tab w:leader="none" w:pos="63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887,620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160" w:right="2659" w:hanging="7152"/>
        <w:spacing w:after="0" w:line="399" w:lineRule="auto"/>
        <w:tabs>
          <w:tab w:leader="none" w:pos="63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2.2 %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9</w:t>
      </w:r>
    </w:p>
    <w:p>
      <w:pPr>
        <w:sectPr>
          <w:pgSz w:w="11900" w:h="16838" w:orient="portrait"/>
          <w:cols w:equalWidth="0" w:num="1">
            <w:col w:w="10139"/>
          </w:cols>
          <w:pgMar w:left="320" w:top="344" w:right="1440" w:bottom="1440" w:gutter="0" w:footer="0" w:header="0"/>
        </w:sectPr>
      </w:pPr>
    </w:p>
    <w:bookmarkStart w:id="2" w:name="page3"/>
    <w:bookmarkEnd w:id="2"/>
    <w:p>
      <w:pPr>
        <w:spacing w:after="0"/>
        <w:tabs>
          <w:tab w:leader="none" w:pos="19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000"/>
        <w:spacing w:after="0" w:line="238" w:lineRule="auto"/>
        <w:rPr>
          <w:sz w:val="20"/>
          <w:szCs w:val="20"/>
          <w:color w:val="auto"/>
        </w:rPr>
      </w:pPr>
      <w:r>
        <w:rPr>
          <w:rFonts w:ascii="Courier New" w:cs="Courier New" w:eastAsia="Courier New" w:hAnsi="Courier New"/>
          <w:sz w:val="18"/>
          <w:szCs w:val="18"/>
          <w:color w:val="auto"/>
        </w:rPr>
        <w:t>P10, INC</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2000"/>
        <w:spacing w:after="0" w:line="238" w:lineRule="auto"/>
        <w:rPr>
          <w:sz w:val="20"/>
          <w:szCs w:val="20"/>
          <w:color w:val="auto"/>
        </w:rPr>
      </w:pPr>
      <w:r>
        <w:rPr>
          <w:rFonts w:ascii="Courier New" w:cs="Courier New" w:eastAsia="Courier New" w:hAnsi="Courier New"/>
          <w:sz w:val="18"/>
          <w:szCs w:val="18"/>
          <w:color w:val="auto"/>
        </w:rPr>
        <w:t>4514 COLE AVENUE SUITE 1600</w:t>
      </w:r>
    </w:p>
    <w:p>
      <w:pPr>
        <w:ind w:left="2000"/>
        <w:spacing w:after="0" w:line="238" w:lineRule="auto"/>
        <w:rPr>
          <w:sz w:val="20"/>
          <w:szCs w:val="20"/>
          <w:color w:val="auto"/>
        </w:rPr>
      </w:pPr>
      <w:r>
        <w:rPr>
          <w:rFonts w:ascii="Courier New" w:cs="Courier New" w:eastAsia="Courier New" w:hAnsi="Courier New"/>
          <w:sz w:val="18"/>
          <w:szCs w:val="18"/>
          <w:color w:val="auto"/>
        </w:rPr>
        <w:t>DALLAS, TX</w:t>
      </w:r>
    </w:p>
    <w:p>
      <w:pPr>
        <w:spacing w:after="0" w:line="202"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GOLDMAN SACHS ASSET MANAGEMENT</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2000"/>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Goldman Sachs Asset Management</w:t>
      </w:r>
    </w:p>
    <w:p>
      <w:pPr>
        <w:ind w:left="2000"/>
        <w:spacing w:after="0" w:line="238" w:lineRule="auto"/>
        <w:rPr>
          <w:sz w:val="20"/>
          <w:szCs w:val="20"/>
          <w:color w:val="auto"/>
        </w:rPr>
      </w:pPr>
      <w:r>
        <w:rPr>
          <w:rFonts w:ascii="Courier New" w:cs="Courier New" w:eastAsia="Courier New" w:hAnsi="Courier New"/>
          <w:sz w:val="18"/>
          <w:szCs w:val="18"/>
          <w:color w:val="auto"/>
        </w:rPr>
        <w:t>200 West Street</w:t>
      </w:r>
    </w:p>
    <w:p>
      <w:pPr>
        <w:ind w:left="2000"/>
        <w:spacing w:after="0"/>
        <w:tabs>
          <w:tab w:leader="none" w:pos="3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10282</w:t>
      </w:r>
    </w:p>
    <w:p>
      <w:pPr>
        <w:spacing w:after="0" w:line="202"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ind w:left="2000"/>
        <w:spacing w:after="0" w:line="238" w:lineRule="auto"/>
        <w:rPr>
          <w:sz w:val="20"/>
          <w:szCs w:val="20"/>
          <w:color w:val="auto"/>
        </w:rPr>
      </w:pPr>
      <w:r>
        <w:rPr>
          <w:rFonts w:ascii="Courier New" w:cs="Courier New" w:eastAsia="Courier New" w:hAnsi="Courier New"/>
          <w:sz w:val="18"/>
          <w:szCs w:val="18"/>
          <w:color w:val="auto"/>
        </w:rPr>
        <w:t>GOLDMAN SACHS ASSET MANAGEMENT, L.P. - Delaware</w:t>
      </w:r>
    </w:p>
    <w:p>
      <w:pPr>
        <w:ind w:left="2000"/>
        <w:spacing w:after="0" w:line="238" w:lineRule="auto"/>
        <w:rPr>
          <w:sz w:val="20"/>
          <w:szCs w:val="20"/>
          <w:color w:val="auto"/>
        </w:rPr>
      </w:pPr>
      <w:r>
        <w:rPr>
          <w:rFonts w:ascii="Courier New" w:cs="Courier New" w:eastAsia="Courier New" w:hAnsi="Courier New"/>
          <w:sz w:val="18"/>
          <w:szCs w:val="18"/>
          <w:color w:val="auto"/>
        </w:rPr>
        <w:t>GS INVESTMENT STRATEGIES, LLC - Delaware</w:t>
      </w:r>
    </w:p>
    <w:p>
      <w:pPr>
        <w:spacing w:after="0" w:line="200" w:lineRule="exact"/>
        <w:rPr>
          <w:sz w:val="20"/>
          <w:szCs w:val="20"/>
          <w:color w:val="auto"/>
        </w:rPr>
      </w:pPr>
    </w:p>
    <w:p>
      <w:pPr>
        <w:spacing w:after="0" w:line="204"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2000"/>
        <w:spacing w:after="0" w:line="238" w:lineRule="auto"/>
        <w:rPr>
          <w:sz w:val="20"/>
          <w:szCs w:val="20"/>
          <w:color w:val="auto"/>
        </w:rPr>
      </w:pPr>
      <w:r>
        <w:rPr>
          <w:rFonts w:ascii="Courier New" w:cs="Courier New" w:eastAsia="Courier New" w:hAnsi="Courier New"/>
          <w:sz w:val="18"/>
          <w:szCs w:val="18"/>
          <w:color w:val="auto"/>
        </w:rPr>
        <w:t>Class A Common Stock, par value $0.001 per share</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000"/>
        <w:spacing w:after="0" w:line="238" w:lineRule="auto"/>
        <w:rPr>
          <w:sz w:val="20"/>
          <w:szCs w:val="20"/>
          <w:color w:val="auto"/>
        </w:rPr>
      </w:pPr>
      <w:r>
        <w:rPr>
          <w:rFonts w:ascii="Courier New" w:cs="Courier New" w:eastAsia="Courier New" w:hAnsi="Courier New"/>
          <w:sz w:val="18"/>
          <w:szCs w:val="18"/>
          <w:color w:val="auto"/>
        </w:rPr>
        <w:t>69376K106</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ind w:left="200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1"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(a).[_]</w:t>
      </w:r>
      <w:r>
        <w:rPr>
          <w:sz w:val="20"/>
          <w:szCs w:val="20"/>
          <w:color w:val="auto"/>
        </w:rPr>
        <w:tab/>
      </w:r>
      <w:r>
        <w:rPr>
          <w:rFonts w:ascii="Courier New" w:cs="Courier New" w:eastAsia="Courier New" w:hAnsi="Courier New"/>
          <w:sz w:val="16"/>
          <w:szCs w:val="16"/>
          <w:color w:val="auto"/>
        </w:rPr>
        <w:t>Broker or dealer registered under Section 15 of the Act</w:t>
      </w:r>
    </w:p>
    <w:p>
      <w:pPr>
        <w:ind w:left="2000"/>
        <w:spacing w:after="0" w:line="238" w:lineRule="auto"/>
        <w:rPr>
          <w:sz w:val="20"/>
          <w:szCs w:val="20"/>
          <w:color w:val="auto"/>
        </w:rPr>
      </w:pPr>
      <w:r>
        <w:rPr>
          <w:rFonts w:ascii="Courier New" w:cs="Courier New" w:eastAsia="Courier New" w:hAnsi="Courier New"/>
          <w:sz w:val="18"/>
          <w:szCs w:val="18"/>
          <w:color w:val="auto"/>
        </w:rPr>
        <w:t>(15 U.S.C. 78o).</w:t>
      </w:r>
    </w:p>
    <w:p>
      <w:pPr>
        <w:spacing w:after="0" w:line="201"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(b).[_]</w:t>
      </w:r>
      <w:r>
        <w:rPr>
          <w:sz w:val="20"/>
          <w:szCs w:val="20"/>
          <w:color w:val="auto"/>
        </w:rPr>
        <w:tab/>
      </w:r>
      <w:r>
        <w:rPr>
          <w:rFonts w:ascii="Courier New" w:cs="Courier New" w:eastAsia="Courier New" w:hAnsi="Courier New"/>
          <w:sz w:val="16"/>
          <w:szCs w:val="16"/>
          <w:color w:val="auto"/>
        </w:rPr>
        <w:t>Bank as defined in Section 3(a)(6) of the Act</w:t>
      </w:r>
    </w:p>
    <w:p>
      <w:pPr>
        <w:ind w:left="200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1" w:lineRule="exact"/>
        <w:rPr>
          <w:sz w:val="20"/>
          <w:szCs w:val="20"/>
          <w:color w:val="auto"/>
        </w:rPr>
      </w:pPr>
    </w:p>
    <w:p>
      <w:pPr>
        <w:jc w:val="right"/>
        <w:ind w:right="1919"/>
        <w:spacing w:after="0"/>
        <w:tabs>
          <w:tab w:leader="none" w:pos="6200" w:val="left"/>
        </w:tabs>
        <w:rPr>
          <w:sz w:val="20"/>
          <w:szCs w:val="20"/>
          <w:color w:val="auto"/>
        </w:rPr>
      </w:pPr>
      <w:r>
        <w:rPr>
          <w:rFonts w:ascii="Courier New" w:cs="Courier New" w:eastAsia="Courier New" w:hAnsi="Courier New"/>
          <w:sz w:val="18"/>
          <w:szCs w:val="18"/>
          <w:color w:val="auto"/>
        </w:rPr>
        <w:t>(c).[_]</w:t>
      </w:r>
      <w:r>
        <w:rPr>
          <w:sz w:val="20"/>
          <w:szCs w:val="20"/>
          <w:color w:val="auto"/>
        </w:rPr>
        <w:tab/>
      </w:r>
      <w:r>
        <w:rPr>
          <w:rFonts w:ascii="Courier New" w:cs="Courier New" w:eastAsia="Courier New" w:hAnsi="Courier New"/>
          <w:sz w:val="16"/>
          <w:szCs w:val="16"/>
          <w:color w:val="auto"/>
        </w:rPr>
        <w:t>Insurance company as defined in Section 3(a)(19) of the Act</w:t>
      </w:r>
    </w:p>
    <w:p>
      <w:pPr>
        <w:ind w:left="200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1"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(d).[_]</w:t>
      </w:r>
      <w:r>
        <w:rPr>
          <w:sz w:val="20"/>
          <w:szCs w:val="20"/>
          <w:color w:val="auto"/>
        </w:rPr>
        <w:tab/>
      </w:r>
      <w:r>
        <w:rPr>
          <w:rFonts w:ascii="Courier New" w:cs="Courier New" w:eastAsia="Courier New" w:hAnsi="Courier New"/>
          <w:sz w:val="16"/>
          <w:szCs w:val="16"/>
          <w:color w:val="auto"/>
        </w:rPr>
        <w:t>Investment company registered under Section 8 of the</w:t>
      </w:r>
    </w:p>
    <w:p>
      <w:pPr>
        <w:ind w:left="2000"/>
        <w:spacing w:after="0" w:line="238" w:lineRule="auto"/>
        <w:rPr>
          <w:sz w:val="20"/>
          <w:szCs w:val="20"/>
          <w:color w:val="auto"/>
        </w:rPr>
      </w:pPr>
      <w:r>
        <w:rPr>
          <w:rFonts w:ascii="Courier New" w:cs="Courier New" w:eastAsia="Courier New" w:hAnsi="Courier New"/>
          <w:sz w:val="18"/>
          <w:szCs w:val="18"/>
          <w:color w:val="auto"/>
        </w:rPr>
        <w:t>Investment Company Act of 1940 (15 U.S.C. 80a-8).</w:t>
      </w:r>
    </w:p>
    <w:p>
      <w:pPr>
        <w:spacing w:after="0" w:line="201"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(e).[X]</w:t>
      </w:r>
      <w:r>
        <w:rPr>
          <w:sz w:val="20"/>
          <w:szCs w:val="20"/>
          <w:color w:val="auto"/>
        </w:rPr>
        <w:tab/>
      </w:r>
      <w:r>
        <w:rPr>
          <w:rFonts w:ascii="Courier New" w:cs="Courier New" w:eastAsia="Courier New" w:hAnsi="Courier New"/>
          <w:sz w:val="16"/>
          <w:szCs w:val="16"/>
          <w:color w:val="auto"/>
        </w:rPr>
        <w:t>An investment adviser in accordance with</w:t>
      </w:r>
    </w:p>
    <w:p>
      <w:pPr>
        <w:ind w:left="2000"/>
        <w:spacing w:after="0" w:line="238" w:lineRule="auto"/>
        <w:rPr>
          <w:sz w:val="20"/>
          <w:szCs w:val="20"/>
          <w:color w:val="auto"/>
        </w:rPr>
      </w:pPr>
      <w:r>
        <w:rPr>
          <w:rFonts w:ascii="Courier New" w:cs="Courier New" w:eastAsia="Courier New" w:hAnsi="Courier New"/>
          <w:sz w:val="18"/>
          <w:szCs w:val="18"/>
          <w:color w:val="auto"/>
        </w:rPr>
        <w:t>Rule 13d-1(b)(1)(ii)(E);</w:t>
      </w:r>
    </w:p>
    <w:p>
      <w:pPr>
        <w:ind w:left="3160"/>
        <w:spacing w:after="0" w:line="238" w:lineRule="auto"/>
        <w:rPr>
          <w:sz w:val="20"/>
          <w:szCs w:val="20"/>
          <w:color w:val="auto"/>
        </w:rPr>
      </w:pPr>
      <w:r>
        <w:rPr>
          <w:rFonts w:ascii="Courier New" w:cs="Courier New" w:eastAsia="Courier New" w:hAnsi="Courier New"/>
          <w:sz w:val="18"/>
          <w:szCs w:val="18"/>
          <w:color w:val="auto"/>
        </w:rPr>
        <w:t>Goldman Sachs Asset Management, L.P.</w:t>
      </w:r>
    </w:p>
    <w:p>
      <w:pPr>
        <w:ind w:left="3160"/>
        <w:spacing w:after="0"/>
        <w:rPr>
          <w:sz w:val="20"/>
          <w:szCs w:val="20"/>
          <w:color w:val="auto"/>
        </w:rPr>
      </w:pPr>
      <w:r>
        <w:rPr>
          <w:rFonts w:ascii="Courier New" w:cs="Courier New" w:eastAsia="Courier New" w:hAnsi="Courier New"/>
          <w:sz w:val="18"/>
          <w:szCs w:val="18"/>
          <w:color w:val="auto"/>
        </w:rPr>
        <w:t>GS Investment Strategies, LLC</w:t>
      </w:r>
    </w:p>
    <w:p>
      <w:pPr>
        <w:spacing w:after="0" w:line="200"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(f).[_]</w:t>
      </w:r>
      <w:r>
        <w:rPr>
          <w:sz w:val="20"/>
          <w:szCs w:val="20"/>
          <w:color w:val="auto"/>
        </w:rPr>
        <w:tab/>
      </w:r>
      <w:r>
        <w:rPr>
          <w:rFonts w:ascii="Courier New" w:cs="Courier New" w:eastAsia="Courier New" w:hAnsi="Courier New"/>
          <w:sz w:val="16"/>
          <w:szCs w:val="16"/>
          <w:color w:val="auto"/>
        </w:rPr>
        <w:t>An employee benefit plan or endowment fund in accordance</w:t>
      </w:r>
    </w:p>
    <w:p>
      <w:pPr>
        <w:ind w:left="2000"/>
        <w:spacing w:after="0" w:line="238" w:lineRule="auto"/>
        <w:rPr>
          <w:sz w:val="20"/>
          <w:szCs w:val="20"/>
          <w:color w:val="auto"/>
        </w:rPr>
      </w:pPr>
      <w:r>
        <w:rPr>
          <w:rFonts w:ascii="Courier New" w:cs="Courier New" w:eastAsia="Courier New" w:hAnsi="Courier New"/>
          <w:sz w:val="18"/>
          <w:szCs w:val="18"/>
          <w:color w:val="auto"/>
        </w:rPr>
        <w:t>with Rule 13d-1(b)(1)(ii)(F);</w:t>
      </w:r>
    </w:p>
    <w:p>
      <w:pPr>
        <w:spacing w:after="0" w:line="201"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(g).[_]</w:t>
      </w:r>
      <w:r>
        <w:rPr>
          <w:sz w:val="20"/>
          <w:szCs w:val="20"/>
          <w:color w:val="auto"/>
        </w:rPr>
        <w:tab/>
      </w:r>
      <w:r>
        <w:rPr>
          <w:rFonts w:ascii="Courier New" w:cs="Courier New" w:eastAsia="Courier New" w:hAnsi="Courier New"/>
          <w:sz w:val="16"/>
          <w:szCs w:val="16"/>
          <w:color w:val="auto"/>
        </w:rPr>
        <w:t>A parent holding company or control person in accordance</w:t>
      </w:r>
    </w:p>
    <w:p>
      <w:pPr>
        <w:ind w:left="2000"/>
        <w:spacing w:after="0" w:line="238" w:lineRule="auto"/>
        <w:rPr>
          <w:sz w:val="20"/>
          <w:szCs w:val="20"/>
          <w:color w:val="auto"/>
        </w:rPr>
      </w:pPr>
      <w:r>
        <w:rPr>
          <w:rFonts w:ascii="Courier New" w:cs="Courier New" w:eastAsia="Courier New" w:hAnsi="Courier New"/>
          <w:sz w:val="18"/>
          <w:szCs w:val="18"/>
          <w:color w:val="auto"/>
        </w:rPr>
        <w:t>with Rule 13d-1(b)(1)(ii)(G);</w:t>
      </w:r>
    </w:p>
    <w:p>
      <w:pPr>
        <w:spacing w:after="0" w:line="201"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(h).[_]</w:t>
      </w:r>
      <w:r>
        <w:rPr>
          <w:sz w:val="20"/>
          <w:szCs w:val="20"/>
          <w:color w:val="auto"/>
        </w:rPr>
        <w:tab/>
      </w:r>
      <w:r>
        <w:rPr>
          <w:rFonts w:ascii="Courier New" w:cs="Courier New" w:eastAsia="Courier New" w:hAnsi="Courier New"/>
          <w:sz w:val="16"/>
          <w:szCs w:val="16"/>
          <w:color w:val="auto"/>
        </w:rPr>
        <w:t>A savings association as defined in Section 3(b) of the</w:t>
      </w:r>
    </w:p>
    <w:p>
      <w:pPr>
        <w:ind w:left="2000"/>
        <w:spacing w:after="0" w:line="238" w:lineRule="auto"/>
        <w:rPr>
          <w:sz w:val="20"/>
          <w:szCs w:val="20"/>
          <w:color w:val="auto"/>
        </w:rPr>
      </w:pPr>
      <w:r>
        <w:rPr>
          <w:rFonts w:ascii="Courier New" w:cs="Courier New" w:eastAsia="Courier New" w:hAnsi="Courier New"/>
          <w:sz w:val="18"/>
          <w:szCs w:val="18"/>
          <w:color w:val="auto"/>
        </w:rPr>
        <w:t>Federal Deposit Insurance Act (12 U.S.C. 1813);</w:t>
      </w:r>
    </w:p>
    <w:p>
      <w:pPr>
        <w:spacing w:after="0" w:line="201"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(i).[_]</w:t>
      </w:r>
      <w:r>
        <w:rPr>
          <w:sz w:val="20"/>
          <w:szCs w:val="20"/>
          <w:color w:val="auto"/>
        </w:rPr>
        <w:tab/>
      </w:r>
      <w:r>
        <w:rPr>
          <w:rFonts w:ascii="Courier New" w:cs="Courier New" w:eastAsia="Courier New" w:hAnsi="Courier New"/>
          <w:sz w:val="16"/>
          <w:szCs w:val="16"/>
          <w:color w:val="auto"/>
        </w:rPr>
        <w:t>A church plan that is excluded from the definition of an</w:t>
      </w:r>
    </w:p>
    <w:p>
      <w:pPr>
        <w:ind w:left="2000"/>
        <w:spacing w:after="0" w:line="238" w:lineRule="auto"/>
        <w:rPr>
          <w:sz w:val="20"/>
          <w:szCs w:val="20"/>
          <w:color w:val="auto"/>
        </w:rPr>
      </w:pPr>
      <w:r>
        <w:rPr>
          <w:rFonts w:ascii="Courier New" w:cs="Courier New" w:eastAsia="Courier New" w:hAnsi="Courier New"/>
          <w:sz w:val="18"/>
          <w:szCs w:val="18"/>
          <w:color w:val="auto"/>
        </w:rPr>
        <w:t>investment company under Section 3(c)(14) of the</w:t>
      </w:r>
    </w:p>
    <w:p>
      <w:pPr>
        <w:ind w:left="2000"/>
        <w:spacing w:after="0" w:line="238" w:lineRule="auto"/>
        <w:rPr>
          <w:sz w:val="20"/>
          <w:szCs w:val="20"/>
          <w:color w:val="auto"/>
        </w:rPr>
      </w:pPr>
      <w:r>
        <w:rPr>
          <w:rFonts w:ascii="Courier New" w:cs="Courier New" w:eastAsia="Courier New" w:hAnsi="Courier New"/>
          <w:sz w:val="18"/>
          <w:szCs w:val="18"/>
          <w:color w:val="auto"/>
        </w:rPr>
        <w:t>Investment Company Act of 1940 (15 U.S.C. 80a-3);</w:t>
      </w:r>
    </w:p>
    <w:p>
      <w:pPr>
        <w:spacing w:after="0" w:line="200" w:lineRule="exact"/>
        <w:rPr>
          <w:sz w:val="20"/>
          <w:szCs w:val="20"/>
          <w:color w:val="auto"/>
        </w:rPr>
      </w:pPr>
    </w:p>
    <w:p>
      <w:pPr>
        <w:spacing w:after="0" w:line="204"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(j).[_]</w:t>
      </w:r>
      <w:r>
        <w:rPr>
          <w:sz w:val="20"/>
          <w:szCs w:val="20"/>
          <w:color w:val="auto"/>
        </w:rPr>
        <w:tab/>
      </w:r>
      <w:r>
        <w:rPr>
          <w:rFonts w:ascii="Courier New" w:cs="Courier New" w:eastAsia="Courier New" w:hAnsi="Courier New"/>
          <w:sz w:val="16"/>
          <w:szCs w:val="16"/>
          <w:color w:val="auto"/>
        </w:rPr>
        <w:t>A non-U.S. institution in accordance with</w:t>
      </w:r>
    </w:p>
    <w:p>
      <w:pPr>
        <w:ind w:left="2000"/>
        <w:spacing w:after="0" w:line="238" w:lineRule="auto"/>
        <w:rPr>
          <w:sz w:val="20"/>
          <w:szCs w:val="20"/>
          <w:color w:val="auto"/>
        </w:rPr>
      </w:pPr>
      <w:r>
        <w:rPr>
          <w:rFonts w:ascii="Courier New" w:cs="Courier New" w:eastAsia="Courier New" w:hAnsi="Courier New"/>
          <w:sz w:val="18"/>
          <w:szCs w:val="18"/>
          <w:color w:val="auto"/>
        </w:rPr>
        <w:t>Rule 13d-1(b)(1)(ii)(J);</w:t>
      </w:r>
    </w:p>
    <w:p>
      <w:pPr>
        <w:spacing w:after="0" w:line="201"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(k).[_]</w:t>
      </w:r>
      <w:r>
        <w:rPr>
          <w:sz w:val="20"/>
          <w:szCs w:val="20"/>
          <w:color w:val="auto"/>
        </w:rPr>
        <w:tab/>
      </w:r>
      <w:r>
        <w:rPr>
          <w:rFonts w:ascii="Courier New" w:cs="Courier New" w:eastAsia="Courier New" w:hAnsi="Courier New"/>
          <w:sz w:val="16"/>
          <w:szCs w:val="16"/>
          <w:color w:val="auto"/>
        </w:rPr>
        <w:t>A group, in accordance with Rule 13d-1(b)(1)(ii)</w:t>
      </w:r>
    </w:p>
    <w:p>
      <w:pPr>
        <w:ind w:left="2000"/>
        <w:spacing w:after="0" w:line="238" w:lineRule="auto"/>
        <w:rPr>
          <w:sz w:val="20"/>
          <w:szCs w:val="20"/>
          <w:color w:val="auto"/>
        </w:rPr>
      </w:pPr>
      <w:r>
        <w:rPr>
          <w:rFonts w:ascii="Courier New" w:cs="Courier New" w:eastAsia="Courier New" w:hAnsi="Courier New"/>
          <w:sz w:val="18"/>
          <w:szCs w:val="18"/>
          <w:color w:val="auto"/>
        </w:rPr>
        <w:t>(A) through (K).</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If filing as a non-U.S. institution in accordance with Rule</w:t>
      </w:r>
    </w:p>
    <w:p>
      <w:pPr>
        <w:ind w:left="1160"/>
        <w:spacing w:after="0" w:line="238" w:lineRule="auto"/>
        <w:rPr>
          <w:sz w:val="20"/>
          <w:szCs w:val="20"/>
          <w:color w:val="auto"/>
        </w:rPr>
      </w:pPr>
      <w:r>
        <w:rPr>
          <w:rFonts w:ascii="Courier New" w:cs="Courier New" w:eastAsia="Courier New" w:hAnsi="Courier New"/>
          <w:sz w:val="18"/>
          <w:szCs w:val="18"/>
          <w:color w:val="auto"/>
        </w:rPr>
        <w:t>13d-1(b)(1)(ii)(J), please specify the type of institution:</w:t>
      </w:r>
    </w:p>
    <w:p>
      <w:pPr>
        <w:sectPr>
          <w:pgSz w:w="11900" w:h="16838" w:orient="portrait"/>
          <w:cols w:equalWidth="0" w:num="1">
            <w:col w:w="10139"/>
          </w:cols>
          <w:pgMar w:left="320" w:top="717"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3 of 9</w:t>
      </w:r>
    </w:p>
    <w:p>
      <w:pPr>
        <w:sectPr>
          <w:pgSz w:w="11900" w:h="16838" w:orient="portrait"/>
          <w:cols w:equalWidth="0" w:num="1">
            <w:col w:w="10139"/>
          </w:cols>
          <w:pgMar w:left="320" w:top="717" w:right="1440" w:bottom="182" w:gutter="0" w:footer="0" w:header="0"/>
          <w:type w:val="continuous"/>
        </w:sectPr>
      </w:pPr>
    </w:p>
    <w:bookmarkStart w:id="3" w:name="page4"/>
    <w:bookmarkEnd w:id="3"/>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Ownership.*</w:t>
            </w: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(a).</w:t>
            </w:r>
          </w:p>
        </w:tc>
        <w:tc>
          <w:tcPr>
            <w:tcW w:w="370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8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2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See the response(s) to</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Item 9 on</w:t>
            </w:r>
          </w:p>
        </w:tc>
        <w:tc>
          <w:tcPr>
            <w:tcW w:w="2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the attached cover page(s).</w:t>
            </w: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(b).</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37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8"/>
              </w:rPr>
              <w:t>See the response(s)to Item 11 on</w:t>
            </w:r>
          </w:p>
        </w:tc>
        <w:tc>
          <w:tcPr>
            <w:tcW w:w="2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the attached cover page(s).</w:t>
            </w: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(c).</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9"/>
              </w:rPr>
              <w:t>Number of shares as to</w:t>
            </w:r>
          </w:p>
        </w:tc>
        <w:tc>
          <w:tcPr>
            <w:tcW w:w="19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which such person</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has:</w:t>
            </w:r>
          </w:p>
        </w:tc>
      </w:tr>
      <w:tr>
        <w:trPr>
          <w:trHeight w:val="405"/>
        </w:trPr>
        <w:tc>
          <w:tcPr>
            <w:tcW w:w="1740" w:type="dxa"/>
            <w:vAlign w:val="bottom"/>
          </w:tcPr>
          <w:p>
            <w:pPr>
              <w:spacing w:after="0"/>
              <w:rPr>
                <w:sz w:val="24"/>
                <w:szCs w:val="2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rPr>
              <w:t>(i).</w:t>
            </w:r>
          </w:p>
        </w:tc>
        <w:tc>
          <w:tcPr>
            <w:tcW w:w="2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Sole power to vote or to</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direct</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the vote:  See the</w:t>
            </w:r>
          </w:p>
        </w:tc>
      </w:tr>
      <w:tr>
        <w:trPr>
          <w:trHeight w:val="203"/>
        </w:trPr>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response(s) to</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Item 5 on</w:t>
            </w:r>
          </w:p>
        </w:tc>
        <w:tc>
          <w:tcPr>
            <w:tcW w:w="2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the attached cover page(s).</w:t>
            </w:r>
          </w:p>
        </w:tc>
      </w:tr>
    </w:tbl>
    <w:p>
      <w:pPr>
        <w:spacing w:after="0" w:line="207" w:lineRule="exact"/>
        <w:rPr>
          <w:sz w:val="20"/>
          <w:szCs w:val="20"/>
          <w:color w:val="auto"/>
        </w:rPr>
      </w:pPr>
    </w:p>
    <w:p>
      <w:pPr>
        <w:jc w:val="both"/>
        <w:ind w:left="2860" w:right="1819" w:hanging="841"/>
        <w:spacing w:after="0" w:line="290" w:lineRule="auto"/>
        <w:tabs>
          <w:tab w:leader="none" w:pos="28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 See the response(s) to Item 6 on the attached cover page(s).</w:t>
      </w:r>
    </w:p>
    <w:p>
      <w:pPr>
        <w:spacing w:after="0" w:line="169" w:lineRule="exact"/>
        <w:rPr>
          <w:sz w:val="20"/>
          <w:szCs w:val="20"/>
          <w:color w:val="auto"/>
        </w:rPr>
      </w:pPr>
    </w:p>
    <w:p>
      <w:pPr>
        <w:jc w:val="both"/>
        <w:ind w:left="2860" w:right="1819" w:hanging="841"/>
        <w:spacing w:after="0" w:line="236" w:lineRule="auto"/>
        <w:tabs>
          <w:tab w:leader="none" w:pos="2840" w:val="left"/>
        </w:tabs>
        <w:rPr>
          <w:sz w:val="20"/>
          <w:szCs w:val="20"/>
          <w:color w:val="auto"/>
        </w:rPr>
      </w:pPr>
      <w:r>
        <w:rPr>
          <w:rFonts w:ascii="Courier New" w:cs="Courier New" w:eastAsia="Courier New" w:hAnsi="Courier New"/>
          <w:sz w:val="18"/>
          <w:szCs w:val="18"/>
          <w:color w:val="auto"/>
        </w:rPr>
        <w:t>(iii).</w:t>
        <w:tab/>
        <w:t>Sole power to dispose or to direct the disposition of: See the response(s) to Item 7 on the attached cover page(s).</w:t>
      </w:r>
    </w:p>
    <w:p>
      <w:pPr>
        <w:spacing w:after="0" w:line="208" w:lineRule="exact"/>
        <w:rPr>
          <w:sz w:val="20"/>
          <w:szCs w:val="20"/>
          <w:color w:val="auto"/>
        </w:rPr>
      </w:pPr>
    </w:p>
    <w:p>
      <w:pPr>
        <w:jc w:val="both"/>
        <w:ind w:left="2860" w:right="1819" w:hanging="841"/>
        <w:spacing w:after="0" w:line="236" w:lineRule="auto"/>
        <w:tabs>
          <w:tab w:leader="none" w:pos="28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 disposition of: See the response(s) to Item 8 on the attached cover page(s).</w:t>
      </w:r>
    </w:p>
    <w:p>
      <w:pPr>
        <w:spacing w:after="0" w:line="203"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4" w:lineRule="exact"/>
        <w:rPr>
          <w:sz w:val="20"/>
          <w:szCs w:val="20"/>
          <w:color w:val="auto"/>
        </w:rPr>
      </w:pPr>
    </w:p>
    <w:p>
      <w:pPr>
        <w:ind w:left="2000" w:right="18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persons have ceased to be the beneficial owners of more than five percent of the class of securities, check the following [X].</w:t>
      </w:r>
    </w:p>
    <w:p>
      <w:pPr>
        <w:spacing w:after="0" w:line="207" w:lineRule="exact"/>
        <w:rPr>
          <w:sz w:val="20"/>
          <w:szCs w:val="20"/>
          <w:color w:val="auto"/>
        </w:rPr>
      </w:pPr>
    </w:p>
    <w:p>
      <w:pPr>
        <w:ind w:left="2000" w:right="2239" w:hanging="2000"/>
        <w:spacing w:after="0" w:line="235" w:lineRule="auto"/>
        <w:tabs>
          <w:tab w:leader="none" w:pos="19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154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Clients</w:t>
            </w:r>
          </w:p>
        </w:tc>
        <w:tc>
          <w:tcPr>
            <w:tcW w:w="3900" w:type="dxa"/>
            <w:vAlign w:val="bottom"/>
            <w:gridSpan w:val="6"/>
          </w:tcPr>
          <w:p>
            <w:pPr>
              <w:jc w:val="center"/>
              <w:spacing w:after="0"/>
              <w:rPr>
                <w:sz w:val="20"/>
                <w:szCs w:val="20"/>
                <w:color w:val="auto"/>
              </w:rPr>
            </w:pPr>
            <w:r>
              <w:rPr>
                <w:rFonts w:ascii="Courier New" w:cs="Courier New" w:eastAsia="Courier New" w:hAnsi="Courier New"/>
                <w:sz w:val="18"/>
                <w:szCs w:val="18"/>
                <w:color w:val="auto"/>
                <w:w w:val="97"/>
              </w:rPr>
              <w:t>of  the  Reporting  Person(s) have or</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may have the</w:t>
            </w:r>
          </w:p>
        </w:tc>
      </w:tr>
      <w:tr>
        <w:trPr>
          <w:trHeight w:val="203"/>
        </w:trPr>
        <w:tc>
          <w:tcPr>
            <w:tcW w:w="1420" w:type="dxa"/>
            <w:vAlign w:val="bottom"/>
          </w:tcPr>
          <w:p>
            <w:pPr>
              <w:spacing w:after="0"/>
              <w:rPr>
                <w:sz w:val="17"/>
                <w:szCs w:val="17"/>
                <w:color w:val="auto"/>
              </w:rPr>
            </w:pPr>
          </w:p>
        </w:tc>
        <w:tc>
          <w:tcPr>
            <w:tcW w:w="1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right</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to</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receive or</w:t>
            </w:r>
          </w:p>
        </w:tc>
        <w:tc>
          <w:tcPr>
            <w:tcW w:w="116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the power</w:t>
            </w:r>
          </w:p>
        </w:tc>
        <w:tc>
          <w:tcPr>
            <w:tcW w:w="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w:t>
            </w:r>
          </w:p>
        </w:tc>
        <w:tc>
          <w:tcPr>
            <w:tcW w:w="2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direct the  receipt of</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w w:val="97"/>
              </w:rPr>
              <w:t>dividends from, or the proceeds from the sale of, securities</w:t>
            </w:r>
          </w:p>
        </w:tc>
      </w:tr>
      <w:tr>
        <w:trPr>
          <w:trHeight w:val="203"/>
        </w:trPr>
        <w:tc>
          <w:tcPr>
            <w:tcW w:w="1420" w:type="dxa"/>
            <w:vAlign w:val="bottom"/>
          </w:tcPr>
          <w:p>
            <w:pPr>
              <w:spacing w:after="0"/>
              <w:rPr>
                <w:sz w:val="17"/>
                <w:szCs w:val="17"/>
                <w:color w:val="auto"/>
              </w:rPr>
            </w:pPr>
          </w:p>
        </w:tc>
        <w:tc>
          <w:tcPr>
            <w:tcW w:w="1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held</w:t>
            </w:r>
          </w:p>
        </w:tc>
        <w:tc>
          <w:tcPr>
            <w:tcW w:w="280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in their accounts. Clients</w:t>
            </w:r>
          </w:p>
        </w:tc>
        <w:tc>
          <w:tcPr>
            <w:tcW w:w="2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known to have such right or</w:t>
            </w:r>
          </w:p>
        </w:tc>
      </w:tr>
      <w:tr>
        <w:trPr>
          <w:trHeight w:val="203"/>
        </w:trPr>
        <w:tc>
          <w:tcPr>
            <w:tcW w:w="1420" w:type="dxa"/>
            <w:vAlign w:val="bottom"/>
          </w:tcPr>
          <w:p>
            <w:pPr>
              <w:spacing w:after="0"/>
              <w:rPr>
                <w:sz w:val="17"/>
                <w:szCs w:val="17"/>
                <w:color w:val="auto"/>
              </w:rPr>
            </w:pPr>
          </w:p>
        </w:tc>
        <w:tc>
          <w:tcPr>
            <w:tcW w:w="1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power</w:t>
            </w: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respect</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to</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more</w:t>
            </w:r>
          </w:p>
        </w:tc>
        <w:tc>
          <w:tcPr>
            <w:tcW w:w="2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than 5%  of  the  class  of</w:t>
            </w:r>
          </w:p>
        </w:tc>
      </w:tr>
      <w:tr>
        <w:trPr>
          <w:trHeight w:val="203"/>
        </w:trPr>
        <w:tc>
          <w:tcPr>
            <w:tcW w:w="1420" w:type="dxa"/>
            <w:vAlign w:val="bottom"/>
          </w:tcPr>
          <w:p>
            <w:pPr>
              <w:spacing w:after="0"/>
              <w:rPr>
                <w:sz w:val="17"/>
                <w:szCs w:val="17"/>
                <w:color w:val="auto"/>
              </w:rPr>
            </w:pPr>
          </w:p>
        </w:tc>
        <w:tc>
          <w:tcPr>
            <w:tcW w:w="5440" w:type="dxa"/>
            <w:vAlign w:val="bottom"/>
            <w:gridSpan w:val="8"/>
          </w:tcPr>
          <w:p>
            <w:pPr>
              <w:ind w:left="580"/>
              <w:spacing w:after="0" w:line="203" w:lineRule="exact"/>
              <w:rPr>
                <w:sz w:val="20"/>
                <w:szCs w:val="20"/>
                <w:color w:val="auto"/>
              </w:rPr>
            </w:pPr>
            <w:r>
              <w:rPr>
                <w:rFonts w:ascii="Courier New" w:cs="Courier New" w:eastAsia="Courier New" w:hAnsi="Courier New"/>
                <w:sz w:val="18"/>
                <w:szCs w:val="18"/>
                <w:color w:val="auto"/>
              </w:rPr>
              <w:t>securities to which this report relates are:</w:t>
            </w:r>
          </w:p>
        </w:tc>
        <w:tc>
          <w:tcPr>
            <w:tcW w:w="14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NONE</w:t>
            </w: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2060" w:type="dxa"/>
            <w:vAlign w:val="bottom"/>
            <w:gridSpan w:val="3"/>
          </w:tcPr>
          <w:p>
            <w:pPr>
              <w:ind w:left="580"/>
              <w:spacing w:after="0"/>
              <w:rPr>
                <w:sz w:val="20"/>
                <w:szCs w:val="20"/>
                <w:color w:val="auto"/>
              </w:rPr>
            </w:pPr>
            <w:r>
              <w:rPr>
                <w:rFonts w:ascii="Courier New" w:cs="Courier New" w:eastAsia="Courier New" w:hAnsi="Courier New"/>
                <w:sz w:val="18"/>
                <w:szCs w:val="18"/>
                <w:color w:val="auto"/>
                <w:w w:val="96"/>
              </w:rPr>
              <w:t>Identification</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and</w:t>
            </w:r>
          </w:p>
        </w:tc>
        <w:tc>
          <w:tcPr>
            <w:tcW w:w="1640" w:type="dxa"/>
            <w:vAlign w:val="bottom"/>
            <w:gridSpan w:val="3"/>
          </w:tcPr>
          <w:p>
            <w:pPr>
              <w:spacing w:after="0"/>
              <w:rPr>
                <w:sz w:val="20"/>
                <w:szCs w:val="20"/>
                <w:color w:val="auto"/>
              </w:rPr>
            </w:pPr>
            <w:r>
              <w:rPr>
                <w:rFonts w:ascii="Courier New" w:cs="Courier New" w:eastAsia="Courier New" w:hAnsi="Courier New"/>
                <w:sz w:val="18"/>
                <w:szCs w:val="18"/>
                <w:color w:val="auto"/>
              </w:rPr>
              <w:t>Classification</w:t>
            </w:r>
          </w:p>
        </w:tc>
        <w:tc>
          <w:tcPr>
            <w:tcW w:w="24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of the Subsidiary Which</w:t>
            </w:r>
          </w:p>
        </w:tc>
      </w:tr>
      <w:tr>
        <w:trPr>
          <w:trHeight w:val="203"/>
        </w:trPr>
        <w:tc>
          <w:tcPr>
            <w:tcW w:w="1420" w:type="dxa"/>
            <w:vAlign w:val="bottom"/>
          </w:tcPr>
          <w:p>
            <w:pPr>
              <w:spacing w:after="0"/>
              <w:rPr>
                <w:sz w:val="17"/>
                <w:szCs w:val="17"/>
                <w:color w:val="auto"/>
              </w:rPr>
            </w:pPr>
          </w:p>
        </w:tc>
        <w:tc>
          <w:tcPr>
            <w:tcW w:w="15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Acquired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w:t>
            </w:r>
          </w:p>
        </w:tc>
        <w:tc>
          <w:tcPr>
            <w:tcW w:w="116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Security</w:t>
            </w:r>
          </w:p>
        </w:tc>
        <w:tc>
          <w:tcPr>
            <w:tcW w:w="7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Being</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Reported  on</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by the  Parent</w:t>
            </w:r>
          </w:p>
        </w:tc>
      </w:tr>
      <w:tr>
        <w:trPr>
          <w:trHeight w:val="203"/>
        </w:trPr>
        <w:tc>
          <w:tcPr>
            <w:tcW w:w="1420" w:type="dxa"/>
            <w:vAlign w:val="bottom"/>
          </w:tcPr>
          <w:p>
            <w:pPr>
              <w:spacing w:after="0"/>
              <w:rPr>
                <w:sz w:val="17"/>
                <w:szCs w:val="17"/>
                <w:color w:val="auto"/>
              </w:rPr>
            </w:pPr>
          </w:p>
        </w:tc>
        <w:tc>
          <w:tcPr>
            <w:tcW w:w="2800" w:type="dxa"/>
            <w:vAlign w:val="bottom"/>
            <w:gridSpan w:val="4"/>
          </w:tcPr>
          <w:p>
            <w:pPr>
              <w:ind w:left="580"/>
              <w:spacing w:after="0" w:line="203" w:lineRule="exact"/>
              <w:rPr>
                <w:sz w:val="20"/>
                <w:szCs w:val="20"/>
                <w:color w:val="auto"/>
              </w:rPr>
            </w:pPr>
            <w:r>
              <w:rPr>
                <w:rFonts w:ascii="Courier New" w:cs="Courier New" w:eastAsia="Courier New" w:hAnsi="Courier New"/>
                <w:sz w:val="18"/>
                <w:szCs w:val="18"/>
                <w:color w:val="auto"/>
              </w:rPr>
              <w:t>Holding Company.</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6900" w:type="dxa"/>
            <w:vAlign w:val="bottom"/>
            <w:gridSpan w:val="9"/>
          </w:tcPr>
          <w:p>
            <w:pPr>
              <w:ind w:left="58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203"/>
        </w:trPr>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3960" w:type="dxa"/>
            <w:vAlign w:val="bottom"/>
            <w:gridSpan w:val="6"/>
          </w:tcPr>
          <w:p>
            <w:pPr>
              <w:ind w:left="580"/>
              <w:spacing w:after="0"/>
              <w:rPr>
                <w:sz w:val="20"/>
                <w:szCs w:val="20"/>
                <w:color w:val="auto"/>
              </w:rPr>
            </w:pPr>
            <w:r>
              <w:rPr>
                <w:rFonts w:ascii="Courier New" w:cs="Courier New" w:eastAsia="Courier New" w:hAnsi="Courier New"/>
                <w:sz w:val="18"/>
                <w:szCs w:val="18"/>
                <w:color w:val="auto"/>
              </w:rPr>
              <w:t>Notice of Dissolution of Group.</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060" w:type="dxa"/>
            <w:vAlign w:val="bottom"/>
            <w:gridSpan w:val="3"/>
          </w:tcPr>
          <w:p>
            <w:pPr>
              <w:ind w:left="580"/>
              <w:spacing w:after="0"/>
              <w:rPr>
                <w:sz w:val="20"/>
                <w:szCs w:val="20"/>
                <w:color w:val="auto"/>
              </w:rPr>
            </w:pPr>
            <w:r>
              <w:rPr>
                <w:rFonts w:ascii="Courier New" w:cs="Courier New" w:eastAsia="Courier New" w:hAnsi="Courier New"/>
                <w:sz w:val="18"/>
                <w:szCs w:val="18"/>
                <w:color w:val="auto"/>
                <w:w w:val="96"/>
              </w:rPr>
              <w:t>Certification.</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w w:val="97"/>
              </w:rPr>
              <w:t>By signing below I certify that, to the best of my knowledge</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rPr>
              <w:t>and belief, the securities referred to above were acquired</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w w:val="97"/>
              </w:rPr>
              <w:t>and are held in the ordinary course of business and were not</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rPr>
              <w:t>acquired and are not held for the purpose of or with the</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w w:val="98"/>
              </w:rPr>
              <w:t>effect of changing or influencing the control of the issuer</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w w:val="98"/>
              </w:rPr>
              <w:t>of the securities and were not acquired and are not held in</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rPr>
              <w:t>connection with or as a participant in any transaction</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w w:val="98"/>
              </w:rPr>
              <w:t>having that purpose or effect, other than activities solely</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rPr>
              <w:t>in connection with a nomination under Section 240.14a-11.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919" w:firstLine="211"/>
        <w:spacing w:after="0" w:line="271" w:lineRule="auto"/>
        <w:rPr>
          <w:sz w:val="20"/>
          <w:szCs w:val="20"/>
          <w:color w:val="auto"/>
        </w:rPr>
      </w:pPr>
      <w:r>
        <w:rPr>
          <w:rFonts w:ascii="Courier New" w:cs="Courier New" w:eastAsia="Courier New" w:hAnsi="Courier New"/>
          <w:sz w:val="16"/>
          <w:szCs w:val="16"/>
          <w:color w:val="auto"/>
        </w:rPr>
        <w:t>*In accordance with the Securities and Exchange Commission Release No. 34-39538 (January 12, 1998) (the "Release"), this filing reflects the securities beneficially owned by certain operating units (collectively, the "Goldman Sachs Reporting Units") of The Goldman Sachs Group, Inc. and its 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w:t>
      </w:r>
    </w:p>
    <w:p>
      <w:pPr>
        <w:spacing w:after="0" w:line="185" w:lineRule="exact"/>
        <w:rPr>
          <w:sz w:val="20"/>
          <w:szCs w:val="20"/>
          <w:color w:val="auto"/>
        </w:rPr>
      </w:pPr>
    </w:p>
    <w:p>
      <w:pPr>
        <w:jc w:val="both"/>
        <w:ind w:right="2439" w:firstLine="8"/>
        <w:spacing w:after="0" w:line="290" w:lineRule="auto"/>
        <w:tabs>
          <w:tab w:leader="none" w:pos="42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client accounts with respect to which the Goldman Sachs Reporting Units or their employees have voting or investment discretion or both, or</w:t>
      </w:r>
    </w:p>
    <w:p>
      <w:pPr>
        <w:sectPr>
          <w:pgSz w:w="11900" w:h="16953" w:orient="portrait"/>
          <w:cols w:equalWidth="0" w:num="1">
            <w:col w:w="10139"/>
          </w:cols>
          <w:pgMar w:left="320" w:top="514" w:right="1440" w:bottom="0" w:gutter="0" w:footer="0" w:header="0"/>
        </w:sectPr>
      </w:pPr>
    </w:p>
    <w:bookmarkStart w:id="4" w:name="page5"/>
    <w:bookmarkEnd w:id="4"/>
    <w:p>
      <w:pPr>
        <w:ind w:right="1919"/>
        <w:spacing w:after="0" w:line="237" w:lineRule="auto"/>
        <w:rPr>
          <w:sz w:val="20"/>
          <w:szCs w:val="20"/>
          <w:color w:val="auto"/>
        </w:rPr>
      </w:pPr>
      <w:r>
        <w:rPr>
          <w:rFonts w:ascii="Courier New" w:cs="Courier New" w:eastAsia="Courier New" w:hAnsi="Courier New"/>
          <w:sz w:val="18"/>
          <w:szCs w:val="18"/>
          <w:color w:val="auto"/>
        </w:rPr>
        <w:t>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9</w:t>
      </w:r>
    </w:p>
    <w:p>
      <w:pPr>
        <w:sectPr>
          <w:pgSz w:w="11900" w:h="16838" w:orient="portrait"/>
          <w:cols w:equalWidth="0" w:num="1">
            <w:col w:w="10139"/>
          </w:cols>
          <w:pgMar w:left="320" w:top="142"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left="1280" w:right="2979"/>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January 31, 2023,</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Constance Birch</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Constance Birch</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GS INVESTMENT STRATEGIES, LLC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Constance Birch</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Constance Birch</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9</w:t>
      </w:r>
    </w:p>
    <w:p>
      <w:pPr>
        <w:sectPr>
          <w:pgSz w:w="11900" w:h="16838" w:orient="portrait"/>
          <w:cols w:equalWidth="0" w:num="1">
            <w:col w:w="10139"/>
          </w:cols>
          <w:pgMar w:left="320" w:top="71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4060" w:type="dxa"/>
            <w:vAlign w:val="bottom"/>
          </w:tcPr>
          <w:p>
            <w:pPr>
              <w:ind w:left="1960"/>
              <w:spacing w:after="0"/>
              <w:rPr>
                <w:sz w:val="20"/>
                <w:szCs w:val="20"/>
                <w:color w:val="auto"/>
              </w:rPr>
            </w:pPr>
            <w:r>
              <w:rPr>
                <w:rFonts w:ascii="Courier New" w:cs="Courier New" w:eastAsia="Courier New" w:hAnsi="Courier New"/>
                <w:sz w:val="18"/>
                <w:szCs w:val="18"/>
                <w:color w:val="auto"/>
              </w:rPr>
              <w:t>INDEX TO EXHIBITS</w:t>
            </w:r>
          </w:p>
        </w:tc>
      </w:tr>
      <w:tr>
        <w:trPr>
          <w:trHeight w:val="810"/>
        </w:trPr>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Exhibit No.</w:t>
            </w:r>
          </w:p>
        </w:tc>
        <w:tc>
          <w:tcPr>
            <w:tcW w:w="4060" w:type="dxa"/>
            <w:vAlign w:val="bottom"/>
          </w:tcPr>
          <w:p>
            <w:pPr>
              <w:ind w:left="1120"/>
              <w:spacing w:after="0"/>
              <w:rPr>
                <w:sz w:val="20"/>
                <w:szCs w:val="20"/>
                <w:color w:val="auto"/>
              </w:rPr>
            </w:pPr>
            <w:r>
              <w:rPr>
                <w:rFonts w:ascii="Courier New" w:cs="Courier New" w:eastAsia="Courier New" w:hAnsi="Courier New"/>
                <w:sz w:val="18"/>
                <w:szCs w:val="18"/>
                <w:color w:val="auto"/>
              </w:rPr>
              <w:t>Exhibit</w:t>
            </w:r>
          </w:p>
        </w:tc>
      </w:tr>
      <w:tr>
        <w:trPr>
          <w:trHeight w:val="203"/>
        </w:trPr>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406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99.1</w:t>
            </w:r>
          </w:p>
        </w:tc>
        <w:tc>
          <w:tcPr>
            <w:tcW w:w="40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Joint Filing Agreement</w:t>
            </w: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99.2</w:t>
            </w:r>
          </w:p>
        </w:tc>
        <w:tc>
          <w:tcPr>
            <w:tcW w:w="40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Power of Attorney, relating to</w:t>
            </w:r>
          </w:p>
        </w:tc>
      </w:tr>
      <w:tr>
        <w:trPr>
          <w:trHeight w:val="203"/>
        </w:trPr>
        <w:tc>
          <w:tcPr>
            <w:tcW w:w="1420" w:type="dxa"/>
            <w:vAlign w:val="bottom"/>
          </w:tcPr>
          <w:p>
            <w:pPr>
              <w:spacing w:after="0"/>
              <w:rPr>
                <w:sz w:val="17"/>
                <w:szCs w:val="17"/>
                <w:color w:val="auto"/>
              </w:rPr>
            </w:pPr>
          </w:p>
        </w:tc>
        <w:tc>
          <w:tcPr>
            <w:tcW w:w="40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6"/>
              </w:rPr>
              <w:t>GOLDMAN SACHS ASSET MANAGEMENT, L.P.</w:t>
            </w: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99.3</w:t>
            </w:r>
          </w:p>
        </w:tc>
        <w:tc>
          <w:tcPr>
            <w:tcW w:w="40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Power of Attorney, relating to</w:t>
            </w:r>
          </w:p>
        </w:tc>
      </w:tr>
      <w:tr>
        <w:trPr>
          <w:trHeight w:val="203"/>
        </w:trPr>
        <w:tc>
          <w:tcPr>
            <w:tcW w:w="1420" w:type="dxa"/>
            <w:vAlign w:val="bottom"/>
          </w:tcPr>
          <w:p>
            <w:pPr>
              <w:spacing w:after="0"/>
              <w:rPr>
                <w:sz w:val="17"/>
                <w:szCs w:val="17"/>
                <w:color w:val="auto"/>
              </w:rPr>
            </w:pPr>
          </w:p>
        </w:tc>
        <w:tc>
          <w:tcPr>
            <w:tcW w:w="40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GS INVESTMENT STRATEGIES, LLC</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9</w:t>
      </w:r>
    </w:p>
    <w:p>
      <w:pPr>
        <w:sectPr>
          <w:pgSz w:w="11900" w:h="16838" w:orient="portrait"/>
          <w:cols w:equalWidth="0" w:num="1">
            <w:col w:w="10139"/>
          </w:cols>
          <w:pgMar w:left="320" w:top="717" w:right="1440" w:bottom="1440" w:gutter="0" w:footer="0" w:header="0"/>
        </w:sectPr>
      </w:pPr>
    </w:p>
    <w:bookmarkStart w:id="7" w:name="page8"/>
    <w:bookmarkEnd w:id="7"/>
    <w:p>
      <w:pPr>
        <w:jc w:val="right"/>
        <w:ind w:right="169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jc w:val="both"/>
        <w:ind w:right="1819" w:firstLine="421"/>
        <w:spacing w:after="0" w:line="237" w:lineRule="auto"/>
        <w:rPr>
          <w:sz w:val="20"/>
          <w:szCs w:val="20"/>
          <w:color w:val="auto"/>
        </w:rPr>
      </w:pPr>
      <w:r>
        <w:rPr>
          <w:rFonts w:ascii="Courier New" w:cs="Courier New" w:eastAsia="Courier New" w:hAnsi="Courier New"/>
          <w:sz w:val="18"/>
          <w:szCs w:val="18"/>
          <w:color w:val="auto"/>
        </w:rPr>
        <w:t>In accordance with Rule 13d-1(k)(1) promulgated under the Securities Exchange Act of 1934, the undersigned agree to the joint filing of a Statement on Schedule 13G (including any and all amendments thereto) with respect to the Class A Common Stock, par value $0.001 per share, of P10, INC</w:t>
      </w:r>
    </w:p>
    <w:p>
      <w:pPr>
        <w:spacing w:after="0"/>
        <w:tabs>
          <w:tab w:leader="none" w:pos="5360" w:val="left"/>
        </w:tabs>
        <w:rPr>
          <w:sz w:val="20"/>
          <w:szCs w:val="20"/>
          <w:color w:val="auto"/>
        </w:rPr>
      </w:pPr>
      <w:r>
        <w:rPr>
          <w:rFonts w:ascii="Courier New" w:cs="Courier New" w:eastAsia="Courier New" w:hAnsi="Courier New"/>
          <w:sz w:val="18"/>
          <w:szCs w:val="18"/>
          <w:color w:val="auto"/>
        </w:rPr>
        <w:t>and further agree to the filing of this agreement</w:t>
      </w:r>
      <w:r>
        <w:rPr>
          <w:sz w:val="20"/>
          <w:szCs w:val="20"/>
          <w:color w:val="auto"/>
        </w:rPr>
        <w:tab/>
      </w:r>
      <w:r>
        <w:rPr>
          <w:rFonts w:ascii="Courier New" w:cs="Courier New" w:eastAsia="Courier New" w:hAnsi="Courier New"/>
          <w:sz w:val="16"/>
          <w:szCs w:val="16"/>
          <w:color w:val="auto"/>
        </w:rPr>
        <w:t>as an Exhibit thereto.</w:t>
      </w:r>
    </w:p>
    <w:p>
      <w:pPr>
        <w:spacing w:after="0" w:line="5" w:lineRule="exact"/>
        <w:rPr>
          <w:sz w:val="20"/>
          <w:szCs w:val="20"/>
          <w:color w:val="auto"/>
        </w:rPr>
      </w:pPr>
    </w:p>
    <w:p>
      <w:pPr>
        <w:ind w:right="1819"/>
        <w:spacing w:after="0" w:line="236" w:lineRule="auto"/>
        <w:rPr>
          <w:sz w:val="20"/>
          <w:szCs w:val="20"/>
          <w:color w:val="auto"/>
        </w:rPr>
      </w:pPr>
      <w:r>
        <w:rPr>
          <w:rFonts w:ascii="Courier New" w:cs="Courier New" w:eastAsia="Courier New" w:hAnsi="Courier New"/>
          <w:sz w:val="18"/>
          <w:szCs w:val="18"/>
          <w:color w:val="auto"/>
        </w:rPr>
        <w:t>In addition, each party to this Agreement expressly authorizes each other party to this Agreement to file on its behalf any and all amendments to such Statement on Schedule 13G.</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January 31, 2023,</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Constance Birch</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Constance Birch</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GS INVESTMENT STRATEGIES, LLC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Constance Birch</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Constance Birch</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9</w:t>
      </w:r>
    </w:p>
    <w:p>
      <w:pPr>
        <w:sectPr>
          <w:pgSz w:w="11900" w:h="16838" w:orient="portrait"/>
          <w:cols w:equalWidth="0" w:num="1">
            <w:col w:w="10139"/>
          </w:cols>
          <w:pgMar w:left="320" w:top="514" w:right="1440" w:bottom="1440" w:gutter="0" w:footer="0" w:header="0"/>
        </w:sectPr>
      </w:pPr>
    </w:p>
    <w:bookmarkStart w:id="8" w:name="page9"/>
    <w:bookmarkEnd w:id="8"/>
    <w:p>
      <w:pPr>
        <w:jc w:val="right"/>
        <w:ind w:right="191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KNOW ALL PERSONS BY THESE PRESENTS that GOLDMAN SACHS ASSET MANAGEMENT, L.P. (the "Company") does hereby make, constitute and appoint each of Melissa Stanford, Stephanie Snyder, Constance Birch, Kateryna Osmachko, Rachel Fraizer, Jamie Minieri, Tony Kelly, Imad Ismail, Terrance Grey, and Kshama Mishra (each, an "attorney-in-fact"), acting individually,</w:t>
      </w:r>
    </w:p>
    <w:p>
      <w:pPr>
        <w:spacing w:after="0" w:line="6"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its true and lawful attorney, to execute and deliver in its name and on its behalf whether the Company is acting individually or as</w:t>
      </w:r>
    </w:p>
    <w:p>
      <w:pPr>
        <w:spacing w:after="0" w:line="6"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take effect on December 13th, 2022 and remain</w:t>
      </w:r>
    </w:p>
    <w:p>
      <w:pPr>
        <w:spacing w:after="0" w:line="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in full force and effect until the earlier of (i) December 13th, 2023 and (ii) such time that it is revoked in writing; provided that in the event an attorney-in-fact ceases to be an employee of the The Goldman Sachs Group, Inc. or one of its affiliates or ceases to perform the function in connection with which he/she was appointed attorney-in-fact prior to such time, this Power of Attorney shall cease to have effect in relation to any remaining attorneys-in-Fact upon such cessation but shall continue in full force and effect in relation to any remaining attornyes-in-fact. The Company has unrestriced right unilaterally to revoke this Power of Attorney.</w:t>
      </w:r>
    </w:p>
    <w:p>
      <w:pPr>
        <w:spacing w:after="0" w:line="213"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8"/>
          <w:szCs w:val="18"/>
          <w:color w:val="auto"/>
        </w:rPr>
        <w:t>This Power of Attorney shall be governed by, and construed in accordance with, the laws of the State of New York, without regard to rules of conflicts of law.</w:t>
      </w:r>
    </w:p>
    <w:p>
      <w:pPr>
        <w:spacing w:after="0" w:line="208" w:lineRule="exact"/>
        <w:rPr>
          <w:sz w:val="20"/>
          <w:szCs w:val="20"/>
          <w:color w:val="auto"/>
        </w:rPr>
      </w:pPr>
    </w:p>
    <w:p>
      <w:pPr>
        <w:ind w:right="2119"/>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December 13, 2022.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38" w:lineRule="auto"/>
        <w:rPr>
          <w:sz w:val="20"/>
          <w:szCs w:val="20"/>
          <w:color w:val="auto"/>
        </w:rPr>
      </w:pPr>
      <w:r>
        <w:rPr>
          <w:rFonts w:ascii="Courier New" w:cs="Courier New" w:eastAsia="Courier New" w:hAnsi="Courier New"/>
          <w:sz w:val="18"/>
          <w:szCs w:val="18"/>
          <w:color w:val="auto"/>
        </w:rPr>
        <w:t>By: GSAM HOLDINGS LLC., its General Partner</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David Plutzer</w:t>
      </w:r>
    </w:p>
    <w:p>
      <w:pPr>
        <w:spacing w:after="0" w:line="238" w:lineRule="auto"/>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David Plutzer</w:t>
      </w:r>
    </w:p>
    <w:p>
      <w:pPr>
        <w:spacing w:after="0"/>
        <w:rPr>
          <w:sz w:val="20"/>
          <w:szCs w:val="20"/>
          <w:color w:val="auto"/>
        </w:rPr>
      </w:pPr>
      <w:r>
        <w:rPr>
          <w:rFonts w:ascii="Courier New" w:cs="Courier New" w:eastAsia="Courier New" w:hAnsi="Courier New"/>
          <w:sz w:val="18"/>
          <w:szCs w:val="18"/>
          <w:color w:val="auto"/>
        </w:rPr>
        <w:t>Title: Authorized Signatory</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8 of 9</w:t>
      </w:r>
    </w:p>
    <w:p>
      <w:pPr>
        <w:sectPr>
          <w:pgSz w:w="11900" w:h="16838" w:orient="portrait"/>
          <w:cols w:equalWidth="0" w:num="1">
            <w:col w:w="10139"/>
          </w:cols>
          <w:pgMar w:left="320" w:top="514" w:right="1440" w:bottom="1440" w:gutter="0" w:footer="0" w:header="0"/>
        </w:sectPr>
      </w:pPr>
    </w:p>
    <w:bookmarkStart w:id="9" w:name="page10"/>
    <w:bookmarkEnd w:id="9"/>
    <w:p>
      <w:pPr>
        <w:jc w:val="right"/>
        <w:ind w:right="2019"/>
        <w:spacing w:after="0"/>
        <w:rPr>
          <w:sz w:val="20"/>
          <w:szCs w:val="20"/>
          <w:color w:val="auto"/>
        </w:rPr>
      </w:pPr>
      <w:r>
        <w:rPr>
          <w:rFonts w:ascii="Courier New" w:cs="Courier New" w:eastAsia="Courier New" w:hAnsi="Courier New"/>
          <w:sz w:val="18"/>
          <w:szCs w:val="18"/>
          <w:color w:val="auto"/>
        </w:rPr>
        <w:t>EXHIBIT (99.3)</w:t>
      </w:r>
    </w:p>
    <w:p>
      <w:pPr>
        <w:ind w:left="254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10" w:lineRule="exact"/>
        <w:rPr>
          <w:sz w:val="20"/>
          <w:szCs w:val="20"/>
          <w:color w:val="auto"/>
        </w:rPr>
      </w:pPr>
    </w:p>
    <w:p>
      <w:pPr>
        <w:ind w:right="2979"/>
        <w:spacing w:after="0" w:line="237" w:lineRule="auto"/>
        <w:rPr>
          <w:sz w:val="20"/>
          <w:szCs w:val="20"/>
          <w:color w:val="auto"/>
        </w:rPr>
      </w:pPr>
      <w:r>
        <w:rPr>
          <w:rFonts w:ascii="Courier New" w:cs="Courier New" w:eastAsia="Courier New" w:hAnsi="Courier New"/>
          <w:sz w:val="18"/>
          <w:szCs w:val="18"/>
          <w:color w:val="auto"/>
        </w:rPr>
        <w:t>KNOW ALL PERSONS BY THESE PRESENTS that GS INVESTMENT STRATEGIES, LLC (the "Company") does hereby make, constitute and appoint each of Stephanie Snyder, Constance Birch, Kateryna Osmachko, Tony Kelly, Imad Ismail, Jamie Minieri, Rachel Fraizer, and Terrance Grey, (and any other employee of The Goldman Sachs Group, Inc.</w:t>
      </w:r>
    </w:p>
    <w:p>
      <w:pPr>
        <w:spacing w:after="0" w:line="6" w:lineRule="exact"/>
        <w:rPr>
          <w:sz w:val="20"/>
          <w:szCs w:val="20"/>
          <w:color w:val="auto"/>
        </w:rPr>
      </w:pPr>
    </w:p>
    <w:p>
      <w:pPr>
        <w:ind w:right="2339"/>
        <w:spacing w:after="0" w:line="237" w:lineRule="auto"/>
        <w:rPr>
          <w:sz w:val="20"/>
          <w:szCs w:val="20"/>
          <w:color w:val="auto"/>
        </w:rPr>
      </w:pPr>
      <w:r>
        <w:rPr>
          <w:rFonts w:ascii="Courier New" w:cs="Courier New" w:eastAsia="Courier New" w:hAnsi="Courier New"/>
          <w:sz w:val="18"/>
          <w:szCs w:val="18"/>
          <w:color w:val="auto"/>
        </w:rPr>
        <w:t>or one of its affiliates designated in writing by one of the attorneys-in-fact), acting individually, its true and lawful attorney, to execute and deliver in its name and on its behalfwhether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16" w:lineRule="exact"/>
        <w:rPr>
          <w:sz w:val="20"/>
          <w:szCs w:val="20"/>
          <w:color w:val="auto"/>
        </w:rPr>
      </w:pPr>
    </w:p>
    <w:p>
      <w:pPr>
        <w:jc w:val="both"/>
        <w:ind w:right="2439"/>
        <w:spacing w:after="0" w:line="275" w:lineRule="auto"/>
        <w:rPr>
          <w:sz w:val="20"/>
          <w:szCs w:val="20"/>
          <w:color w:val="auto"/>
        </w:rPr>
      </w:pPr>
      <w:r>
        <w:rPr>
          <w:rFonts w:ascii="Courier New" w:cs="Courier New" w:eastAsia="Courier New" w:hAnsi="Courier New"/>
          <w:sz w:val="16"/>
          <w:szCs w:val="16"/>
          <w:color w:val="auto"/>
        </w:rPr>
        <w:t>THIS POWER OF ATTORNEY shall remain in full force and effect until either revoked in writing by the undersigned or until such time as the person or persons to whom power of attorney has been hereby granted cease(s) to be an employee of The Goldman Sachs Group, Inc. or one of its affiliates.</w:t>
      </w:r>
    </w:p>
    <w:p>
      <w:pPr>
        <w:spacing w:after="0" w:line="182" w:lineRule="exact"/>
        <w:rPr>
          <w:sz w:val="20"/>
          <w:szCs w:val="20"/>
          <w:color w:val="auto"/>
        </w:rPr>
      </w:pPr>
    </w:p>
    <w:p>
      <w:pPr>
        <w:jc w:val="both"/>
        <w:ind w:right="2439"/>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October 31, 2022.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GS INVESTMENT STRATEGIES, LLC</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Raanan A. Agus</w:t>
      </w:r>
    </w:p>
    <w:p>
      <w:pPr>
        <w:spacing w:after="0" w:line="238" w:lineRule="auto"/>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Raanan A. Agus</w:t>
      </w:r>
    </w:p>
    <w:p>
      <w:pPr>
        <w:spacing w:after="0"/>
        <w:rPr>
          <w:sz w:val="20"/>
          <w:szCs w:val="20"/>
          <w:color w:val="auto"/>
        </w:rPr>
      </w:pPr>
      <w:r>
        <w:rPr>
          <w:rFonts w:ascii="Courier New" w:cs="Courier New" w:eastAsia="Courier New" w:hAnsi="Courier New"/>
          <w:sz w:val="18"/>
          <w:szCs w:val="18"/>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9 of 9</w:t>
      </w:r>
    </w:p>
    <w:sectPr>
      <w:pgSz w:w="11900" w:h="16838" w:orient="portrait"/>
      <w:cols w:equalWidth="0" w:num="1">
        <w:col w:w="10139"/>
      </w:cols>
      <w:pgMar w:left="32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9"/>
    </w:lvl>
  </w:abstractNum>
  <w:abstractNum w:abstractNumId="3">
    <w:nsid w:val="3D1B58BA"/>
    <w:multiLevelType w:val="hybridMultilevel"/>
    <w:lvl w:ilvl="0">
      <w:lvlJc w:val="left"/>
      <w:lvlText w:val="%1."/>
      <w:numFmt w:val="decimal"/>
      <w:start w:val="10"/>
    </w:lvl>
  </w:abstractNum>
  <w:abstractNum w:abstractNumId="4">
    <w:nsid w:val="507ED7AB"/>
    <w:multiLevelType w:val="hybridMultilevel"/>
    <w:lvl w:ilvl="0">
      <w:lvlJc w:val="left"/>
      <w:lvlText w:val="%1."/>
      <w:numFmt w:val="decimal"/>
      <w:start w:val="11"/>
    </w:lvl>
  </w:abstractNum>
  <w:abstractNum w:abstractNumId="5">
    <w:nsid w:val="2EB141F2"/>
    <w:multiLevelType w:val="hybridMultilevel"/>
    <w:lvl w:ilvl="0">
      <w:lvlJc w:val="left"/>
      <w:lvlText w:val="%1."/>
      <w:numFmt w:val="decimal"/>
      <w:start w:val="12"/>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2023-02-07T05:18:07Z</dcterms:created>
  <dcterms:modified xsi:type="dcterms:W3CDTF">2023-02-07T05:18:07Z</dcterms:modified>
</cp:coreProperties>
</file>