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Mel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09/17/2025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23,494</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12.022</w:t>
            </w:r>
            <w:r>
              <w:rPr>
                <w:rFonts w:ascii="Times New Roman" w:cs="Times New Roman" w:eastAsia="Times New Roman" w:hAnsi="Times New Roman"/>
                <w:sz w:val="22"/>
                <w:szCs w:val="22"/>
                <w:color w:val="008000"/>
                <w:w w:val="92"/>
                <w:vertAlign w:val="superscript"/>
              </w:rPr>
              <w:t>(1)</w:t>
            </w:r>
          </w:p>
        </w:tc>
        <w:tc>
          <w:tcPr>
            <w:tcW w:w="124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71,024</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4"/>
              </w:rPr>
              <w:t>Mel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Williams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4,085,213</w:t>
            </w:r>
          </w:p>
        </w:tc>
        <w:tc>
          <w:tcPr>
            <w:tcW w:w="240" w:type="dxa"/>
            <w:vAlign w:val="bottom"/>
          </w:tcPr>
          <w:p>
            <w:pPr>
              <w:spacing w:after="0"/>
              <w:rPr>
                <w:sz w:val="18"/>
                <w:szCs w:val="18"/>
                <w:color w:val="auto"/>
              </w:rPr>
            </w:pPr>
          </w:p>
        </w:tc>
        <w:tc>
          <w:tcPr>
            <w:tcW w:w="60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u/a/d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August 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6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$12.01 to $12.07. Upon request, the Reporting Person will provide information regarding the number of shares sold at each price within the range to the Issuer, any security holder of the issuer, or the SEC staff.</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4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Mel Williams Irrevocable Trust u/a/d August 12, 2015 (the "Williams Trust"). Alliance Trust Company, as trustee of the Williams Trust, may be deemed to beneficially own the securities of the Issuer owned directly by the Williams Trust.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is being filed by Mel Williams (the "Reporting Person"). The Reporting Person is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ectPr>
          <w:pgSz w:w="11900" w:h="16838" w:orient="portrait"/>
          <w:cols w:equalWidth="0" w:num="1">
            <w:col w:w="11080"/>
          </w:cols>
          <w:pgMar w:left="460" w:top="219" w:right="359" w:bottom="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9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9081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2025-09-19T15:39:36Z</dcterms:created>
  <dcterms:modified xsi:type="dcterms:W3CDTF">2025-09-19T15:39:36Z</dcterms:modified>
</cp:coreProperties>
</file>