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2 to</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TO</w:t>
      </w:r>
    </w:p>
    <w:p>
      <w:pPr>
        <w:jc w:val="center"/>
        <w:ind w:right="-39"/>
        <w:spacing w:after="0" w:line="230" w:lineRule="auto"/>
        <w:rPr>
          <w:sz w:val="20"/>
          <w:szCs w:val="20"/>
          <w:color w:val="auto"/>
        </w:rPr>
      </w:pPr>
      <w:r>
        <w:rPr>
          <w:rFonts w:ascii="Arial" w:cs="Arial" w:eastAsia="Arial" w:hAnsi="Arial"/>
          <w:sz w:val="22"/>
          <w:szCs w:val="22"/>
          <w:b w:val="1"/>
          <w:bCs w:val="1"/>
          <w:color w:val="auto"/>
        </w:rPr>
        <w:t>TENDER OFFER STATEMENT UNDER SECTION 14(d)(1) OR 13(e)(1) OF</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98" w:lineRule="exact"/>
        <w:rPr>
          <w:sz w:val="24"/>
          <w:szCs w:val="24"/>
          <w:color w:val="auto"/>
        </w:rPr>
      </w:pPr>
    </w:p>
    <w:p>
      <w:pPr>
        <w:jc w:val="center"/>
        <w:ind w:right="-39"/>
        <w:spacing w:after="0"/>
        <w:rPr>
          <w:sz w:val="20"/>
          <w:szCs w:val="20"/>
          <w:color w:val="auto"/>
        </w:rPr>
      </w:pPr>
      <w:r>
        <w:rPr>
          <w:rFonts w:ascii="Arial" w:cs="Arial" w:eastAsia="Arial" w:hAnsi="Arial"/>
          <w:sz w:val="65"/>
          <w:szCs w:val="65"/>
          <w:b w:val="1"/>
          <w:bCs w:val="1"/>
          <w:color w:val="auto"/>
        </w:rPr>
        <w:t>Active Power, Inc.</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Subject Company (Issuer) and Name of Filing Person (Offeror))</w:t>
      </w:r>
    </w:p>
    <w:p>
      <w:pPr>
        <w:spacing w:after="0" w:line="12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Options to Purchase Common Stock, Par Value $0.001 Per Share</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00504W100</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 of Class of Securities)</w:t>
      </w:r>
    </w:p>
    <w:p>
      <w:pPr>
        <w:jc w:val="center"/>
        <w:ind w:right="-39"/>
        <w:spacing w:after="0"/>
        <w:rPr>
          <w:sz w:val="20"/>
          <w:szCs w:val="20"/>
          <w:color w:val="auto"/>
        </w:rPr>
      </w:pPr>
      <w:r>
        <w:rPr>
          <w:rFonts w:ascii="Arial" w:cs="Arial" w:eastAsia="Arial" w:hAnsi="Arial"/>
          <w:sz w:val="14"/>
          <w:szCs w:val="14"/>
          <w:b w:val="1"/>
          <w:bCs w:val="1"/>
          <w:color w:val="auto"/>
        </w:rPr>
        <w:t>(Underlying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1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Copies to:</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Derek L. Willis, Esq.</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Professional Corporation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900 S. Capital of Texas Highway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Las Cimas IV, Fifth Floor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Austin, Texas 78746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Tel: (512) 338-5400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tbl>
      <w:tblPr>
        <w:tblLayout w:type="fixed"/>
        <w:tblInd w:w="214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5800" w:type="dxa"/>
            <w:vAlign w:val="bottom"/>
            <w:gridSpan w:val="2"/>
          </w:tcPr>
          <w:p>
            <w:pPr>
              <w:ind w:left="800"/>
              <w:spacing w:after="0"/>
              <w:rPr>
                <w:sz w:val="20"/>
                <w:szCs w:val="20"/>
                <w:color w:val="auto"/>
              </w:rPr>
            </w:pPr>
            <w:r>
              <w:rPr>
                <w:rFonts w:ascii="Arial" w:cs="Arial" w:eastAsia="Arial" w:hAnsi="Arial"/>
                <w:sz w:val="18"/>
                <w:szCs w:val="18"/>
                <w:b w:val="1"/>
                <w:bCs w:val="1"/>
                <w:color w:val="auto"/>
              </w:rPr>
              <w:t>CALCULATION OF FILING FEE</w:t>
            </w:r>
          </w:p>
        </w:tc>
      </w:tr>
      <w:tr>
        <w:trPr>
          <w:trHeight w:val="353"/>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Transaction Valuation*</w:t>
            </w:r>
          </w:p>
        </w:tc>
        <w:tc>
          <w:tcPr>
            <w:tcW w:w="436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 of Filing Fee**</w:t>
            </w:r>
          </w:p>
        </w:tc>
      </w:tr>
      <w:tr>
        <w:trPr>
          <w:trHeight w:val="216"/>
        </w:trPr>
        <w:tc>
          <w:tcPr>
            <w:tcW w:w="1460" w:type="dxa"/>
            <w:vAlign w:val="bottom"/>
          </w:tcPr>
          <w:p>
            <w:pPr>
              <w:jc w:val="right"/>
              <w:ind w:right="222"/>
              <w:spacing w:after="0"/>
              <w:rPr>
                <w:sz w:val="20"/>
                <w:szCs w:val="20"/>
                <w:color w:val="auto"/>
              </w:rPr>
            </w:pPr>
            <w:r>
              <w:rPr>
                <w:rFonts w:ascii="Arial" w:cs="Arial" w:eastAsia="Arial" w:hAnsi="Arial"/>
                <w:sz w:val="18"/>
                <w:szCs w:val="18"/>
                <w:color w:val="auto"/>
              </w:rPr>
              <w:t>$729,574.23</w:t>
            </w:r>
          </w:p>
        </w:tc>
        <w:tc>
          <w:tcPr>
            <w:tcW w:w="4360" w:type="dxa"/>
            <w:vAlign w:val="bottom"/>
          </w:tcPr>
          <w:p>
            <w:pPr>
              <w:spacing w:after="0"/>
              <w:rPr>
                <w:sz w:val="18"/>
                <w:szCs w:val="18"/>
                <w:color w:val="auto"/>
              </w:rPr>
            </w:pPr>
          </w:p>
        </w:tc>
        <w:tc>
          <w:tcPr>
            <w:tcW w:w="1440" w:type="dxa"/>
            <w:vAlign w:val="bottom"/>
          </w:tcPr>
          <w:p>
            <w:pPr>
              <w:jc w:val="right"/>
              <w:ind w:right="402"/>
              <w:spacing w:after="0"/>
              <w:rPr>
                <w:sz w:val="20"/>
                <w:szCs w:val="20"/>
                <w:color w:val="auto"/>
              </w:rPr>
            </w:pPr>
            <w:r>
              <w:rPr>
                <w:rFonts w:ascii="Arial" w:cs="Arial" w:eastAsia="Arial" w:hAnsi="Arial"/>
                <w:sz w:val="18"/>
                <w:szCs w:val="18"/>
                <w:color w:val="auto"/>
              </w:rPr>
              <w:t>$40.71</w:t>
            </w:r>
          </w:p>
        </w:tc>
      </w:tr>
    </w:tbl>
    <w:p>
      <w:pPr>
        <w:spacing w:after="0" w:line="188" w:lineRule="exact"/>
        <w:rPr>
          <w:sz w:val="24"/>
          <w:szCs w:val="24"/>
          <w:color w:val="auto"/>
        </w:rPr>
      </w:pPr>
    </w:p>
    <w:p>
      <w:pPr>
        <w:ind w:left="460" w:hanging="452"/>
        <w:spacing w:after="0" w:line="305"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purposes of calculating the Amount of the Filing Fee. The calculation of the Transaction Valuation assumes that all options to purchase the Issuer’s common stock that are eligible for the offer will be repriced pursuant to the offer. The eligible options outstanding as of June 30, 2009</w:t>
      </w:r>
    </w:p>
    <w:p>
      <w:pPr>
        <w:ind w:left="460"/>
        <w:spacing w:after="0"/>
        <w:rPr>
          <w:sz w:val="20"/>
          <w:szCs w:val="20"/>
          <w:color w:val="auto"/>
        </w:rPr>
      </w:pPr>
      <w:r>
        <w:rPr>
          <w:rFonts w:ascii="Arial" w:cs="Arial" w:eastAsia="Arial" w:hAnsi="Arial"/>
          <w:sz w:val="16"/>
          <w:szCs w:val="16"/>
          <w:color w:val="auto"/>
        </w:rPr>
        <w:t>have an aggregate value of $729,574.23, calculated using a modified Black-Scholes option pricing model with assumptions as of July 13, 2009.</w:t>
      </w:r>
    </w:p>
    <w:p>
      <w:pPr>
        <w:spacing w:after="0" w:line="32"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Amount of Filing Fee calculated in accordance with Rule 0-11(b) of the Securities Exchange Act of 1934, as amended, equals $55.80 for each</w:t>
      </w:r>
    </w:p>
    <w:p>
      <w:pPr>
        <w:spacing w:after="0" w:line="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$1,000,000 of the value of the transaction.</w:t>
      </w:r>
    </w:p>
    <w:p>
      <w:pPr>
        <w:spacing w:after="0" w:line="9" w:lineRule="exact"/>
        <w:rPr>
          <w:sz w:val="24"/>
          <w:szCs w:val="24"/>
          <w:color w:val="auto"/>
        </w:rPr>
      </w:pPr>
    </w:p>
    <w:p>
      <w:pPr>
        <w:ind w:left="460" w:right="500" w:hanging="452"/>
        <w:spacing w:after="0" w:line="261"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380"/>
          </w:cols>
          <w:pgMar w:left="240" w:top="422" w:right="279" w:bottom="377" w:gutter="0" w:footer="0" w:header="0"/>
        </w:sectPr>
      </w:pPr>
    </w:p>
    <w:p>
      <w:pPr>
        <w:spacing w:after="0" w:line="17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Amount Previously Paid: $40.71</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3200"/>
        <w:spacing w:after="0"/>
        <w:rPr>
          <w:sz w:val="20"/>
          <w:szCs w:val="20"/>
          <w:color w:val="auto"/>
        </w:rPr>
      </w:pPr>
      <w:r>
        <w:rPr>
          <w:rFonts w:ascii="Arial" w:cs="Arial" w:eastAsia="Arial" w:hAnsi="Arial"/>
          <w:sz w:val="16"/>
          <w:szCs w:val="16"/>
          <w:color w:val="auto"/>
        </w:rPr>
        <w:t>Filing Party: Active Power, Inc.</w:t>
      </w:r>
    </w:p>
    <w:p>
      <w:pPr>
        <w:spacing w:after="0" w:line="140" w:lineRule="exact"/>
        <w:rPr>
          <w:sz w:val="24"/>
          <w:szCs w:val="24"/>
          <w:color w:val="auto"/>
        </w:rPr>
      </w:pPr>
    </w:p>
    <w:p>
      <w:pPr>
        <w:sectPr>
          <w:pgSz w:w="11900" w:h="16838" w:orient="portrait"/>
          <w:cols w:equalWidth="0" w:num="2">
            <w:col w:w="5240" w:space="720"/>
            <w:col w:w="5420"/>
          </w:cols>
          <w:pgMar w:left="240" w:top="422" w:right="279" w:bottom="377" w:gutter="0" w:footer="0" w:header="0"/>
          <w:type w:val="continuous"/>
        </w:sectPr>
      </w:pPr>
    </w:p>
    <w:p>
      <w:pPr>
        <w:ind w:left="440"/>
        <w:spacing w:after="0"/>
        <w:rPr>
          <w:sz w:val="20"/>
          <w:szCs w:val="20"/>
          <w:color w:val="auto"/>
        </w:rPr>
      </w:pPr>
      <w:r>
        <w:rPr>
          <w:rFonts w:ascii="Arial" w:cs="Arial" w:eastAsia="Arial" w:hAnsi="Arial"/>
          <w:sz w:val="16"/>
          <w:szCs w:val="16"/>
          <w:color w:val="auto"/>
        </w:rPr>
        <w:t>Form or Registration No.: Schedule TO-I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 Filed: July 16, 2009</w:t>
      </w:r>
    </w:p>
    <w:p>
      <w:pPr>
        <w:spacing w:after="0" w:line="200" w:lineRule="exact"/>
        <w:rPr>
          <w:sz w:val="24"/>
          <w:szCs w:val="24"/>
          <w:color w:val="auto"/>
        </w:rPr>
      </w:pPr>
    </w:p>
    <w:p>
      <w:pPr>
        <w:sectPr>
          <w:pgSz w:w="11900" w:h="16838" w:orient="portrait"/>
          <w:cols w:equalWidth="0" w:num="2">
            <w:col w:w="5240" w:space="720"/>
            <w:col w:w="5420"/>
          </w:cols>
          <w:pgMar w:left="240" w:top="422" w:right="279" w:bottom="377" w:gutter="0" w:footer="0" w:header="0"/>
          <w:type w:val="continuous"/>
        </w:sectPr>
      </w:pPr>
    </w:p>
    <w:p>
      <w:pPr>
        <w:spacing w:after="0" w:line="35" w:lineRule="exact"/>
        <w:rPr>
          <w:sz w:val="24"/>
          <w:szCs w:val="24"/>
          <w:color w:val="auto"/>
        </w:rPr>
      </w:pPr>
    </w:p>
    <w:p>
      <w:pPr>
        <w:ind w:right="2320" w:firstLine="8"/>
        <w:spacing w:after="0" w:line="325" w:lineRule="auto"/>
        <w:tabs>
          <w:tab w:leader="none" w:pos="446"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90" w:lineRule="exact"/>
        <w:rPr>
          <w:sz w:val="24"/>
          <w:szCs w:val="24"/>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90" w:lineRule="exact"/>
        <w:rPr>
          <w:sz w:val="24"/>
          <w:szCs w:val="24"/>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90" w:lineRule="exact"/>
        <w:rPr>
          <w:sz w:val="24"/>
          <w:szCs w:val="24"/>
          <w:color w:val="auto"/>
        </w:rPr>
      </w:pPr>
    </w:p>
    <w:p>
      <w:pPr>
        <w:ind w:left="900" w:hanging="446"/>
        <w:spacing w:after="0"/>
        <w:tabs>
          <w:tab w:leader="none" w:pos="9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Rule 13e-3(i) (Cross-Border Issuer Tender Offer).</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Rule 14d-1(d) (Cross-Border Third 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22" w:right="279" w:bottom="377" w:gutter="0" w:footer="0" w:header="0"/>
          <w:type w:val="continuous"/>
        </w:sectPr>
      </w:pPr>
    </w:p>
    <w:bookmarkStart w:id="1" w:name="page2"/>
    <w:bookmarkEnd w:id="1"/>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No. 2 (“Amendment No. 2”) amends and supplements the Schedule TO originally filed with the Securities and Exchange Commission on July 16, 2009 (as amended by Amendment No. 1 to Schedule TO filed with the SEC on July 24, 2009, “Schedule TO”) by Active Power, Inc., a Delaware corporation (the “Company”), in connection with the Company’s offer to exchange certain outstanding options to purchase shares of the Company’s common stock granted under the Company’s 2000 Stock Incentive Plan.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Offer is being made upon the terms and subject to the conditions set forth in the Offer to Exchange, which, as may be amended or supplemented from time to time, constitutes the Offer, and which was filed as Exhibit (a)(1)(A) to the Schedule TO. This Amendment is intended to satisfy the reporting requirements of Rule 13e-4(c)(3) promulgated under the Securities Exchange Act of 1934, as amended.</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Only those items amended are reported in this Amendment No. 2. Except as specifically provided herein, the information contained in the Schedule TO remains unchanged and this Amendment No. 2 does not modify any of the information previously reported on the Schedule TO.</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Terms of the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TO is hereby amended by adding the following sentence:</w:t>
      </w:r>
    </w:p>
    <w:p>
      <w:pPr>
        <w:spacing w:after="0" w:line="90"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The Offer expired at 5:00 p.m., Central Time, on August 13, 2009. Pursuant to the terms of the Offer, the Company has accepted for exchange options to purchase an aggregate of 1,727,527 shares of the Company’s common stock. All surrendered options were cancelled, and immediately thereafter in exchange, the Company has issued new options to purchase an aggregate of 637,974 shares of the Company’s common stock, pursuant to the terms of the Offer and the Active Power Stock Plan.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12.</w:t>
            </w:r>
          </w:p>
        </w:tc>
        <w:tc>
          <w:tcPr>
            <w:tcW w:w="1044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24"/>
                <w:szCs w:val="24"/>
                <w:color w:val="auto"/>
              </w:rPr>
            </w:pPr>
          </w:p>
        </w:tc>
        <w:tc>
          <w:tcPr>
            <w:tcW w:w="99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980" w:type="dxa"/>
            <w:vAlign w:val="bottom"/>
            <w:gridSpan w:val="3"/>
          </w:tcPr>
          <w:p>
            <w:pPr>
              <w:spacing w:after="0"/>
              <w:rPr>
                <w:sz w:val="20"/>
                <w:szCs w:val="20"/>
                <w:color w:val="auto"/>
              </w:rPr>
            </w:pPr>
            <w:r>
              <w:rPr>
                <w:rFonts w:ascii="Arial" w:cs="Arial" w:eastAsia="Arial" w:hAnsi="Arial"/>
                <w:sz w:val="18"/>
                <w:szCs w:val="18"/>
                <w:color w:val="auto"/>
              </w:rPr>
              <w:t>(a)(1)(A)*</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Offer to Exchange Certain Options for New Options, dated July 16, 2009</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(a)(1)(B)**</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Email to all eligible employees from James Clishem, dated July 16, 2009</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(a)(1)(C)**</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Election Form</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(a)(1)(D)**</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Withdrawal Form</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(a)(1)(E)**</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Form of acknowledgment of receipt of documents relating to the offer</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(a)(1)(F)**</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Form of reminder emails</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(a)(1)(G)**</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Form of stock option agreement under the 2000 Stock Incentive Plan</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(a)(1)(H)**</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Eligible employee presentation materials</w:t>
            </w:r>
          </w:p>
        </w:tc>
        <w:tc>
          <w:tcPr>
            <w:tcW w:w="0" w:type="dxa"/>
            <w:vAlign w:val="bottom"/>
          </w:tcPr>
          <w:p>
            <w:pPr>
              <w:spacing w:after="0"/>
              <w:rPr>
                <w:sz w:val="1"/>
                <w:szCs w:val="1"/>
                <w:color w:val="auto"/>
              </w:rPr>
            </w:pPr>
          </w:p>
        </w:tc>
      </w:tr>
      <w:tr>
        <w:trPr>
          <w:trHeight w:val="318"/>
        </w:trPr>
        <w:tc>
          <w:tcPr>
            <w:tcW w:w="980" w:type="dxa"/>
            <w:vAlign w:val="bottom"/>
            <w:gridSpan w:val="3"/>
          </w:tcPr>
          <w:p>
            <w:pPr>
              <w:spacing w:after="0"/>
              <w:rPr>
                <w:sz w:val="20"/>
                <w:szCs w:val="20"/>
                <w:color w:val="auto"/>
              </w:rPr>
            </w:pPr>
            <w:r>
              <w:rPr>
                <w:rFonts w:ascii="Arial" w:cs="Arial" w:eastAsia="Arial" w:hAnsi="Arial"/>
                <w:sz w:val="18"/>
                <w:szCs w:val="18"/>
                <w:color w:val="auto"/>
              </w:rPr>
              <w:t>(a)(1)(I)</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4"/>
              </w:rPr>
              <w:t>Active Power, Inc. 2000 Stock Incentive Plan, incorporated by reference to Exhibit 10.2 to Active Power’s Registration Statement on</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Form S-1 (SEC File No. 333-36946)</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(a)(1)(J)**</w:t>
            </w:r>
          </w:p>
        </w:tc>
        <w:tc>
          <w:tcPr>
            <w:tcW w:w="4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Form of Personnel Summary</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460" w:hanging="1452"/>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460" w:hanging="1452"/>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460" w:hanging="1452"/>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460" w:hanging="1452"/>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9" w:lineRule="exact"/>
        <w:rPr>
          <w:sz w:val="20"/>
          <w:szCs w:val="20"/>
          <w:color w:val="auto"/>
        </w:rPr>
      </w:pPr>
    </w:p>
    <w:p>
      <w:pPr>
        <w:ind w:right="7120" w:firstLine="8"/>
        <w:spacing w:after="0" w:line="332" w:lineRule="auto"/>
        <w:tabs>
          <w:tab w:leader="none" w:pos="4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Previously filed on Schedule TO-I/A on July 24, 2009. ** Previously filed on Schedule TO on July 16, 2009.</w:t>
      </w:r>
    </w:p>
    <w:p>
      <w:pPr>
        <w:sectPr>
          <w:pgSz w:w="11900" w:h="16838" w:orient="portrait"/>
          <w:cols w:equalWidth="0" w:num="1">
            <w:col w:w="11420"/>
          </w:cols>
          <w:pgMar w:left="240" w:top="280" w:right="2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due inquiry and to the best of my knowledge and belief, I certify that the information set forth in this Amendment No. 2 to Schedule TO is true, complete and correct.</w:t>
      </w:r>
    </w:p>
    <w:p>
      <w:pPr>
        <w:spacing w:after="0" w:line="166"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2009</w:t>
      </w:r>
    </w:p>
    <w:p>
      <w:pPr>
        <w:sectPr>
          <w:pgSz w:w="11900" w:h="16838" w:orient="portrait"/>
          <w:cols w:equalWidth="0" w:num="1">
            <w:col w:w="10960"/>
          </w:cols>
          <w:pgMar w:left="240" w:top="274"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960" w:type="dxa"/>
            <w:vAlign w:val="bottom"/>
          </w:tcPr>
          <w:p>
            <w:pPr>
              <w:ind w:left="36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12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Exhibit</w:t>
            </w:r>
          </w:p>
        </w:tc>
        <w:tc>
          <w:tcPr>
            <w:tcW w:w="99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4"/>
                <w:szCs w:val="14"/>
                <w:color w:val="auto"/>
              </w:rPr>
            </w:pPr>
          </w:p>
        </w:tc>
        <w:tc>
          <w:tcPr>
            <w:tcW w:w="9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60" w:type="dxa"/>
            <w:vAlign w:val="bottom"/>
            <w:gridSpan w:val="3"/>
          </w:tcPr>
          <w:p>
            <w:pPr>
              <w:spacing w:after="0"/>
              <w:rPr>
                <w:sz w:val="20"/>
                <w:szCs w:val="20"/>
                <w:color w:val="auto"/>
              </w:rPr>
            </w:pPr>
            <w:r>
              <w:rPr>
                <w:rFonts w:ascii="Arial" w:cs="Arial" w:eastAsia="Arial" w:hAnsi="Arial"/>
                <w:sz w:val="18"/>
                <w:szCs w:val="18"/>
                <w:color w:val="auto"/>
              </w:rPr>
              <w:t>(a)(1)(A)*</w:t>
            </w:r>
          </w:p>
        </w:tc>
        <w:tc>
          <w:tcPr>
            <w:tcW w:w="9960" w:type="dxa"/>
            <w:vAlign w:val="bottom"/>
          </w:tcPr>
          <w:p>
            <w:pPr>
              <w:spacing w:after="0"/>
              <w:rPr>
                <w:sz w:val="20"/>
                <w:szCs w:val="20"/>
                <w:color w:val="auto"/>
              </w:rPr>
            </w:pPr>
            <w:r>
              <w:rPr>
                <w:rFonts w:ascii="Arial" w:cs="Arial" w:eastAsia="Arial" w:hAnsi="Arial"/>
                <w:sz w:val="18"/>
                <w:szCs w:val="18"/>
                <w:color w:val="auto"/>
              </w:rPr>
              <w:t>Offer to Exchange Certain Options for New Options, dated July 16, 2009</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(a)(1)(B)**</w:t>
            </w:r>
          </w:p>
        </w:tc>
        <w:tc>
          <w:tcPr>
            <w:tcW w:w="9960" w:type="dxa"/>
            <w:vAlign w:val="bottom"/>
          </w:tcPr>
          <w:p>
            <w:pPr>
              <w:spacing w:after="0"/>
              <w:rPr>
                <w:sz w:val="20"/>
                <w:szCs w:val="20"/>
                <w:color w:val="auto"/>
              </w:rPr>
            </w:pPr>
            <w:r>
              <w:rPr>
                <w:rFonts w:ascii="Arial" w:cs="Arial" w:eastAsia="Arial" w:hAnsi="Arial"/>
                <w:sz w:val="18"/>
                <w:szCs w:val="18"/>
                <w:color w:val="auto"/>
              </w:rPr>
              <w:t>Email to all eligible employees from James Clishem, dated July 16, 2009</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(a)(1)(C)**</w:t>
            </w:r>
          </w:p>
        </w:tc>
        <w:tc>
          <w:tcPr>
            <w:tcW w:w="9960" w:type="dxa"/>
            <w:vAlign w:val="bottom"/>
          </w:tcPr>
          <w:p>
            <w:pPr>
              <w:spacing w:after="0"/>
              <w:rPr>
                <w:sz w:val="20"/>
                <w:szCs w:val="20"/>
                <w:color w:val="auto"/>
              </w:rPr>
            </w:pPr>
            <w:r>
              <w:rPr>
                <w:rFonts w:ascii="Arial" w:cs="Arial" w:eastAsia="Arial" w:hAnsi="Arial"/>
                <w:sz w:val="18"/>
                <w:szCs w:val="18"/>
                <w:color w:val="auto"/>
              </w:rPr>
              <w:t>Election Form</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(a)(1)(D)**</w:t>
            </w:r>
          </w:p>
        </w:tc>
        <w:tc>
          <w:tcPr>
            <w:tcW w:w="9960" w:type="dxa"/>
            <w:vAlign w:val="bottom"/>
          </w:tcPr>
          <w:p>
            <w:pPr>
              <w:spacing w:after="0"/>
              <w:rPr>
                <w:sz w:val="20"/>
                <w:szCs w:val="20"/>
                <w:color w:val="auto"/>
              </w:rPr>
            </w:pPr>
            <w:r>
              <w:rPr>
                <w:rFonts w:ascii="Arial" w:cs="Arial" w:eastAsia="Arial" w:hAnsi="Arial"/>
                <w:sz w:val="18"/>
                <w:szCs w:val="18"/>
                <w:color w:val="auto"/>
              </w:rPr>
              <w:t>Withdrawal Form</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(a)(1)(E)**</w:t>
            </w:r>
          </w:p>
        </w:tc>
        <w:tc>
          <w:tcPr>
            <w:tcW w:w="9960" w:type="dxa"/>
            <w:vAlign w:val="bottom"/>
          </w:tcPr>
          <w:p>
            <w:pPr>
              <w:spacing w:after="0"/>
              <w:rPr>
                <w:sz w:val="20"/>
                <w:szCs w:val="20"/>
                <w:color w:val="auto"/>
              </w:rPr>
            </w:pPr>
            <w:r>
              <w:rPr>
                <w:rFonts w:ascii="Arial" w:cs="Arial" w:eastAsia="Arial" w:hAnsi="Arial"/>
                <w:sz w:val="18"/>
                <w:szCs w:val="18"/>
                <w:color w:val="auto"/>
              </w:rPr>
              <w:t>Form of acknowledgment of receipt of documents relating to the offer</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(a)(1)(F)**</w:t>
            </w:r>
          </w:p>
        </w:tc>
        <w:tc>
          <w:tcPr>
            <w:tcW w:w="9960" w:type="dxa"/>
            <w:vAlign w:val="bottom"/>
          </w:tcPr>
          <w:p>
            <w:pPr>
              <w:spacing w:after="0"/>
              <w:rPr>
                <w:sz w:val="20"/>
                <w:szCs w:val="20"/>
                <w:color w:val="auto"/>
              </w:rPr>
            </w:pPr>
            <w:r>
              <w:rPr>
                <w:rFonts w:ascii="Arial" w:cs="Arial" w:eastAsia="Arial" w:hAnsi="Arial"/>
                <w:sz w:val="18"/>
                <w:szCs w:val="18"/>
                <w:color w:val="auto"/>
              </w:rPr>
              <w:t>Form of reminder emails</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(a)(1)(G)**</w:t>
            </w:r>
          </w:p>
        </w:tc>
        <w:tc>
          <w:tcPr>
            <w:tcW w:w="9960" w:type="dxa"/>
            <w:vAlign w:val="bottom"/>
          </w:tcPr>
          <w:p>
            <w:pPr>
              <w:spacing w:after="0"/>
              <w:rPr>
                <w:sz w:val="20"/>
                <w:szCs w:val="20"/>
                <w:color w:val="auto"/>
              </w:rPr>
            </w:pPr>
            <w:r>
              <w:rPr>
                <w:rFonts w:ascii="Arial" w:cs="Arial" w:eastAsia="Arial" w:hAnsi="Arial"/>
                <w:sz w:val="18"/>
                <w:szCs w:val="18"/>
                <w:color w:val="auto"/>
              </w:rPr>
              <w:t>Form of stock option agreement under the 2000 Stock Incentive Plan</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(a)(1)(H)**</w:t>
            </w:r>
          </w:p>
        </w:tc>
        <w:tc>
          <w:tcPr>
            <w:tcW w:w="9960" w:type="dxa"/>
            <w:vAlign w:val="bottom"/>
          </w:tcPr>
          <w:p>
            <w:pPr>
              <w:spacing w:after="0"/>
              <w:rPr>
                <w:sz w:val="20"/>
                <w:szCs w:val="20"/>
                <w:color w:val="auto"/>
              </w:rPr>
            </w:pPr>
            <w:r>
              <w:rPr>
                <w:rFonts w:ascii="Arial" w:cs="Arial" w:eastAsia="Arial" w:hAnsi="Arial"/>
                <w:sz w:val="18"/>
                <w:szCs w:val="18"/>
                <w:color w:val="auto"/>
              </w:rPr>
              <w:t>Eligible employee presentation materials</w:t>
            </w:r>
          </w:p>
        </w:tc>
        <w:tc>
          <w:tcPr>
            <w:tcW w:w="0" w:type="dxa"/>
            <w:vAlign w:val="bottom"/>
          </w:tcPr>
          <w:p>
            <w:pPr>
              <w:spacing w:after="0"/>
              <w:rPr>
                <w:sz w:val="1"/>
                <w:szCs w:val="1"/>
                <w:color w:val="auto"/>
              </w:rPr>
            </w:pPr>
          </w:p>
        </w:tc>
      </w:tr>
      <w:tr>
        <w:trPr>
          <w:trHeight w:val="318"/>
        </w:trPr>
        <w:tc>
          <w:tcPr>
            <w:tcW w:w="1460" w:type="dxa"/>
            <w:vAlign w:val="bottom"/>
            <w:gridSpan w:val="3"/>
          </w:tcPr>
          <w:p>
            <w:pPr>
              <w:spacing w:after="0"/>
              <w:rPr>
                <w:sz w:val="20"/>
                <w:szCs w:val="20"/>
                <w:color w:val="auto"/>
              </w:rPr>
            </w:pPr>
            <w:r>
              <w:rPr>
                <w:rFonts w:ascii="Arial" w:cs="Arial" w:eastAsia="Arial" w:hAnsi="Arial"/>
                <w:sz w:val="18"/>
                <w:szCs w:val="18"/>
                <w:color w:val="auto"/>
              </w:rPr>
              <w:t>(a)(1)(I)</w:t>
            </w:r>
          </w:p>
        </w:tc>
        <w:tc>
          <w:tcPr>
            <w:tcW w:w="9960" w:type="dxa"/>
            <w:vAlign w:val="bottom"/>
          </w:tcPr>
          <w:p>
            <w:pPr>
              <w:spacing w:after="0"/>
              <w:rPr>
                <w:sz w:val="20"/>
                <w:szCs w:val="20"/>
                <w:color w:val="auto"/>
              </w:rPr>
            </w:pPr>
            <w:r>
              <w:rPr>
                <w:rFonts w:ascii="Arial" w:cs="Arial" w:eastAsia="Arial" w:hAnsi="Arial"/>
                <w:sz w:val="18"/>
                <w:szCs w:val="18"/>
                <w:color w:val="auto"/>
                <w:w w:val="94"/>
              </w:rPr>
              <w:t>Active Power, Inc. 2000 Stock Incentive Plan, incorporated by reference to Exhibit 10.2 to Active Power’s Registration Statement on</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Form S-1 (SEC File No. 333-36946)</w:t>
            </w:r>
          </w:p>
        </w:tc>
        <w:tc>
          <w:tcPr>
            <w:tcW w:w="0" w:type="dxa"/>
            <w:vAlign w:val="bottom"/>
          </w:tcPr>
          <w:p>
            <w:pPr>
              <w:spacing w:after="0"/>
              <w:rPr>
                <w:sz w:val="1"/>
                <w:szCs w:val="1"/>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18"/>
                <w:szCs w:val="18"/>
                <w:color w:val="auto"/>
              </w:rPr>
              <w:t>(a)(1)(J)**</w:t>
            </w:r>
          </w:p>
        </w:tc>
        <w:tc>
          <w:tcPr>
            <w:tcW w:w="9960" w:type="dxa"/>
            <w:vAlign w:val="bottom"/>
          </w:tcPr>
          <w:p>
            <w:pPr>
              <w:spacing w:after="0"/>
              <w:rPr>
                <w:sz w:val="20"/>
                <w:szCs w:val="20"/>
                <w:color w:val="auto"/>
              </w:rPr>
            </w:pPr>
            <w:r>
              <w:rPr>
                <w:rFonts w:ascii="Arial" w:cs="Arial" w:eastAsia="Arial" w:hAnsi="Arial"/>
                <w:sz w:val="18"/>
                <w:szCs w:val="18"/>
                <w:color w:val="auto"/>
              </w:rPr>
              <w:t>Form of Personnel Summary</w:t>
            </w: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460" w:hanging="1452"/>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460" w:hanging="1452"/>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460" w:hanging="1452"/>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460" w:hanging="1452"/>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Schedule TO-I/A on July 24, 2009.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Schedule TO on July 16, 2009.</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4"/>
    </w:lvl>
  </w:abstractNum>
  <w:abstractNum w:abstractNumId="9">
    <w:nsid w:val="140E0F76"/>
    <w:multiLevelType w:val="hybridMultilevel"/>
    <w:lvl w:ilvl="0">
      <w:lvlJc w:val="left"/>
      <w:lvlText w:val="(%1)"/>
      <w:numFmt w:val="lowerLetter"/>
      <w:start w:val="7"/>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lowerLetter"/>
      <w:start w:val="4"/>
    </w:lvl>
  </w:abstractNum>
  <w:abstractNum w:abstractNumId="13">
    <w:nsid w:val="7FDCC233"/>
    <w:multiLevelType w:val="hybridMultilevel"/>
    <w:lvl w:ilvl="0">
      <w:lvlJc w:val="left"/>
      <w:lvlText w:val="(%1)"/>
      <w:numFmt w:val="lowerLetter"/>
      <w:start w:val="7"/>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2019-12-10T15:06:52Z</dcterms:created>
  <dcterms:modified xsi:type="dcterms:W3CDTF">2019-12-10T15:06:52Z</dcterms:modified>
</cp:coreProperties>
</file>